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版本号：DQB-2025008-ZB20250228001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陕西省科技业务综合服务信息系统业务改革适应性调整开发项目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DQB-2025008-ZB</w:t>
      </w:r>
      <w:r>
        <w:br/>
      </w:r>
      <w:r>
        <w:br/>
      </w:r>
      <w:r>
        <w:br/>
      </w:r>
    </w:p>
    <w:p>
      <w:pPr>
        <w:pStyle w:val="null3"/>
        <w:jc w:val="center"/>
        <w:outlineLvl w:val="2"/>
      </w:pPr>
      <w:r>
        <w:rPr>
          <w:rFonts w:ascii="仿宋_GB2312" w:hAnsi="仿宋_GB2312" w:cs="仿宋_GB2312" w:eastAsia="仿宋_GB2312"/>
          <w:sz w:val="28"/>
          <w:b/>
        </w:rPr>
        <w:t>陕西省科技资源统筹中心</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陕西省科技资源统筹中心</w:t>
      </w:r>
      <w:r>
        <w:rPr>
          <w:rFonts w:ascii="仿宋_GB2312" w:hAnsi="仿宋_GB2312" w:cs="仿宋_GB2312" w:eastAsia="仿宋_GB2312"/>
        </w:rPr>
        <w:t>委托，拟对</w:t>
      </w:r>
      <w:r>
        <w:rPr>
          <w:rFonts w:ascii="仿宋_GB2312" w:hAnsi="仿宋_GB2312" w:cs="仿宋_GB2312" w:eastAsia="仿宋_GB2312"/>
        </w:rPr>
        <w:t>陕西省科技业务综合服务信息系统业务改革适应性调整开发项目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DQB-2025008-ZB</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陕西省科技业务综合服务信息系统业务改革适应性调整开发项目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适应省委、省政府机构改革的要求，项目建设必须紧密贴合省科技项目管理的实际工作，充分利用信息化手段，以互联网为载体，采取“统一受理、分类管理、集中评审、智能匹配、实时跟踪、全程监控、风险预警、数据可视化”的管理模式。 根据业务调整的实际情况，对陕西省科技业务综合服务信息系统内的管理用户信息、业务权限、功能权限、菜单权限进行重新梳理，并按照角色、权限、所属部门以及内外部用户进行细致配置。同时，针对项目调整的实际情况，对系统内的项目类别、项目模板、项目流程进行重新整理，以满足改革后的实际业务需求。此外，提升系统的冗余功能，确保系统的稳定性和可靠性，扩展用户组管理功能，包括但不限于用户组的禁用、停用以及功能的调整等，确保在引入新功能的同时，不会对现有的业务数据运行造成不良影响，从而保障机构改革后全省科技系统各项业务工作的顺利进行。 构建并完善高质量项目管理子系统，实现与省级科技项目管理体系的无缝对接，确保国家级与省级科技项目业务的并行运作，并实现两级业务的灵活转换。采用动态管理策略，即“策划一批、储备一批、启动一批、完成一批”，将符合高质量项目标准的省级项目纳入高质量管理子系统，通过“一个平台两级管理”的服务模式，达成省级科技项目高质量过程管理的全面服务。 构建面向中小企业的研发服务管理子系统，以技术创新作为经济社会发展的主要驱动力，激发中小企业的创新潜能，解决其普遍存在的技术人才匮乏、研发能力不足、资源获取途径有限等问题，促进产业的升级与转型。同时，依托陕西省科技业务综合服务信息系统中的省级及以上重点实验室、工程技术中心等科技创新平台，实现中小企业研发服务系统与陕西省科技业务系统的数据、业务、管理、服务等方面的互联互通，以及科技资源的开放共享和高效利用。</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采购包1（陕西省科技业务综合服务信息系统业务改革适应性调整开发项目）：属于专门面向小微企业采购。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2023或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4、社保缴纳证明：提供递交投标文件截止之日前一年内任意一个月的社会保障资金缴存单据或社保机构开具的社会保险参保缴费情况证明。依法不需要缴纳社会保障资金的投标供应商应提供相关证明文件。</w:t>
      </w:r>
    </w:p>
    <w:p>
      <w:pPr>
        <w:pStyle w:val="null3"/>
      </w:pPr>
      <w:r>
        <w:rPr>
          <w:rFonts w:ascii="仿宋_GB2312" w:hAnsi="仿宋_GB2312" w:cs="仿宋_GB2312" w:eastAsia="仿宋_GB2312"/>
        </w:rPr>
        <w:t>5、税收缴纳证明：提供递交投标文件截止之日前一年内任意一个月的依法缴纳税收的相关凭据，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6、近三年无重大违法、违纪书面声明：提供《近三年无重大违法、违纪书面声明：》（按格式填写，提供原件）。</w:t>
      </w:r>
    </w:p>
    <w:p>
      <w:pPr>
        <w:pStyle w:val="null3"/>
      </w:pPr>
      <w:r>
        <w:rPr>
          <w:rFonts w:ascii="仿宋_GB2312" w:hAnsi="仿宋_GB2312" w:cs="仿宋_GB2312" w:eastAsia="仿宋_GB2312"/>
        </w:rPr>
        <w:t>7、信用记录：投标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8、控股管理关系：提供直接控股和管理关系清单。若与其他投标供应商存在单位负责人为同一人或者存在直接控股、管理关系的，则投标无效。</w:t>
      </w:r>
    </w:p>
    <w:p>
      <w:pPr>
        <w:pStyle w:val="null3"/>
      </w:pPr>
      <w:r>
        <w:rPr>
          <w:rFonts w:ascii="仿宋_GB2312" w:hAnsi="仿宋_GB2312" w:cs="仿宋_GB2312" w:eastAsia="仿宋_GB2312"/>
        </w:rPr>
        <w:t>9、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 法人的分支机构参与投标时，除提供《法定代表人授权委托书》外，还须同时提供总公司给分支机构出具的授权书。</w:t>
      </w:r>
    </w:p>
    <w:p>
      <w:pPr>
        <w:pStyle w:val="null3"/>
      </w:pPr>
      <w:r>
        <w:rPr>
          <w:rFonts w:ascii="仿宋_GB2312" w:hAnsi="仿宋_GB2312" w:cs="仿宋_GB2312" w:eastAsia="仿宋_GB2312"/>
        </w:rPr>
        <w:t>10、本项目不接受联合体投标，不允许分包：投标供应商应提供《非联合体不分包投标声明》，视为独立投标，不分包。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陕西省科技资源统筹中心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西安市丈八五路10号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陕西省科技资源统筹中心经办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029-88857938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李浩、罗宇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银行账号：52880188000025295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代理服务费收费标准：采购代理服务费按以下标准计取： 成交金额100万元以下，按费率1.5%计取 成交金额100-500万元，按费率 1.1%计取 注：采购代理服务费收费按差额定率累进法计算。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陕西省科技资源统筹中心</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陕西省科技资源统筹中心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陕西省科技资源统筹中心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（1）中标人必须对其所提供的全部系统进行安装，其中包括：安装、测试和联网调试，平台开发完成并运行1个月后验收。 （2）技术文件 A.中标人必须向采购人单位提供系统的安装、运行、使用、测试、诊断和维修的技术文件。 B.中标人必须向采购人单位提供系统配置说明、需求调研报告、验收报告、采购人使用手册、维护手册、培训教材等相关文档（包括电子文档）。 （3）产品内容及所有技术性能规格参数应符合招标文件和中标人投标文件所要求的标准，并由采购方试用并验收通过。</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联系人：李浩、罗宇</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对陕西省科技业务综合服务信息系统进行业务功能升级和优化</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3,100,000.00</w:t>
      </w:r>
    </w:p>
    <w:p>
      <w:pPr>
        <w:pStyle w:val="null3"/>
      </w:pPr>
      <w:r>
        <w:rPr>
          <w:rFonts w:ascii="仿宋_GB2312" w:hAnsi="仿宋_GB2312" w:cs="仿宋_GB2312" w:eastAsia="仿宋_GB2312"/>
        </w:rPr>
        <w:t>采购包最高限价（元）: 3,100,000.00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对陕西省科技业务综合服务信息系统进行业务功能升级和优化</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标的名称：对陕西省科技业务综合服务信息系统进行业务功能升级和优化</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建设内容</w:t>
            </w:r>
          </w:p>
        </w:tc>
        <w:tc>
          <w:tcPr>
            <w:tcW w:type="dxa" w:w="2076"/>
          </w:tcPr>
          <w:p>
            <w:pPr>
              <w:pStyle w:val="null3"/>
              <w:ind w:firstLine="480"/>
              <w:jc w:val="both"/>
            </w:pPr>
            <w:r>
              <w:rPr>
                <w:rFonts w:ascii="仿宋_GB2312" w:hAnsi="仿宋_GB2312" w:cs="仿宋_GB2312" w:eastAsia="仿宋_GB2312"/>
                <w:sz w:val="24"/>
                <w:b/>
              </w:rPr>
              <w:t>一、采购项目概况</w:t>
            </w:r>
          </w:p>
          <w:p>
            <w:pPr>
              <w:pStyle w:val="null3"/>
              <w:ind w:firstLine="566"/>
              <w:jc w:val="both"/>
            </w:pPr>
            <w:r>
              <w:rPr>
                <w:rFonts w:ascii="仿宋_GB2312" w:hAnsi="仿宋_GB2312" w:cs="仿宋_GB2312" w:eastAsia="仿宋_GB2312"/>
                <w:sz w:val="24"/>
              </w:rPr>
              <w:t>为适应省委、省政府机构改革的要求，项目建设必须紧密贴合省</w:t>
            </w:r>
            <w:r>
              <w:rPr>
                <w:rFonts w:ascii="仿宋_GB2312" w:hAnsi="仿宋_GB2312" w:cs="仿宋_GB2312" w:eastAsia="仿宋_GB2312"/>
                <w:sz w:val="24"/>
              </w:rPr>
              <w:t>科技</w:t>
            </w:r>
            <w:r>
              <w:rPr>
                <w:rFonts w:ascii="仿宋_GB2312" w:hAnsi="仿宋_GB2312" w:cs="仿宋_GB2312" w:eastAsia="仿宋_GB2312"/>
                <w:sz w:val="24"/>
              </w:rPr>
              <w:t>项目管理的实际工作，充分利用信息化手段，以互联网为载体，采取</w:t>
            </w:r>
            <w:r>
              <w:rPr>
                <w:rFonts w:ascii="仿宋_GB2312" w:hAnsi="仿宋_GB2312" w:cs="仿宋_GB2312" w:eastAsia="仿宋_GB2312"/>
                <w:sz w:val="24"/>
              </w:rPr>
              <w:t>“统一受理、分类管理、集中评审、智能匹配、实时跟踪、全程监控、风险预警、数据可视化”的管理模式。</w:t>
            </w:r>
          </w:p>
          <w:p>
            <w:pPr>
              <w:pStyle w:val="null3"/>
              <w:ind w:firstLine="566"/>
              <w:jc w:val="both"/>
            </w:pPr>
            <w:r>
              <w:rPr>
                <w:rFonts w:ascii="仿宋_GB2312" w:hAnsi="仿宋_GB2312" w:cs="仿宋_GB2312" w:eastAsia="仿宋_GB2312"/>
                <w:sz w:val="24"/>
              </w:rPr>
              <w:t>根据业务调整的实际情况，对陕西省科技业务综合服务信息系统内的管理用户信息、业务权限、功能权限、菜单权限进行重新梳理，并按照角色、权限、所属部门以及内外部用户进行细致配置。同时，针对项目调整的实际情况，对系统内的项目类别、项目模板、项目流程进行重新整理，以满足改革后的实际业务需求。此外，提升系统的冗余功能，确保系统的稳定性和可靠性，扩展用户组管理功能，包括但不限于用户组的禁用、停用以及功能的调整等，确保在引入新功能的同时，不会对现有的业务数据运行造成不良影响，从而保障机构改革后</w:t>
            </w:r>
            <w:r>
              <w:rPr>
                <w:rFonts w:ascii="仿宋_GB2312" w:hAnsi="仿宋_GB2312" w:cs="仿宋_GB2312" w:eastAsia="仿宋_GB2312"/>
                <w:sz w:val="24"/>
              </w:rPr>
              <w:t>全省</w:t>
            </w:r>
            <w:r>
              <w:rPr>
                <w:rFonts w:ascii="仿宋_GB2312" w:hAnsi="仿宋_GB2312" w:cs="仿宋_GB2312" w:eastAsia="仿宋_GB2312"/>
                <w:sz w:val="24"/>
              </w:rPr>
              <w:t>科技</w:t>
            </w:r>
            <w:r>
              <w:rPr>
                <w:rFonts w:ascii="仿宋_GB2312" w:hAnsi="仿宋_GB2312" w:cs="仿宋_GB2312" w:eastAsia="仿宋_GB2312"/>
                <w:sz w:val="24"/>
              </w:rPr>
              <w:t>系统</w:t>
            </w:r>
            <w:r>
              <w:rPr>
                <w:rFonts w:ascii="仿宋_GB2312" w:hAnsi="仿宋_GB2312" w:cs="仿宋_GB2312" w:eastAsia="仿宋_GB2312"/>
                <w:sz w:val="24"/>
              </w:rPr>
              <w:t>各项业务工作的顺利进行。</w:t>
            </w:r>
          </w:p>
          <w:p>
            <w:pPr>
              <w:pStyle w:val="null3"/>
              <w:ind w:firstLine="566"/>
              <w:jc w:val="both"/>
            </w:pPr>
            <w:r>
              <w:rPr>
                <w:rFonts w:ascii="仿宋_GB2312" w:hAnsi="仿宋_GB2312" w:cs="仿宋_GB2312" w:eastAsia="仿宋_GB2312"/>
                <w:sz w:val="24"/>
              </w:rPr>
              <w:t>构建并完善高质量项目管理子系统，实现与省级科技项目管理体系的无缝对接，确保国家级与省级科技项目业务的并行运作，并实现两级业务的灵活转换。采用动态管理策略，即</w:t>
            </w:r>
            <w:r>
              <w:rPr>
                <w:rFonts w:ascii="仿宋_GB2312" w:hAnsi="仿宋_GB2312" w:cs="仿宋_GB2312" w:eastAsia="仿宋_GB2312"/>
                <w:sz w:val="24"/>
              </w:rPr>
              <w:t>“策划一批、储备一批、启动一批、完成一批”，将符合高质量项目标准的省级项目纳入高质量管理子系统，通过“一个平台两级管理”的服务模式，达成省级科技项目高质量过程管理的全面服务。</w:t>
            </w:r>
          </w:p>
          <w:p>
            <w:pPr>
              <w:pStyle w:val="null3"/>
              <w:ind w:firstLine="566"/>
              <w:jc w:val="both"/>
            </w:pPr>
            <w:r>
              <w:rPr>
                <w:rFonts w:ascii="仿宋_GB2312" w:hAnsi="仿宋_GB2312" w:cs="仿宋_GB2312" w:eastAsia="仿宋_GB2312"/>
                <w:sz w:val="24"/>
              </w:rPr>
              <w:t>构建面向中小企业的研发服务管理子系统，以技术创新作为经济社会发展的主要驱动力，激发中小企业的创新潜能，解决其普遍存在的技术人才匮乏、研发能力不足、资源获取途径有限等问题，促进产业的升级与转型。同时，依托陕西省科技业务综合服务信息系统中的省级及以上重点实验室、工程技术中心等科技创新平台，实现中小企业研发服务系统与陕西省科技业务系统的数据、业务、管理、服务等方面的互联互通，以及科技资源的开放共享和高效利用。</w:t>
            </w:r>
          </w:p>
          <w:p>
            <w:pPr>
              <w:pStyle w:val="null3"/>
              <w:ind w:firstLine="482"/>
              <w:jc w:val="both"/>
            </w:pPr>
            <w:r>
              <w:rPr>
                <w:rFonts w:ascii="仿宋_GB2312" w:hAnsi="仿宋_GB2312" w:cs="仿宋_GB2312" w:eastAsia="仿宋_GB2312"/>
                <w:sz w:val="24"/>
                <w:b/>
              </w:rPr>
              <w:t>二、服务内容</w:t>
            </w:r>
          </w:p>
          <w:p>
            <w:pPr>
              <w:pStyle w:val="null3"/>
              <w:ind w:firstLine="482"/>
              <w:jc w:val="both"/>
            </w:pPr>
            <w:r>
              <w:rPr>
                <w:rFonts w:ascii="仿宋_GB2312" w:hAnsi="仿宋_GB2312" w:cs="仿宋_GB2312" w:eastAsia="仿宋_GB2312"/>
                <w:sz w:val="24"/>
                <w:b/>
              </w:rPr>
              <w:t>1.项目背景</w:t>
            </w:r>
          </w:p>
          <w:p>
            <w:pPr>
              <w:pStyle w:val="null3"/>
              <w:ind w:firstLine="480"/>
              <w:jc w:val="both"/>
            </w:pPr>
            <w:r>
              <w:rPr>
                <w:rFonts w:ascii="仿宋_GB2312" w:hAnsi="仿宋_GB2312" w:cs="仿宋_GB2312" w:eastAsia="仿宋_GB2312"/>
                <w:sz w:val="24"/>
              </w:rPr>
              <w:t>陕西科技业务信息系统已经全面实现了科技计划项目的全周期信息化管理，涵盖了从单位注册、项目申报、部门初审、项目评审、立项审批、合同签订、拨款管理、项目变更、科技报告、中期检查、财务验收、技术验收到高企认定等多个关键环节。系统整合了内部管理部门共计</w:t>
            </w:r>
            <w:r>
              <w:rPr>
                <w:rFonts w:ascii="仿宋_GB2312" w:hAnsi="仿宋_GB2312" w:cs="仿宋_GB2312" w:eastAsia="仿宋_GB2312"/>
                <w:sz w:val="24"/>
              </w:rPr>
              <w:t>20个，以及科技主管部门122个，共同构建起了高效稳定的系统运行支撑平台。通过这一系统的网络化、全流程、一站式建设，不仅显著提升了陕西科技业务管理的行政效能，也有效增强了公共服务能力，为陕西省的科技事业发展提供了有力支撑。</w:t>
            </w:r>
          </w:p>
          <w:p>
            <w:pPr>
              <w:pStyle w:val="null3"/>
              <w:ind w:firstLine="566"/>
              <w:jc w:val="both"/>
            </w:pPr>
            <w:r>
              <w:rPr>
                <w:rFonts w:ascii="仿宋_GB2312" w:hAnsi="仿宋_GB2312" w:cs="仿宋_GB2312" w:eastAsia="仿宋_GB2312"/>
                <w:sz w:val="24"/>
              </w:rPr>
              <w:t>陕西科技业务信息系统自</w:t>
            </w:r>
            <w:r>
              <w:rPr>
                <w:rFonts w:ascii="仿宋_GB2312" w:hAnsi="仿宋_GB2312" w:cs="仿宋_GB2312" w:eastAsia="仿宋_GB2312"/>
                <w:sz w:val="24"/>
              </w:rPr>
              <w:t>2014年启动运营以来，已累计吸纳注册单位超过3.6万家，注册项目负责人逾23万人，成功注册并整合评审专家数量达到13万余人。在过去的一年中，系统提供了电话技术支持服务达5万余次，QQ在线咨询服务累计超过6万次。目前，系统已成功上线项目类别近150项，通过该平台提交的申请书总量超过14万份，其中确认立项的项目数量达到7万余项。同时，系统对超过1万项的重大项目进行了中期管理，并对所有立项项目实施了全面的验收管理。</w:t>
            </w:r>
          </w:p>
          <w:p>
            <w:pPr>
              <w:pStyle w:val="null3"/>
              <w:ind w:firstLine="566"/>
              <w:jc w:val="both"/>
            </w:pPr>
            <w:r>
              <w:rPr>
                <w:rFonts w:ascii="仿宋_GB2312" w:hAnsi="仿宋_GB2312" w:cs="仿宋_GB2312" w:eastAsia="仿宋_GB2312"/>
                <w:sz w:val="24"/>
              </w:rPr>
              <w:t>系统还完成了对</w:t>
            </w:r>
            <w:r>
              <w:rPr>
                <w:rFonts w:ascii="仿宋_GB2312" w:hAnsi="仿宋_GB2312" w:cs="仿宋_GB2312" w:eastAsia="仿宋_GB2312"/>
                <w:sz w:val="24"/>
              </w:rPr>
              <w:t>3.4万余个历史项目的数据迁移工作，并在系统中实现了对历史项目的验收管理，从而实现了科技计划项目的全周期信息化管理。这一重要举措极大地提升了陕西省科技业务管理的综合效能，为科技事业的持续发展提供了有力支撑。</w:t>
            </w:r>
          </w:p>
          <w:p>
            <w:pPr>
              <w:pStyle w:val="null3"/>
              <w:ind w:firstLine="566"/>
              <w:jc w:val="both"/>
            </w:pPr>
            <w:r>
              <w:rPr>
                <w:rFonts w:ascii="仿宋_GB2312" w:hAnsi="仿宋_GB2312" w:cs="仿宋_GB2312" w:eastAsia="仿宋_GB2312"/>
                <w:sz w:val="24"/>
              </w:rPr>
              <w:t>为确保陕西科技业务信息系统的持久稳定与持续高效运作，必须依据国家及省级层面科技计划管理的新要求与政策调整，对系统既有功能进行深入的功能拓展与性能优化升级。</w:t>
            </w:r>
            <w:r>
              <w:rPr>
                <w:rFonts w:ascii="仿宋_GB2312" w:hAnsi="仿宋_GB2312" w:cs="仿宋_GB2312" w:eastAsia="仿宋_GB2312"/>
                <w:sz w:val="24"/>
              </w:rPr>
              <w:t>对符合高质量项目标准的省级项目，通过</w:t>
            </w:r>
            <w:r>
              <w:rPr>
                <w:rFonts w:ascii="仿宋_GB2312" w:hAnsi="仿宋_GB2312" w:cs="仿宋_GB2312" w:eastAsia="仿宋_GB2312"/>
                <w:sz w:val="24"/>
              </w:rPr>
              <w:t>“一个平台两级管理”的服务模式纳入高质量项目管理子系统。</w:t>
            </w:r>
            <w:r>
              <w:rPr>
                <w:rFonts w:ascii="仿宋_GB2312" w:hAnsi="仿宋_GB2312" w:cs="仿宋_GB2312" w:eastAsia="仿宋_GB2312"/>
                <w:sz w:val="24"/>
              </w:rPr>
              <w:t>对激发中小企业创新活力，推动产业升级与转型，依托省级以上的重点实验室、工程技术中心等科技创新平台，在陕西省科技业务综合服务信息系统中增设中小企业研发服务管理子系统。</w:t>
            </w:r>
          </w:p>
          <w:p>
            <w:pPr>
              <w:pStyle w:val="null3"/>
              <w:ind w:firstLine="566"/>
              <w:jc w:val="both"/>
            </w:pPr>
            <w:r>
              <w:rPr>
                <w:rFonts w:ascii="仿宋_GB2312" w:hAnsi="仿宋_GB2312" w:cs="仿宋_GB2312" w:eastAsia="仿宋_GB2312"/>
                <w:sz w:val="24"/>
              </w:rPr>
              <w:t>为此，陕西省科技业务综合管理系统需进行全面而细致的优化改造，以适应相关政策与管理要求的动态变化，确保系统始终保持与时俱进，为陕西科技事业的</w:t>
            </w:r>
            <w:r>
              <w:rPr>
                <w:rFonts w:ascii="仿宋_GB2312" w:hAnsi="仿宋_GB2312" w:cs="仿宋_GB2312" w:eastAsia="仿宋_GB2312"/>
                <w:sz w:val="24"/>
              </w:rPr>
              <w:t>高质量</w:t>
            </w:r>
            <w:r>
              <w:rPr>
                <w:rFonts w:ascii="仿宋_GB2312" w:hAnsi="仿宋_GB2312" w:cs="仿宋_GB2312" w:eastAsia="仿宋_GB2312"/>
                <w:sz w:val="24"/>
              </w:rPr>
              <w:t>发展提供坚实支撑。</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、建设内容</w:t>
            </w:r>
          </w:p>
          <w:p>
            <w:pPr>
              <w:pStyle w:val="null3"/>
              <w:ind w:firstLine="566"/>
              <w:jc w:val="both"/>
            </w:pPr>
            <w:r>
              <w:rPr>
                <w:rFonts w:ascii="仿宋_GB2312" w:hAnsi="仿宋_GB2312" w:cs="仿宋_GB2312" w:eastAsia="仿宋_GB2312"/>
                <w:sz w:val="24"/>
              </w:rPr>
              <w:t>为适应省委、省政府机构改革的要求，项目建设必须紧密贴合省科技项目管理的实际工作，通过对陕西省科技业务综合服务信息系统适应性改造，充分利用信息化手段，以互联网为载体，采取</w:t>
            </w:r>
            <w:r>
              <w:rPr>
                <w:rFonts w:ascii="仿宋_GB2312" w:hAnsi="仿宋_GB2312" w:cs="仿宋_GB2312" w:eastAsia="仿宋_GB2312"/>
                <w:sz w:val="24"/>
              </w:rPr>
              <w:t>“统一受理、分类管理、集中评审、智能匹配、实时跟踪、全程监控、风险预警、数据可视化”的管理模式。</w:t>
            </w:r>
          </w:p>
          <w:p>
            <w:pPr>
              <w:pStyle w:val="null3"/>
              <w:ind w:firstLine="566"/>
              <w:jc w:val="both"/>
            </w:pPr>
            <w:r>
              <w:rPr>
                <w:rFonts w:ascii="仿宋_GB2312" w:hAnsi="仿宋_GB2312" w:cs="仿宋_GB2312" w:eastAsia="仿宋_GB2312"/>
                <w:sz w:val="24"/>
              </w:rPr>
              <w:t>具体建设需求如下：</w:t>
            </w:r>
          </w:p>
          <w:p>
            <w:pPr>
              <w:pStyle w:val="null3"/>
              <w:ind w:firstLine="569"/>
              <w:jc w:val="both"/>
            </w:pPr>
            <w:r>
              <w:rPr>
                <w:rFonts w:ascii="仿宋_GB2312" w:hAnsi="仿宋_GB2312" w:cs="仿宋_GB2312" w:eastAsia="仿宋_GB2312"/>
                <w:sz w:val="24"/>
                <w:b/>
              </w:rPr>
              <w:t>1.系统基础平台调整</w:t>
            </w:r>
          </w:p>
          <w:p>
            <w:pPr>
              <w:pStyle w:val="null3"/>
              <w:ind w:firstLine="566"/>
              <w:jc w:val="both"/>
            </w:pPr>
            <w:r>
              <w:rPr>
                <w:rFonts w:ascii="仿宋_GB2312" w:hAnsi="仿宋_GB2312" w:cs="仿宋_GB2312" w:eastAsia="仿宋_GB2312"/>
                <w:sz w:val="24"/>
              </w:rPr>
              <w:t>根据业务调整的实际情况，对陕西省科技业务综合服务信息系统内的管理用户信息、业务权限、功能权限、菜单权限进行重新梳理，并按照角色、权限、所属部门以及内外部用户进行细致配置。同时，针对项目调整的实际情况，对系统内的项目类别、项目模板、项目流程进行重新整理，以满足改革后的实际业务需求。此外，提升系统的冗余功能，确保系统的稳定性和可靠性，扩展用户组管理功能，包括但不限于用户组的禁用、停用以及功能的调整等，确保在引入新功能的同时，不会对现有的业务数据运行造成不良影响，从而保障机构改革后省科技厅各项业务工作的顺利进行。</w:t>
            </w:r>
          </w:p>
          <w:p>
            <w:pPr>
              <w:pStyle w:val="null3"/>
              <w:ind w:firstLine="566"/>
              <w:jc w:val="both"/>
            </w:pPr>
            <w:r>
              <w:rPr>
                <w:rFonts w:ascii="仿宋_GB2312" w:hAnsi="仿宋_GB2312" w:cs="仿宋_GB2312" w:eastAsia="仿宋_GB2312"/>
                <w:sz w:val="24"/>
              </w:rPr>
              <w:t>1.1根据机构改革需求，调整系统整体架构。</w:t>
            </w:r>
          </w:p>
          <w:p>
            <w:pPr>
              <w:pStyle w:val="null3"/>
              <w:ind w:firstLine="566"/>
              <w:jc w:val="both"/>
            </w:pPr>
            <w:r>
              <w:rPr>
                <w:rFonts w:ascii="仿宋_GB2312" w:hAnsi="仿宋_GB2312" w:cs="仿宋_GB2312" w:eastAsia="仿宋_GB2312"/>
                <w:sz w:val="24"/>
              </w:rPr>
              <w:t>1.2根据业务实际调整情况，重新梳理系统内管理用户信息、业务权限、功能权限、菜单权限，按照角色、权限、所属部门及内外部用户进行配置。</w:t>
            </w:r>
          </w:p>
          <w:p>
            <w:pPr>
              <w:pStyle w:val="null3"/>
              <w:ind w:firstLine="566"/>
              <w:jc w:val="both"/>
            </w:pPr>
            <w:r>
              <w:rPr>
                <w:rFonts w:ascii="仿宋_GB2312" w:hAnsi="仿宋_GB2312" w:cs="仿宋_GB2312" w:eastAsia="仿宋_GB2312"/>
                <w:sz w:val="24"/>
              </w:rPr>
              <w:t>1.3根据项目实际调整情况，重新梳理系统内项目类别、项目模板、项目流程，满足改革后实际业务需求。</w:t>
            </w:r>
          </w:p>
          <w:p>
            <w:pPr>
              <w:pStyle w:val="null3"/>
              <w:ind w:firstLine="566"/>
              <w:jc w:val="both"/>
            </w:pPr>
            <w:r>
              <w:rPr>
                <w:rFonts w:ascii="仿宋_GB2312" w:hAnsi="仿宋_GB2312" w:cs="仿宋_GB2312" w:eastAsia="仿宋_GB2312"/>
                <w:sz w:val="24"/>
              </w:rPr>
              <w:t>1.4提高系统冗余功能，保障系统的稳定性和可靠性，扩充用户组管理功能，包括但不限于用户组的禁用、停用以及功能的调整等，确保在扩展新功能的同时，不会对既有的业务数据运行产生负面影响。</w:t>
            </w:r>
          </w:p>
          <w:p>
            <w:pPr>
              <w:pStyle w:val="null3"/>
              <w:ind w:firstLine="569"/>
              <w:jc w:val="both"/>
            </w:pPr>
            <w:r>
              <w:rPr>
                <w:rFonts w:ascii="仿宋_GB2312" w:hAnsi="仿宋_GB2312" w:cs="仿宋_GB2312" w:eastAsia="仿宋_GB2312"/>
                <w:sz w:val="24"/>
                <w:b/>
              </w:rPr>
              <w:t>2.建设高质量项目管理子系统</w:t>
            </w:r>
          </w:p>
          <w:p>
            <w:pPr>
              <w:pStyle w:val="null3"/>
              <w:ind w:firstLine="566"/>
              <w:jc w:val="both"/>
            </w:pPr>
            <w:r>
              <w:rPr>
                <w:rFonts w:ascii="仿宋_GB2312" w:hAnsi="仿宋_GB2312" w:cs="仿宋_GB2312" w:eastAsia="仿宋_GB2312"/>
                <w:sz w:val="24"/>
              </w:rPr>
              <w:t>构建并完善高质量项目管理子系统，实现与省级科技项目管理体系的无缝对接，确保国家级与省级科技项目业务的并行运作，并实现两级业务的灵活转换。采用动态管理策略，即</w:t>
            </w:r>
            <w:r>
              <w:rPr>
                <w:rFonts w:ascii="仿宋_GB2312" w:hAnsi="仿宋_GB2312" w:cs="仿宋_GB2312" w:eastAsia="仿宋_GB2312"/>
                <w:sz w:val="24"/>
              </w:rPr>
              <w:t>“策划一批、储备一批、启动一批、完成一批”，将符合高质量项目标准的省级项目纳入高质量管理子系统，通过“一个平台两级管理”的服务模式，实现省级科技项目高质量过程管理的全面服务。</w:t>
            </w:r>
          </w:p>
          <w:p>
            <w:pPr>
              <w:pStyle w:val="null3"/>
              <w:ind w:firstLine="566"/>
              <w:jc w:val="both"/>
            </w:pPr>
            <w:r>
              <w:rPr>
                <w:rFonts w:ascii="仿宋_GB2312" w:hAnsi="仿宋_GB2312" w:cs="仿宋_GB2312" w:eastAsia="仿宋_GB2312"/>
                <w:sz w:val="24"/>
              </w:rPr>
              <w:t>2.1实现省级科技项目高质量过程管理全流程服务。</w:t>
            </w:r>
          </w:p>
          <w:p>
            <w:pPr>
              <w:pStyle w:val="null3"/>
              <w:ind w:firstLine="566"/>
              <w:jc w:val="both"/>
            </w:pPr>
            <w:r>
              <w:rPr>
                <w:rFonts w:ascii="仿宋_GB2312" w:hAnsi="仿宋_GB2312" w:cs="仿宋_GB2312" w:eastAsia="仿宋_GB2312"/>
                <w:sz w:val="24"/>
              </w:rPr>
              <w:t>2.2建设高质量项目管理模块与其他平台管理模块，实现项目与平台业务的分类化管理。</w:t>
            </w:r>
          </w:p>
          <w:p>
            <w:pPr>
              <w:pStyle w:val="null3"/>
              <w:ind w:firstLine="566"/>
              <w:jc w:val="both"/>
            </w:pPr>
            <w:r>
              <w:rPr>
                <w:rFonts w:ascii="仿宋_GB2312" w:hAnsi="仿宋_GB2312" w:cs="仿宋_GB2312" w:eastAsia="仿宋_GB2312"/>
                <w:sz w:val="24"/>
              </w:rPr>
              <w:t>2.3开发高质量项目自动与自定义通知功能，依据既定工作节点发送提醒短信和邮件。</w:t>
            </w:r>
          </w:p>
          <w:p>
            <w:pPr>
              <w:pStyle w:val="null3"/>
              <w:ind w:firstLine="566"/>
              <w:jc w:val="both"/>
            </w:pPr>
            <w:r>
              <w:rPr>
                <w:rFonts w:ascii="仿宋_GB2312" w:hAnsi="仿宋_GB2312" w:cs="仿宋_GB2312" w:eastAsia="仿宋_GB2312"/>
                <w:sz w:val="24"/>
              </w:rPr>
              <w:t>2.4完成高质量项目申报与审批流程，实现申报资料提交与审核功能。</w:t>
            </w:r>
          </w:p>
          <w:p>
            <w:pPr>
              <w:pStyle w:val="null3"/>
              <w:ind w:firstLine="566"/>
              <w:jc w:val="both"/>
            </w:pPr>
            <w:r>
              <w:rPr>
                <w:rFonts w:ascii="仿宋_GB2312" w:hAnsi="仿宋_GB2312" w:cs="仿宋_GB2312" w:eastAsia="仿宋_GB2312"/>
                <w:sz w:val="24"/>
              </w:rPr>
              <w:t>2.5提供高质量项目多维度数据统计与分析，用户能够根据需求设定检索条件，例如项目分组、提交日期、通知日期、工作进度、项目类别等，以精确筛选项目数据。</w:t>
            </w:r>
          </w:p>
          <w:p>
            <w:pPr>
              <w:pStyle w:val="null3"/>
              <w:ind w:firstLine="569"/>
              <w:jc w:val="both"/>
            </w:pPr>
            <w:r>
              <w:rPr>
                <w:rFonts w:ascii="仿宋_GB2312" w:hAnsi="仿宋_GB2312" w:cs="仿宋_GB2312" w:eastAsia="仿宋_GB2312"/>
                <w:sz w:val="24"/>
                <w:b/>
              </w:rPr>
              <w:t>3.建设中小企业研发服务管理子系统</w:t>
            </w:r>
          </w:p>
          <w:p>
            <w:pPr>
              <w:pStyle w:val="null3"/>
              <w:ind w:firstLine="566"/>
              <w:jc w:val="both"/>
            </w:pPr>
            <w:r>
              <w:rPr>
                <w:rFonts w:ascii="仿宋_GB2312" w:hAnsi="仿宋_GB2312" w:cs="仿宋_GB2312" w:eastAsia="仿宋_GB2312"/>
                <w:sz w:val="24"/>
              </w:rPr>
              <w:t>构建面向中小企业的研发服务管理子系统，以技术创新作为经济社会发展的主要驱动力，激发中小企业的创新潜能，解决其普遍存在的技术人才匮乏、研发能力不足、资源获取途径有限等问题，促进产业的升级与转型。同时，依托陕西省科技业务综合服务信息系统中的省级及以上重点实验室、工程技术中心等科技创新平台，实现中小企业研发服务系统与陕西省科技业务系统的数据、业务、管理、服务等方面的互联互通，以及科技资源的开放共享和高效利用。</w:t>
            </w:r>
          </w:p>
          <w:p>
            <w:pPr>
              <w:pStyle w:val="null3"/>
              <w:ind w:firstLine="566"/>
              <w:jc w:val="both"/>
            </w:pPr>
            <w:r>
              <w:rPr>
                <w:rFonts w:ascii="仿宋_GB2312" w:hAnsi="仿宋_GB2312" w:cs="仿宋_GB2312" w:eastAsia="仿宋_GB2312"/>
                <w:sz w:val="24"/>
              </w:rPr>
              <w:t>3.1实现需求方的账号注册、需求内容的发布、删除、修改、查询等功能。</w:t>
            </w:r>
          </w:p>
          <w:p>
            <w:pPr>
              <w:pStyle w:val="null3"/>
              <w:ind w:firstLine="566"/>
              <w:jc w:val="both"/>
            </w:pPr>
            <w:r>
              <w:rPr>
                <w:rFonts w:ascii="仿宋_GB2312" w:hAnsi="仿宋_GB2312" w:cs="仿宋_GB2312" w:eastAsia="仿宋_GB2312"/>
                <w:sz w:val="24"/>
              </w:rPr>
              <w:t>3.2实现服务机构的账号注册、技术服务内容的发布、删除、修改、查询等功能。</w:t>
            </w:r>
          </w:p>
          <w:p>
            <w:pPr>
              <w:pStyle w:val="null3"/>
              <w:ind w:firstLine="566"/>
              <w:jc w:val="both"/>
            </w:pPr>
            <w:r>
              <w:rPr>
                <w:rFonts w:ascii="仿宋_GB2312" w:hAnsi="仿宋_GB2312" w:cs="仿宋_GB2312" w:eastAsia="仿宋_GB2312"/>
                <w:sz w:val="24"/>
              </w:rPr>
              <w:t>3.3实现业务管理部门对需求方内容发布和服务机构的技术服务内容的审核。</w:t>
            </w:r>
          </w:p>
          <w:p>
            <w:pPr>
              <w:pStyle w:val="null3"/>
              <w:ind w:firstLine="566"/>
              <w:jc w:val="both"/>
            </w:pPr>
            <w:r>
              <w:rPr>
                <w:rFonts w:ascii="仿宋_GB2312" w:hAnsi="仿宋_GB2312" w:cs="仿宋_GB2312" w:eastAsia="仿宋_GB2312"/>
                <w:sz w:val="24"/>
              </w:rPr>
              <w:t>3.4实现需求方管理库和机构方管理库的建设，便于业务管理部门对双方的监管以及资料审查。</w:t>
            </w:r>
          </w:p>
          <w:p>
            <w:pPr>
              <w:pStyle w:val="null3"/>
              <w:ind w:firstLine="566"/>
              <w:jc w:val="both"/>
            </w:pPr>
            <w:r>
              <w:rPr>
                <w:rFonts w:ascii="仿宋_GB2312" w:hAnsi="仿宋_GB2312" w:cs="仿宋_GB2312" w:eastAsia="仿宋_GB2312"/>
                <w:sz w:val="24"/>
              </w:rPr>
              <w:t>3.5实现业务管理部门对服务机构的服务质量实施全面监督。</w:t>
            </w:r>
          </w:p>
          <w:p>
            <w:pPr>
              <w:pStyle w:val="null3"/>
              <w:ind w:firstLine="566"/>
              <w:jc w:val="both"/>
            </w:pPr>
            <w:r>
              <w:rPr>
                <w:rFonts w:ascii="仿宋_GB2312" w:hAnsi="仿宋_GB2312" w:cs="仿宋_GB2312" w:eastAsia="仿宋_GB2312"/>
                <w:sz w:val="24"/>
              </w:rPr>
              <w:t>3.6实现对服务机构、需求方、需求梳理、订单数量、合同数量、合同金额等相关信息的统计和关键指标分析，为决策提供有力支持。</w:t>
            </w:r>
          </w:p>
          <w:p>
            <w:pPr>
              <w:pStyle w:val="null3"/>
              <w:ind w:firstLine="566"/>
              <w:jc w:val="both"/>
            </w:pPr>
            <w:r>
              <w:rPr>
                <w:rFonts w:ascii="仿宋_GB2312" w:hAnsi="仿宋_GB2312" w:cs="仿宋_GB2312" w:eastAsia="仿宋_GB2312"/>
                <w:sz w:val="24"/>
              </w:rPr>
              <w:t>3.7实现技术评审和财务评审管理功能，为资金补贴的综合管理体系提供支撑依据。</w:t>
            </w:r>
          </w:p>
          <w:p>
            <w:pPr>
              <w:pStyle w:val="null3"/>
              <w:ind w:firstLine="566"/>
              <w:jc w:val="both"/>
            </w:pPr>
            <w:r>
              <w:rPr>
                <w:rFonts w:ascii="仿宋_GB2312" w:hAnsi="仿宋_GB2312" w:cs="仿宋_GB2312" w:eastAsia="仿宋_GB2312"/>
                <w:sz w:val="24"/>
              </w:rPr>
              <w:t>3.8实现中小企业研发服务平台的服务机构展示、通知公告发布、需求内容展示、技术服务内容展示、签约情况展示、合同金额统计展示等。</w:t>
            </w:r>
          </w:p>
          <w:p>
            <w:pPr>
              <w:pStyle w:val="null3"/>
              <w:ind w:firstLine="566"/>
              <w:jc w:val="both"/>
            </w:pPr>
            <w:r>
              <w:rPr>
                <w:rFonts w:ascii="仿宋_GB2312" w:hAnsi="仿宋_GB2312" w:cs="仿宋_GB2312" w:eastAsia="仿宋_GB2312"/>
                <w:sz w:val="24"/>
              </w:rPr>
              <w:t>3.9实现中小企业研发服务系统与陕西省科技业务系统高度融合，满足数据、业务、管理、服务等互联互通，实现一网通办功能。</w:t>
            </w:r>
          </w:p>
          <w:p>
            <w:pPr>
              <w:pStyle w:val="null3"/>
              <w:ind w:firstLine="482"/>
              <w:jc w:val="both"/>
            </w:pPr>
            <w:r>
              <w:rPr>
                <w:rFonts w:ascii="仿宋_GB2312" w:hAnsi="仿宋_GB2312" w:cs="仿宋_GB2312" w:eastAsia="仿宋_GB2312"/>
                <w:sz w:val="24"/>
                <w:b/>
              </w:rPr>
              <w:t>四</w:t>
            </w:r>
            <w:r>
              <w:rPr>
                <w:rFonts w:ascii="仿宋_GB2312" w:hAnsi="仿宋_GB2312" w:cs="仿宋_GB2312" w:eastAsia="仿宋_GB2312"/>
                <w:sz w:val="24"/>
                <w:b/>
              </w:rPr>
              <w:t>、技术要求</w:t>
            </w:r>
          </w:p>
          <w:p>
            <w:pPr>
              <w:pStyle w:val="null3"/>
              <w:ind w:firstLine="480"/>
              <w:jc w:val="both"/>
            </w:pPr>
            <w:r>
              <w:rPr>
                <w:rFonts w:ascii="仿宋_GB2312" w:hAnsi="仿宋_GB2312" w:cs="仿宋_GB2312" w:eastAsia="仿宋_GB2312"/>
                <w:sz w:val="24"/>
              </w:rPr>
              <w:t>1.技术架构</w:t>
            </w:r>
          </w:p>
          <w:p>
            <w:pPr>
              <w:pStyle w:val="null3"/>
              <w:ind w:firstLine="480"/>
              <w:jc w:val="both"/>
            </w:pPr>
            <w:r>
              <w:rPr>
                <w:rFonts w:ascii="仿宋_GB2312" w:hAnsi="仿宋_GB2312" w:cs="仿宋_GB2312" w:eastAsia="仿宋_GB2312"/>
                <w:sz w:val="24"/>
              </w:rPr>
              <w:t>本次招标建设需求内容，需在已有陕西科技业务信息系统上建设，技术架构需考虑当前已有系统涉及的软硬件环境、现有信息系统的应用情况、用户的功能需求、今后的系统维护升级以及和外部系统的接口等因素。同时体系结构应具有高度扩展性、灵活性，为将来更好地实现资源的整合、管理与功能扩展打下良好的基础。</w:t>
            </w:r>
          </w:p>
          <w:p>
            <w:pPr>
              <w:pStyle w:val="null3"/>
              <w:ind w:firstLine="480"/>
              <w:jc w:val="both"/>
            </w:pPr>
            <w:r>
              <w:rPr>
                <w:rFonts w:ascii="仿宋_GB2312" w:hAnsi="仿宋_GB2312" w:cs="仿宋_GB2312" w:eastAsia="仿宋_GB2312"/>
                <w:sz w:val="24"/>
              </w:rPr>
              <w:t>2.技术路线</w:t>
            </w:r>
          </w:p>
          <w:p>
            <w:pPr>
              <w:pStyle w:val="null3"/>
              <w:ind w:firstLine="480"/>
              <w:jc w:val="both"/>
            </w:pPr>
            <w:r>
              <w:rPr>
                <w:rFonts w:ascii="仿宋_GB2312" w:hAnsi="仿宋_GB2312" w:cs="仿宋_GB2312" w:eastAsia="仿宋_GB2312"/>
                <w:sz w:val="24"/>
              </w:rPr>
              <w:t>系统应采用模块化、组件化、面向对象的设计开发模式、基于</w:t>
            </w:r>
            <w:r>
              <w:rPr>
                <w:rFonts w:ascii="仿宋_GB2312" w:hAnsi="仿宋_GB2312" w:cs="仿宋_GB2312" w:eastAsia="仿宋_GB2312"/>
                <w:sz w:val="24"/>
              </w:rPr>
              <w:t>J2EE框架的技术体系，满足跨操作系统的要求。</w:t>
            </w:r>
          </w:p>
          <w:p>
            <w:pPr>
              <w:pStyle w:val="null3"/>
              <w:ind w:firstLine="480"/>
              <w:jc w:val="both"/>
            </w:pPr>
            <w:r>
              <w:rPr>
                <w:rFonts w:ascii="仿宋_GB2312" w:hAnsi="仿宋_GB2312" w:cs="仿宋_GB2312" w:eastAsia="仿宋_GB2312"/>
                <w:sz w:val="24"/>
              </w:rPr>
              <w:t>平台架构：平台开发采用</w:t>
            </w:r>
            <w:r>
              <w:rPr>
                <w:rFonts w:ascii="仿宋_GB2312" w:hAnsi="仿宋_GB2312" w:cs="仿宋_GB2312" w:eastAsia="仿宋_GB2312"/>
                <w:sz w:val="24"/>
              </w:rPr>
              <w:t>J2EE 三层架构体系；</w:t>
            </w:r>
          </w:p>
          <w:p>
            <w:pPr>
              <w:pStyle w:val="null3"/>
              <w:ind w:firstLine="480"/>
              <w:jc w:val="both"/>
            </w:pPr>
            <w:r>
              <w:rPr>
                <w:rFonts w:ascii="仿宋_GB2312" w:hAnsi="仿宋_GB2312" w:cs="仿宋_GB2312" w:eastAsia="仿宋_GB2312"/>
                <w:sz w:val="24"/>
              </w:rPr>
              <w:t>开发语言：</w:t>
            </w:r>
            <w:r>
              <w:rPr>
                <w:rFonts w:ascii="仿宋_GB2312" w:hAnsi="仿宋_GB2312" w:cs="仿宋_GB2312" w:eastAsia="仿宋_GB2312"/>
                <w:sz w:val="24"/>
              </w:rPr>
              <w:t>Java；</w:t>
            </w:r>
          </w:p>
          <w:p>
            <w:pPr>
              <w:pStyle w:val="null3"/>
              <w:ind w:firstLine="480"/>
              <w:jc w:val="both"/>
            </w:pPr>
            <w:r>
              <w:rPr>
                <w:rFonts w:ascii="仿宋_GB2312" w:hAnsi="仿宋_GB2312" w:cs="仿宋_GB2312" w:eastAsia="仿宋_GB2312"/>
                <w:sz w:val="24"/>
              </w:rPr>
              <w:t>服务器操作系统：</w:t>
            </w:r>
            <w:r>
              <w:rPr>
                <w:rFonts w:ascii="仿宋_GB2312" w:hAnsi="仿宋_GB2312" w:cs="仿宋_GB2312" w:eastAsia="仿宋_GB2312"/>
                <w:sz w:val="24"/>
              </w:rPr>
              <w:t>Linux操作系统；</w:t>
            </w:r>
          </w:p>
          <w:p>
            <w:pPr>
              <w:pStyle w:val="null3"/>
              <w:ind w:firstLine="480"/>
              <w:jc w:val="both"/>
            </w:pPr>
            <w:r>
              <w:rPr>
                <w:rFonts w:ascii="仿宋_GB2312" w:hAnsi="仿宋_GB2312" w:cs="仿宋_GB2312" w:eastAsia="仿宋_GB2312"/>
                <w:sz w:val="24"/>
              </w:rPr>
              <w:t>数据库：</w:t>
            </w:r>
            <w:r>
              <w:rPr>
                <w:rFonts w:ascii="仿宋_GB2312" w:hAnsi="仿宋_GB2312" w:cs="仿宋_GB2312" w:eastAsia="仿宋_GB2312"/>
                <w:sz w:val="24"/>
              </w:rPr>
              <w:t>Oracle 11G企业版或以上版本；</w:t>
            </w:r>
          </w:p>
          <w:p>
            <w:pPr>
              <w:pStyle w:val="null3"/>
              <w:ind w:firstLine="480"/>
              <w:jc w:val="both"/>
            </w:pPr>
            <w:r>
              <w:rPr>
                <w:rFonts w:ascii="仿宋_GB2312" w:hAnsi="仿宋_GB2312" w:cs="仿宋_GB2312" w:eastAsia="仿宋_GB2312"/>
                <w:sz w:val="24"/>
              </w:rPr>
              <w:t>WEB 服务器：Tomcat+nginx；</w:t>
            </w:r>
          </w:p>
          <w:p>
            <w:pPr>
              <w:pStyle w:val="null3"/>
              <w:ind w:firstLine="480"/>
              <w:jc w:val="both"/>
            </w:pPr>
            <w:r>
              <w:rPr>
                <w:rFonts w:ascii="仿宋_GB2312" w:hAnsi="仿宋_GB2312" w:cs="仿宋_GB2312" w:eastAsia="仿宋_GB2312"/>
                <w:sz w:val="24"/>
              </w:rPr>
              <w:t>浏览器：应可使用各种主流浏览器。</w:t>
            </w:r>
          </w:p>
          <w:p>
            <w:pPr>
              <w:pStyle w:val="null3"/>
              <w:ind w:firstLine="723"/>
              <w:jc w:val="both"/>
            </w:pPr>
            <w:r>
              <w:rPr>
                <w:rFonts w:ascii="仿宋_GB2312" w:hAnsi="仿宋_GB2312" w:cs="仿宋_GB2312" w:eastAsia="仿宋_GB2312"/>
                <w:sz w:val="24"/>
                <w:b/>
              </w:rPr>
              <w:t>五</w:t>
            </w:r>
            <w:r>
              <w:rPr>
                <w:rFonts w:ascii="仿宋_GB2312" w:hAnsi="仿宋_GB2312" w:cs="仿宋_GB2312" w:eastAsia="仿宋_GB2312"/>
                <w:sz w:val="24"/>
                <w:b/>
              </w:rPr>
              <w:t>、商务条款</w:t>
            </w:r>
          </w:p>
          <w:p>
            <w:pPr>
              <w:pStyle w:val="null3"/>
              <w:ind w:firstLine="480"/>
              <w:jc w:val="both"/>
            </w:pPr>
            <w:r>
              <w:rPr>
                <w:rFonts w:ascii="仿宋_GB2312" w:hAnsi="仿宋_GB2312" w:cs="仿宋_GB2312" w:eastAsia="仿宋_GB2312"/>
                <w:sz w:val="24"/>
              </w:rPr>
              <w:t>1.项目实施周期和运行期</w:t>
            </w:r>
          </w:p>
          <w:p>
            <w:pPr>
              <w:pStyle w:val="null3"/>
              <w:ind w:firstLine="480"/>
              <w:jc w:val="both"/>
            </w:pPr>
            <w:r>
              <w:rPr>
                <w:rFonts w:ascii="仿宋_GB2312" w:hAnsi="仿宋_GB2312" w:cs="仿宋_GB2312" w:eastAsia="仿宋_GB2312"/>
                <w:sz w:val="24"/>
              </w:rPr>
              <w:t>1.1完成期：合同签订生效之日起，</w:t>
            </w:r>
            <w:r>
              <w:rPr>
                <w:rFonts w:ascii="仿宋_GB2312" w:hAnsi="仿宋_GB2312" w:cs="仿宋_GB2312" w:eastAsia="仿宋_GB2312"/>
                <w:sz w:val="24"/>
              </w:rPr>
              <w:t>120</w:t>
            </w:r>
            <w:r>
              <w:rPr>
                <w:rFonts w:ascii="仿宋_GB2312" w:hAnsi="仿宋_GB2312" w:cs="仿宋_GB2312" w:eastAsia="仿宋_GB2312"/>
                <w:sz w:val="24"/>
              </w:rPr>
              <w:t>日内完成整个项目实施。</w:t>
            </w:r>
          </w:p>
          <w:p>
            <w:pPr>
              <w:pStyle w:val="null3"/>
              <w:ind w:firstLine="480"/>
              <w:jc w:val="both"/>
            </w:pPr>
            <w:r>
              <w:rPr>
                <w:rFonts w:ascii="仿宋_GB2312" w:hAnsi="仿宋_GB2312" w:cs="仿宋_GB2312" w:eastAsia="仿宋_GB2312"/>
                <w:sz w:val="24"/>
              </w:rPr>
              <w:t>1.2运行期：平台开发完成并运行1个月后，经采购人书面确认后进行验收环节。</w:t>
            </w:r>
          </w:p>
          <w:p>
            <w:pPr>
              <w:pStyle w:val="null3"/>
              <w:ind w:firstLine="480"/>
              <w:jc w:val="both"/>
            </w:pPr>
            <w:r>
              <w:rPr>
                <w:rFonts w:ascii="仿宋_GB2312" w:hAnsi="仿宋_GB2312" w:cs="仿宋_GB2312" w:eastAsia="仿宋_GB2312"/>
                <w:sz w:val="24"/>
              </w:rPr>
              <w:t>2.付款方式</w:t>
            </w:r>
          </w:p>
          <w:p>
            <w:pPr>
              <w:pStyle w:val="null3"/>
              <w:ind w:firstLine="480"/>
              <w:jc w:val="both"/>
            </w:pPr>
            <w:r>
              <w:rPr>
                <w:rFonts w:ascii="仿宋_GB2312" w:hAnsi="仿宋_GB2312" w:cs="仿宋_GB2312" w:eastAsia="仿宋_GB2312"/>
                <w:sz w:val="24"/>
              </w:rPr>
              <w:t>2.1合同签订生效后10个日历日内，采购人向中标人预付合同总金额的80.00%，作为项目启动建设费用。</w:t>
            </w:r>
          </w:p>
          <w:p>
            <w:pPr>
              <w:pStyle w:val="null3"/>
              <w:ind w:firstLine="480"/>
              <w:jc w:val="both"/>
            </w:pPr>
            <w:r>
              <w:rPr>
                <w:rFonts w:ascii="仿宋_GB2312" w:hAnsi="仿宋_GB2312" w:cs="仿宋_GB2312" w:eastAsia="仿宋_GB2312"/>
                <w:sz w:val="24"/>
              </w:rPr>
              <w:t>2.2项目完工且验收合格后10个日历日内支付合同总金额尾款20.00%。</w:t>
            </w:r>
          </w:p>
          <w:p>
            <w:pPr>
              <w:pStyle w:val="null3"/>
              <w:ind w:firstLine="480"/>
              <w:jc w:val="both"/>
            </w:pPr>
            <w:r>
              <w:rPr>
                <w:rFonts w:ascii="仿宋_GB2312" w:hAnsi="仿宋_GB2312" w:cs="仿宋_GB2312" w:eastAsia="仿宋_GB2312"/>
                <w:sz w:val="24"/>
              </w:rPr>
              <w:t>3.培训</w:t>
            </w:r>
          </w:p>
          <w:p>
            <w:pPr>
              <w:pStyle w:val="null3"/>
              <w:ind w:firstLine="480"/>
              <w:jc w:val="both"/>
            </w:pPr>
            <w:r>
              <w:rPr>
                <w:rFonts w:ascii="仿宋_GB2312" w:hAnsi="仿宋_GB2312" w:cs="仿宋_GB2312" w:eastAsia="仿宋_GB2312"/>
                <w:sz w:val="24"/>
              </w:rPr>
              <w:t>3.1中标人应提供相应的应用软件技术和系统操作等方面的培训，培训所使用的语言应是中文，否则中标人应提供相应的翻译。</w:t>
            </w:r>
          </w:p>
          <w:p>
            <w:pPr>
              <w:pStyle w:val="null3"/>
              <w:ind w:firstLine="480"/>
              <w:jc w:val="both"/>
            </w:pPr>
            <w:r>
              <w:rPr>
                <w:rFonts w:ascii="仿宋_GB2312" w:hAnsi="仿宋_GB2312" w:cs="仿宋_GB2312" w:eastAsia="仿宋_GB2312"/>
                <w:sz w:val="24"/>
              </w:rPr>
              <w:t>3.2需针对用户按照不同的角色提供不同的培训课程，如系统管理员、普通用户、领导等角色，安排不同的培训课程。</w:t>
            </w:r>
          </w:p>
          <w:p>
            <w:pPr>
              <w:pStyle w:val="null3"/>
              <w:ind w:firstLine="480"/>
              <w:jc w:val="both"/>
            </w:pPr>
            <w:r>
              <w:rPr>
                <w:rFonts w:ascii="仿宋_GB2312" w:hAnsi="仿宋_GB2312" w:cs="仿宋_GB2312" w:eastAsia="仿宋_GB2312"/>
                <w:sz w:val="24"/>
              </w:rPr>
              <w:t>3.3培训费用计入总价。</w:t>
            </w:r>
          </w:p>
          <w:p>
            <w:pPr>
              <w:pStyle w:val="null3"/>
              <w:ind w:firstLine="480"/>
              <w:jc w:val="both"/>
            </w:pPr>
            <w:r>
              <w:rPr>
                <w:rFonts w:ascii="仿宋_GB2312" w:hAnsi="仿宋_GB2312" w:cs="仿宋_GB2312" w:eastAsia="仿宋_GB2312"/>
                <w:sz w:val="24"/>
              </w:rPr>
              <w:t>4.验收</w:t>
            </w:r>
          </w:p>
          <w:p>
            <w:pPr>
              <w:pStyle w:val="null3"/>
              <w:ind w:firstLine="480"/>
              <w:jc w:val="both"/>
            </w:pPr>
            <w:r>
              <w:rPr>
                <w:rFonts w:ascii="仿宋_GB2312" w:hAnsi="仿宋_GB2312" w:cs="仿宋_GB2312" w:eastAsia="仿宋_GB2312"/>
                <w:sz w:val="24"/>
              </w:rPr>
              <w:t>4.1验收时间：平台开发完成并运行1个月后，由中标人提出验收申请，采购人应于中标人提出验收申请后组织验收。</w:t>
            </w:r>
          </w:p>
          <w:p>
            <w:pPr>
              <w:pStyle w:val="null3"/>
              <w:ind w:firstLine="480"/>
              <w:jc w:val="both"/>
            </w:pPr>
            <w:r>
              <w:rPr>
                <w:rFonts w:ascii="仿宋_GB2312" w:hAnsi="仿宋_GB2312" w:cs="仿宋_GB2312" w:eastAsia="仿宋_GB2312"/>
                <w:sz w:val="24"/>
              </w:rPr>
              <w:t>4.2验收标准：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1）中标人必须对其所提供的全部系统进行安装，其中包括：安装、测试和联网调试，平台开发完成并运行1个月后验收。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2）技术文件</w:t>
            </w:r>
          </w:p>
          <w:p>
            <w:pPr>
              <w:pStyle w:val="null3"/>
              <w:ind w:firstLine="480"/>
              <w:jc w:val="both"/>
            </w:pPr>
            <w:r>
              <w:rPr>
                <w:rFonts w:ascii="仿宋_GB2312" w:hAnsi="仿宋_GB2312" w:cs="仿宋_GB2312" w:eastAsia="仿宋_GB2312"/>
                <w:sz w:val="24"/>
              </w:rPr>
              <w:t>A.中标人必须向采购人单位提供系统的安装、运行、使用、测试、诊断和维修的技术文件。</w:t>
            </w:r>
          </w:p>
          <w:p>
            <w:pPr>
              <w:pStyle w:val="null3"/>
              <w:ind w:firstLine="480"/>
              <w:jc w:val="both"/>
            </w:pPr>
            <w:r>
              <w:rPr>
                <w:rFonts w:ascii="仿宋_GB2312" w:hAnsi="仿宋_GB2312" w:cs="仿宋_GB2312" w:eastAsia="仿宋_GB2312"/>
                <w:sz w:val="24"/>
              </w:rPr>
              <w:t>B.中标人必须向采购人单位提供系统配置说明、需求调研报告、验收报告、采购人使用手册、维护手册、培训教材等相关文档（包括电子文档）。</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3）产品内容及所有技术性能规格参数应符合招标文件和中标人投标文件所要求的标准，并由采购方试用并验收通过。</w:t>
            </w:r>
          </w:p>
          <w:p>
            <w:pPr>
              <w:pStyle w:val="null3"/>
              <w:ind w:firstLine="480"/>
              <w:jc w:val="both"/>
            </w:pPr>
            <w:r>
              <w:rPr>
                <w:rFonts w:ascii="仿宋_GB2312" w:hAnsi="仿宋_GB2312" w:cs="仿宋_GB2312" w:eastAsia="仿宋_GB2312"/>
                <w:sz w:val="24"/>
              </w:rPr>
              <w:t>5.质保期</w:t>
            </w:r>
          </w:p>
          <w:p>
            <w:pPr>
              <w:pStyle w:val="null3"/>
              <w:ind w:firstLine="480"/>
              <w:jc w:val="both"/>
            </w:pPr>
            <w:r>
              <w:rPr>
                <w:rFonts w:ascii="仿宋_GB2312" w:hAnsi="仿宋_GB2312" w:cs="仿宋_GB2312" w:eastAsia="仿宋_GB2312"/>
                <w:sz w:val="24"/>
              </w:rPr>
              <w:t>自系统验收合格之日起</w:t>
            </w:r>
            <w:r>
              <w:rPr>
                <w:rFonts w:ascii="仿宋_GB2312" w:hAnsi="仿宋_GB2312" w:cs="仿宋_GB2312" w:eastAsia="仿宋_GB2312"/>
                <w:sz w:val="24"/>
              </w:rPr>
              <w:t>1年。</w:t>
            </w:r>
          </w:p>
          <w:p>
            <w:pPr>
              <w:pStyle w:val="null3"/>
              <w:ind w:firstLine="480"/>
              <w:jc w:val="both"/>
            </w:pPr>
            <w:r>
              <w:rPr>
                <w:rFonts w:ascii="仿宋_GB2312" w:hAnsi="仿宋_GB2312" w:cs="仿宋_GB2312" w:eastAsia="仿宋_GB2312"/>
                <w:sz w:val="24"/>
              </w:rPr>
              <w:t>6.知识产权</w:t>
            </w:r>
          </w:p>
          <w:p>
            <w:pPr>
              <w:pStyle w:val="null3"/>
              <w:ind w:firstLine="480"/>
              <w:jc w:val="both"/>
            </w:pPr>
            <w:r>
              <w:rPr>
                <w:rFonts w:ascii="仿宋_GB2312" w:hAnsi="仿宋_GB2312" w:cs="仿宋_GB2312" w:eastAsia="仿宋_GB2312"/>
                <w:sz w:val="24"/>
              </w:rPr>
              <w:t>6.1中标人应保证采购人在使用产品或产品的任何部分不受任何关于侵犯所有权和工业产权、著作权（版权）等知识产权的指控。如果任何第三方提出侵权指控，中标人承担一切与之有关的费用。</w:t>
            </w:r>
          </w:p>
          <w:p>
            <w:pPr>
              <w:pStyle w:val="null3"/>
              <w:jc w:val="both"/>
            </w:pPr>
            <w:r>
              <w:rPr>
                <w:rFonts w:ascii="仿宋_GB2312" w:hAnsi="仿宋_GB2312" w:cs="仿宋_GB2312" w:eastAsia="仿宋_GB2312"/>
                <w:sz w:val="24"/>
              </w:rPr>
              <w:t xml:space="preserve">   6.2本项目产生的知识成果及知识产权等成果为项目采购人所有。</w:t>
            </w:r>
          </w:p>
          <w:p>
            <w:pPr>
              <w:pStyle w:val="null3"/>
              <w:ind w:firstLine="480"/>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详见文件及合同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详见文件及合同</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详见文件及合同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完成期：合同签订生效之日起，120日内完成整个项目实施；运行期：平台开发完成并运行1个月后，经采购人书面确认后进行验收环节</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验收时间：平台开发完成并运行1个月后，由中标人提出验收申请，采购人应于中标人提出验收申请后组织验收。 验收标准： （1）中标人必须对其所提供的全部系统进行安装，其中包括：安装、测试和联网调试，平台开发完成并运行1个月后验收。 （2）技术文件 A.中标人必须向采购人单位提供系统的安装、运行、使用、测试、诊断和维修的技术文件。 B.中标人必须向采购人单位提供系统配置说明、需求调研报告、验收报告、采购人使用手册、维护手册、培训教材等相关文档（包括电子文档）。 （3）产品内容及所有技术性能规格参数应符合招标文件和中标人投标文件所要求的标准，并由采购方试用并验收通过。</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合同签订生效后10个日历日内，采购人向中标人预付合同总金额的80.00%，作为项目启动建设费用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项目完工且验收合格后10个日历日内支付合同总金额尾款20.00%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本合同履行过程中发生的任何争议，双方当事人均可通过和解或者调解解决；不愿和解、调解或者和解、调解不成的，将争议提交 合同签订地 仲裁委员会依申请仲裁时其现行有效的仲裁规则裁决。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（1）供应商需要在线提交所有通过电子化交易平台实施的政府采购项目的投标文件，同时，线下提交纸质投标文件正本壹份、副本贰份。若电子投标文件与纸质响应文件不一致的，以电子投标文件为准。 （2）投标文件，正、副本分别各自装订成册密封。在封口处加盖供应商公章。 （3）线下投标文件递交截止时间与线上开评标时间一致。 （4）纸质投标文件可邮寄递交，应于递交投标文件截止时间前邮寄到西安市高新区丈八一路1号汇鑫中心D座2206室（陕西德勤招标有限公司）。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提供《近三年无重大违法、违纪书面声明：》（按格式填写，提供原件）。</w:t>
            </w:r>
          </w:p>
        </w:tc>
        <w:tc>
          <w:tcPr>
            <w:tcW w:type="dxa" w:w="1661"/>
          </w:tcPr>
          <w:p>
            <w:pPr>
              <w:pStyle w:val="null3"/>
            </w:pPr>
            <w:r>
              <w:rPr>
                <w:rFonts w:ascii="仿宋_GB2312" w:hAnsi="仿宋_GB2312" w:cs="仿宋_GB2312" w:eastAsia="仿宋_GB2312"/>
              </w:rPr>
              <w:t>近三年无重大违法、违纪书面声明.docx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招标文件中凡是需要法定代表人盖章之处，非法人单位的负责人均参照执行。 法人的分支机构参与投标时，除提供《法定代表人授权委托书》外，还须同时提供总公司给分支机构出具的授权书。</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投标供应商应提供《非联合体不分包投标声明》，视为独立投标，不分包。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整体专门面向小微企业采购。承接服务供应商应为小微企业，即提供服务的人员为小微企业依照《中华人民共和国劳动合同法》订立劳动合同的从业人员。小微企业须符合本项目采购标的对应行业（软件和信息技术服务业）的政策划分标准。监狱企业、残疾人福利单位视同小型、微型企业。 注：小微企业应填写的《中小企业声明函》（见投标文件格式）为判定标准，残疾人福利性单位填写的《残疾人福利性单位声明函》（见投标文件格式）为判定标准，监狱企业须供应商提供由省级以上监狱管理局、戒毒管理局（含新疆生产建设兵团）出具的属于监狱企业的证明文件，否则不予认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投标文件封面、投标函、法定代表人授权委托书三处的项目名称、项目编号、包号(如有)</w:t>
            </w:r>
          </w:p>
        </w:tc>
        <w:tc>
          <w:tcPr>
            <w:tcW w:type="dxa" w:w="3322"/>
          </w:tcPr>
          <w:p>
            <w:pPr>
              <w:pStyle w:val="null3"/>
            </w:pPr>
            <w:r>
              <w:rPr>
                <w:rFonts w:ascii="仿宋_GB2312" w:hAnsi="仿宋_GB2312" w:cs="仿宋_GB2312" w:eastAsia="仿宋_GB2312"/>
              </w:rPr>
              <w:t>三处均无遗漏，且与所投项目名称、项目编号、包号(如有)一致。</w:t>
            </w:r>
          </w:p>
        </w:tc>
        <w:tc>
          <w:tcPr>
            <w:tcW w:type="dxa" w:w="1661"/>
          </w:tcPr>
          <w:p>
            <w:pPr>
              <w:pStyle w:val="null3"/>
            </w:pPr>
            <w:r>
              <w:rPr>
                <w:rFonts w:ascii="仿宋_GB2312" w:hAnsi="仿宋_GB2312" w:cs="仿宋_GB2312" w:eastAsia="仿宋_GB2312"/>
              </w:rPr>
              <w:t>投标函 投标文件封面 法定代表人授权书.docx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均按招标文件要求签章(评分标准中要求提供的证明材料除外)。</w:t>
            </w:r>
          </w:p>
        </w:tc>
        <w:tc>
          <w:tcPr>
            <w:tcW w:type="dxa" w:w="1661"/>
          </w:tcPr>
          <w:p>
            <w:pPr>
              <w:pStyle w:val="null3"/>
            </w:pPr>
            <w:r>
              <w:rPr>
                <w:rFonts w:ascii="仿宋_GB2312" w:hAnsi="仿宋_GB2312" w:cs="仿宋_GB2312" w:eastAsia="仿宋_GB2312"/>
              </w:rPr>
              <w:t>开标一览表 保证金汇款声明函.docx 服务内容及服务邀请应答表 中小企业声明函 商务应答表 非联合体不分包投标声明.docx 控股管理关系.docx 投标人应提交的相关资格证明材料 法定代表人授权书.docx 分项报价表.docx 投标函 书面声明.docx 残疾人福利性单位声明函 服务方案 标的清单 投标文件封面 近三年无重大违法、违纪书面声明.docx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保证金汇款声明函.docx 服务内容及服务邀请应答表 中小企业声明函 商务应答表 非联合体不分包投标声明.docx 控股管理关系.docx 投标人应提交的相关资格证明材料 法定代表人授权书.docx 分项报价表.docx 投标函 书面声明.docx 残疾人福利性单位声明函 服务方案 标的清单 投标文件封面 近三年无重大违法、违纪书面声明.docx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经过有效性和符合性审核合格的供应商，对完成期限、质保期优于招标文件要求的，每项加1分，计满2分为止。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1.系统要求：（15分） 供应商结合项目背景目标、建设内容、技术要求等内容，对系统的功能方面、技术服务方面等环节要求，理解透彻。须对采购人的要求逐一进行详细描述： 1）内容描述完整、详细，思路清晰、层次清楚，贴合采购人要求，得（10-15]分； 2）内容描述完整，有较为清晰的思路清晰、有条理性，基本满足采购人要求，得（5-10]分； 3）内容描述不完整，无法满足采购人基本要求，得[0-5]分。 2.技术方案：（20分） 为确保系统功能模块设计的合理性、技术的先进性、功能的完善性、性能的稳定性、安全的保密性等，供应商须制定全面、详细、切实可行的总体技术方案，主要技术指标及功能满足技术要求、行业技术标准及国家有关政策和法律法规的要求，有效提升采购人的服务需求，且无知识产权纠纷： 1）技术方案全面、详细、切实可行，主要技术指标及功能完全满足要求，得（13-20]分； 2）技术方案完整、基本可行，主要技术指标及功能能满足基本要求，得（6-13]分； 3）有技术方案，主要技术指标及功能不能满足基本要求，得[0-6]分。 3.项目实施：（15分） 3.1根据供应商提供项目实施方案： （1）实施方案全面、详细、层次清楚、结构合理，切实可行的，得（7-10]分； （2）实施方案基本完整、可行，得（3-7]分； （3）有实施方案，但内容不全面、详细或可行性较差，得[0-3]分。 3.2根据供应商提供的工作进度计划安排的合理性及进度保障措施的有效性等内容： （1）工作进度计划安排合理，有完整、可行、有效的进度保障措施，得（3-5]分； （2）工作进度计划安排合理，有相应的进度保障措施，得（1-3]分； （3）有工作进度计划安排及进度保障措施，得[0-1]分。</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驻场服务</w:t>
            </w:r>
          </w:p>
        </w:tc>
        <w:tc>
          <w:tcPr>
            <w:tcW w:type="dxa" w:w="2492"/>
          </w:tcPr>
          <w:p>
            <w:pPr>
              <w:pStyle w:val="null3"/>
            </w:pPr>
            <w:r>
              <w:rPr>
                <w:rFonts w:ascii="仿宋_GB2312" w:hAnsi="仿宋_GB2312" w:cs="仿宋_GB2312" w:eastAsia="仿宋_GB2312"/>
              </w:rPr>
              <w:t>供应商针对本项目驻场人员配备投入情况，根据项目驻场人员的实施经验、资历、相关证书、过往所获荣誉： 1.驻场人员岗位设置合理、明确，投入人员专业性、经验性强。完全满足项目需求中对人员要求且提供相关证明材料齐全的得（4-8]分； 2.驻场人员岗位设置较为合理，投入人员具有一定专业性、经验性。基本满足项目需求中对人员要求，且提供证明材料基本齐全的得（0-4]分； 3.驻场人员岗位设置不合理，证明材料不全，得0分。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系统演示</w:t>
            </w:r>
          </w:p>
        </w:tc>
        <w:tc>
          <w:tcPr>
            <w:tcW w:type="dxa" w:w="2492"/>
          </w:tcPr>
          <w:p>
            <w:pPr>
              <w:pStyle w:val="null3"/>
            </w:pPr>
            <w:r>
              <w:rPr>
                <w:rFonts w:ascii="仿宋_GB2312" w:hAnsi="仿宋_GB2312" w:cs="仿宋_GB2312" w:eastAsia="仿宋_GB2312"/>
              </w:rPr>
              <w:t>供应商需将PPT演示内容录制为视频文件格式，并使用U盘拷贝同纸质版文件同时提交（备注：某某单位系统演示内容），以便于评标专家评标时使用，进行本项目演示，重点阐述以下内容：阐述对本项目的整体理解；对本项目建设目标和建设内容理解充分，对本次系统功能开发升级，总体架构设计、网络系统、应用系统建设等方面理解深刻、设计合理；针对实际情况提出合理化建议；对本项目重点和难点的分析，提出合理化建议。 方案演示阐述完整，包含但不限于上述内容，深刻理解项目建设的目标、内容和相关要求，建设方案及其重难点分析合理，得（12-20]分； 方案演示阐述基本完整，项目理解深度和项目难点分析一般，基本或部分满足上述要求的，得（6-12]分； 方案演示阐述不完整，或项目理解深度和项目难点分析较差，不满足上述要求的，得（0-6]分； 投标人放弃方案演示，不得分。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售后服务保障承诺</w:t>
            </w:r>
          </w:p>
        </w:tc>
        <w:tc>
          <w:tcPr>
            <w:tcW w:type="dxa" w:w="2492"/>
          </w:tcPr>
          <w:p>
            <w:pPr>
              <w:pStyle w:val="null3"/>
            </w:pPr>
            <w:r>
              <w:rPr>
                <w:rFonts w:ascii="仿宋_GB2312" w:hAnsi="仿宋_GB2312" w:cs="仿宋_GB2312" w:eastAsia="仿宋_GB2312"/>
              </w:rPr>
              <w:t>1.供应商须提供优质的售后技术服务，必须有足够的技术人员可支援从事业务系统的维护工作，能够熟练地进行系统维护工作，建立系统性的故障处理机制，同时针对突发和应急事件，有完整有效的处置方案。 1）售后技术服务完整可行，有足够的、有经验的技术人员支援维护工作，有系统性的故障处理机制，有完整有效的突发和应急事件的处置方案，得（3-5]分； 2）有售后技术服务，有技术人员支援维护工作，有故障处理机制，有突发和应急事件的处置方案，得（1-3]分； 3）有相关的售后技术服务，可以支援维护工作的技术人员较少，或未提供故障处理机制，或未提供突发和应急事件的处置方案，得[0-1]分。 2.供应商须制定完善的培训计划、方案及措施，提供全面的规范、方案及应用软件技术和系统操作等方面的培训，针对用户按照不同的角色提供不同的培训课程，如系统管理员、普通用户、领导等角色，安排不同的培训课程，确保用户能够正确熟练地使用系统。 1）培训计划、方案及措施完整、可行，有全面的规范、方案及应用软件技术和系统操作等方面的培训，有针对不同的角色提供不同的培训课程，得（3-5]分； 2）培训计划、方案及措施基本完整，有相关的应用软件技术、系统操作等方面的培训，得（1-3]分； 3）有培训计划、方案及措施，得（0-1]分。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价格分统一采用低价优先法计算，即满足招标文件要求且投标价格最低的投标报价为评标基准价，其价格分为满分。其他投标供应商的价格分统一按照下列公式计算： 投标报价得分=（评标 基准价／投标报价）×价格 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详见附件：非联合体不分包投标声明.docx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详见附件：近三年无重大违法、违纪书面声明.docx</w:t>
      </w:r>
    </w:p>
    <w:p>
      <w:pPr>
        <w:pStyle w:val="null3"/>
        <w:ind w:firstLine="960"/>
      </w:pPr>
      <w:r>
        <w:rPr>
          <w:rFonts w:ascii="仿宋_GB2312" w:hAnsi="仿宋_GB2312" w:cs="仿宋_GB2312" w:eastAsia="仿宋_GB2312"/>
        </w:rPr>
        <w:t>详见附件：控股管理关系.docx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详见附件：保证金汇款声明函.docx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