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634C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after="0" w:line="36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bookmarkStart w:id="0" w:name="_Toc30227"/>
      <w:bookmarkStart w:id="1" w:name="_Toc29449"/>
      <w:bookmarkStart w:id="2" w:name="_Toc27815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其他资料</w:t>
      </w:r>
      <w:bookmarkEnd w:id="0"/>
      <w:bookmarkEnd w:id="1"/>
      <w:bookmarkEnd w:id="2"/>
    </w:p>
    <w:p w14:paraId="4CB8DF48">
      <w:pPr>
        <w:numPr>
          <w:ilvl w:val="0"/>
          <w:numId w:val="0"/>
        </w:numPr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3F8CB0A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基本存款账户开户许可证（基本账户信息表）。</w:t>
      </w:r>
    </w:p>
    <w:p w14:paraId="46D21E0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依据招标文件要求，供应商认为有必要说明的其他内容。</w:t>
      </w:r>
    </w:p>
    <w:p w14:paraId="640A18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lang w:eastAsia="zh-CN"/>
        </w:rPr>
        <w:t>、其他可以证明供应商实力的文件。</w:t>
      </w:r>
    </w:p>
    <w:p w14:paraId="4F967E39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9E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2025-02-21T07:23:52Z</dcterms:created>
  <dc:creator>Administrator</dc:creator>
  <cp:lastModifiedBy>1</cp:lastModifiedBy>
  <dcterms:modified xsi:type="dcterms:W3CDTF">2025-02-21T07:24:04Z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A8F839D757084992857D8CB567C7E6C5_12</vt:lpwstr>
  </property>
</Properties>
</file>