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微电极系统、光学相干断层扫描仪采购项目</w:t>
      </w:r>
    </w:p>
    <w:p>
      <w:pPr>
        <w:pStyle w:val="null3"/>
        <w:jc w:val="center"/>
        <w:outlineLvl w:val="2"/>
      </w:pPr>
      <w:r>
        <w:rPr>
          <w:sz w:val="28"/>
          <w:b/>
        </w:rPr>
        <w:t>采购项目编号：</w:t>
      </w:r>
      <w:r>
        <w:rPr>
          <w:sz w:val="28"/>
          <w:b/>
        </w:rPr>
        <w:t>ZX2024-12-52</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陕西正信招标有限公司</w:t>
      </w:r>
      <w:r>
        <w:rPr/>
        <w:t>（以下简称“代理机构”）受</w:t>
      </w:r>
      <w:r>
        <w:rPr/>
        <w:t>西安建筑科技大学</w:t>
      </w:r>
      <w:r>
        <w:rPr/>
        <w:t>委托，拟对</w:t>
      </w:r>
      <w:r>
        <w:rPr/>
        <w:t>微电极系统、光学相干断层扫描仪采购项目</w:t>
      </w:r>
      <w:r>
        <w:rPr/>
        <w:t>采用竞争性谈判采购方式进行采购，兹邀请供应商参加本项目的竞争性谈判。</w:t>
      </w:r>
    </w:p>
    <w:p>
      <w:pPr>
        <w:pStyle w:val="null3"/>
        <w:outlineLvl w:val="2"/>
      </w:pPr>
      <w:r>
        <w:rPr>
          <w:sz w:val="28"/>
          <w:b/>
        </w:rPr>
        <w:t>一、项目编号：</w:t>
      </w:r>
      <w:r>
        <w:rPr>
          <w:sz w:val="28"/>
          <w:b/>
        </w:rPr>
        <w:t>ZX2024-12-52</w:t>
      </w:r>
    </w:p>
    <w:p>
      <w:pPr>
        <w:pStyle w:val="null3"/>
        <w:outlineLvl w:val="2"/>
      </w:pPr>
      <w:r>
        <w:rPr>
          <w:sz w:val="28"/>
          <w:b/>
        </w:rPr>
        <w:t>二、项目名称：</w:t>
      </w:r>
      <w:r>
        <w:rPr>
          <w:sz w:val="28"/>
          <w:b/>
        </w:rPr>
        <w:t>微电极系统、光学相干断层扫描仪采购项目</w:t>
      </w:r>
    </w:p>
    <w:p>
      <w:pPr>
        <w:pStyle w:val="null3"/>
        <w:outlineLvl w:val="2"/>
      </w:pPr>
      <w:r>
        <w:rPr>
          <w:sz w:val="28"/>
          <w:b/>
        </w:rPr>
        <w:t>三、谈判项目简介：</w:t>
      </w:r>
    </w:p>
    <w:p>
      <w:pPr>
        <w:pStyle w:val="null3"/>
        <w:ind w:firstLine="480"/>
      </w:pPr>
      <w:r>
        <w:rPr/>
        <w:t>本项目为微电极系统、光学相干断层扫描仪采购项目，具体内容详见采购文件第3章。</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1、法定代表人授权委托书：法定代表人参加谈判的，须提供身份证；法定代表人授权本单位他人参加谈判的，须提供法定代表人授权委托书；</w:t>
      </w:r>
    </w:p>
    <w:p>
      <w:pPr>
        <w:pStyle w:val="null3"/>
      </w:pPr>
      <w:r>
        <w:rPr/>
        <w:t>2、不接受联合体谈判，不允许分包：本项目不接受联合体谈判，不允许分包。供应商应提供《非联合体不分包投标声明》；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采购包2：</w:t>
      </w:r>
    </w:p>
    <w:p>
      <w:pPr>
        <w:pStyle w:val="null3"/>
      </w:pPr>
      <w:r>
        <w:rPr/>
        <w:t>1、法定代表人授权委托书：法定代表人参加谈判的，须提供身份证；法定代表人授权本单位他人参加谈判的，须提供法定代表人授权委托书；</w:t>
      </w:r>
    </w:p>
    <w:p>
      <w:pPr>
        <w:pStyle w:val="null3"/>
      </w:pPr>
      <w:r>
        <w:rPr/>
        <w:t>2、不接受联合体谈判，不允许分包：本项目不接受联合体谈判，不允许分包。供应商应提供《非联合体不分包投标声明》；</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胡怡洁 张浥清 蔡丹</w:t>
      </w:r>
    </w:p>
    <w:p>
      <w:pPr>
        <w:pStyle w:val="null3"/>
      </w:pPr>
      <w:r>
        <w:rPr/>
        <w:t xml:space="preserve"> 联系电话： </w:t>
      </w:r>
      <w:r>
        <w:rPr/>
        <w:t>029-88110800转8030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采购包1：855,900.00元</w:t>
            </w:r>
          </w:p>
          <w:p>
            <w:pPr>
              <w:pStyle w:val="null3"/>
            </w:pPr>
            <w:r>
              <w:rPr/>
              <w:t>采购包2：725,000.00元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采购包1保证金金额：11,252.00元</w:t>
            </w:r>
          </w:p>
          <w:p>
            <w:pPr>
              <w:pStyle w:val="null3"/>
            </w:pPr>
            <w:r>
              <w:rPr/>
              <w:t>采购包2保证金金额：11,252.02元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交纳履约保证金时须注明项目编号、包号及用途(履约保证金)。2、合同签订前，供应商须向采购人提交合同总价的5%作为履约保证金；3、设备到货并由采购人验收合格后，供应商申请，采购人将履约保证金（无息）退还供应商。4、逾期退还履约保证金的违约责任：按采购人内控制度执行。</w:t>
            </w:r>
          </w:p>
          <w:p>
            <w:pPr>
              <w:pStyle w:val="null3"/>
            </w:pPr>
            <w:r>
              <w:rPr/>
              <w:t>采购包2：缴纳</w:t>
            </w:r>
          </w:p>
          <w:p>
            <w:pPr>
              <w:pStyle w:val="null3"/>
            </w:pPr>
            <w:r>
              <w:rPr/>
              <w:t>本采购包履约保证金为合同金额的5.0%</w:t>
            </w:r>
          </w:p>
          <w:p>
            <w:pPr>
              <w:pStyle w:val="null3"/>
            </w:pPr>
            <w:r>
              <w:rPr/>
              <w:t>说明：1、交纳履约保证金时须注明项目编号、包号及用途(履约保证金)。2、合同签订前，供应商须向采购人提交合同总价的5%作为履约保证金；3、设备到货并由采购人验收合格后，供应商申请，采购人将履约保证金（无息）退还供应商。4、逾期退还履约保证金的违约责任：按采购人内控制度执行。</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号)收费标准，按照成交金额100万(不含)以下，按照文件标准计费正常收取;100万(含)以上，按照文件标准计费下浮 25%收取。 2、收款账户如下：收款单位：陕西正信招标有限公司；开户银行：中国银行股份有限公司西安四府街支行；银行账号：102460065607。3、转账时备注：241252+包号 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陕西正信招标有限公司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陕西正信招标有限公司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按谈判文件、响应文件及合同约定执行</w:t>
      </w:r>
    </w:p>
    <w:p>
      <w:pPr>
        <w:pStyle w:val="null3"/>
      </w:pPr>
      <w:r>
        <w:rPr/>
        <w:t>采购包2：</w:t>
      </w:r>
    </w:p>
    <w:p>
      <w:pPr>
        <w:pStyle w:val="null3"/>
      </w:pPr>
      <w:r>
        <w:rPr/>
        <w:t>按谈判文件、响应文件及合同约定执行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联系人：张浥清 胡怡洁</w:t>
      </w:r>
    </w:p>
    <w:p>
      <w:pPr>
        <w:pStyle w:val="null3"/>
      </w:pPr>
      <w:r>
        <w:rPr/>
        <w:t>联系电话：029-88110800转8030（邮箱号：453963218@qq.com）</w:t>
      </w:r>
    </w:p>
    <w:p>
      <w:pPr>
        <w:pStyle w:val="null3"/>
      </w:pPr>
      <w:r>
        <w:rPr/>
        <w:t>地址：西安市莲湖区环城西路南段元晟合中心6层</w:t>
      </w:r>
    </w:p>
    <w:p>
      <w:pPr>
        <w:pStyle w:val="null3"/>
      </w:pPr>
      <w:r>
        <w:rPr/>
        <w:t>邮编：710082</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本项目为微电极系统、光学相干断层扫描仪采购项目。</w:t>
      </w:r>
    </w:p>
    <w:p>
      <w:pPr>
        <w:pStyle w:val="null3"/>
        <w:outlineLvl w:val="2"/>
      </w:pPr>
      <w:r>
        <w:rPr>
          <w:sz w:val="28"/>
          <w:b/>
        </w:rPr>
        <w:t>3.2采购内容</w:t>
      </w:r>
    </w:p>
    <w:p>
      <w:pPr>
        <w:pStyle w:val="null3"/>
      </w:pPr>
      <w:r>
        <w:rPr/>
        <w:t>采购包1：</w:t>
      </w:r>
    </w:p>
    <w:p>
      <w:pPr>
        <w:pStyle w:val="null3"/>
      </w:pPr>
      <w:r>
        <w:rPr/>
        <w:t>采购包预算金额（元）: 855,900.00</w:t>
      </w:r>
    </w:p>
    <w:p>
      <w:pPr>
        <w:pStyle w:val="null3"/>
      </w:pPr>
      <w:r>
        <w:rPr/>
        <w:t>采购包最高限价（元）: 813,105.00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微电极系统</w:t>
            </w:r>
          </w:p>
        </w:tc>
        <w:tc>
          <w:tcPr>
            <w:tcW w:type="dxa" w:w="831"/>
          </w:tcPr>
          <w:p>
            <w:pPr>
              <w:pStyle w:val="null3"/>
              <w:jc w:val="right"/>
            </w:pPr>
            <w:r>
              <w:rPr/>
              <w:t>1.00</w:t>
            </w:r>
          </w:p>
        </w:tc>
        <w:tc>
          <w:tcPr>
            <w:tcW w:type="dxa" w:w="831"/>
          </w:tcPr>
          <w:p>
            <w:pPr>
              <w:pStyle w:val="null3"/>
              <w:jc w:val="right"/>
            </w:pPr>
            <w:r>
              <w:rPr/>
              <w:t>855,900.00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725,000.00</w:t>
      </w:r>
    </w:p>
    <w:p>
      <w:pPr>
        <w:pStyle w:val="null3"/>
      </w:pPr>
      <w:r>
        <w:rPr/>
        <w:t>采购包最高限价（元）: 688,750.00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光学相干断层扫描仪</w:t>
            </w:r>
          </w:p>
        </w:tc>
        <w:tc>
          <w:tcPr>
            <w:tcW w:type="dxa" w:w="831"/>
          </w:tcPr>
          <w:p>
            <w:pPr>
              <w:pStyle w:val="null3"/>
              <w:jc w:val="right"/>
            </w:pPr>
            <w:r>
              <w:rPr/>
              <w:t>1.00</w:t>
            </w:r>
          </w:p>
        </w:tc>
        <w:tc>
          <w:tcPr>
            <w:tcW w:type="dxa" w:w="831"/>
          </w:tcPr>
          <w:p>
            <w:pPr>
              <w:pStyle w:val="null3"/>
              <w:jc w:val="right"/>
            </w:pPr>
            <w:r>
              <w:rPr/>
              <w:t>725,000.00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标的名称：微电极系统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一、采购清单</w:t>
            </w:r>
          </w:p>
          <w:tbl>
            <w:tblPr>
              <w:tblInd w:type="dxa" w:w="24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jc w:val="center"/>
                  </w:pPr>
                  <w:r>
                    <w:rPr>
                      <w:rFonts w:ascii="&quot;times new roman&quot;" w:hAnsi="&quot;times new roman&quot;" w:cs="&quot;times new roman&quot;" w:eastAsia="&quot;times new roman&quot;"/>
                      <w:sz w:val="19"/>
                    </w:rPr>
                    <w:t>产品名称</w:t>
                  </w:r>
                </w:p>
              </w:tc>
              <w:tc>
                <w:tcPr>
                  <w:tcW w:type="dxa" w:w="638"/>
                </w:tcPr>
                <w:p>
                  <w:pPr>
                    <w:pStyle w:val="null3"/>
                    <w:jc w:val="center"/>
                  </w:pPr>
                  <w:r>
                    <w:rPr>
                      <w:rFonts w:ascii="&quot;times new roman&quot;" w:hAnsi="&quot;times new roman&quot;" w:cs="&quot;times new roman&quot;" w:eastAsia="&quot;times new roman&quot;"/>
                      <w:sz w:val="19"/>
                    </w:rPr>
                    <w:t>数量</w:t>
                  </w:r>
                </w:p>
                <w:p>
                  <w:pPr>
                    <w:pStyle w:val="null3"/>
                    <w:jc w:val="center"/>
                  </w:pPr>
                  <w:r>
                    <w:rPr>
                      <w:rFonts w:ascii="&quot;times new roman&quot;" w:hAnsi="&quot;times new roman&quot;" w:cs="&quot;times new roman&quot;" w:eastAsia="&quot;times new roman&quot;"/>
                      <w:sz w:val="19"/>
                    </w:rPr>
                    <w:t>（单位）</w:t>
                  </w:r>
                </w:p>
              </w:tc>
              <w:tc>
                <w:tcPr>
                  <w:tcW w:type="dxa" w:w="1276"/>
                  <w:gridSpan w:val="2"/>
                </w:tcPr>
                <w:p>
                  <w:pPr>
                    <w:pStyle w:val="null3"/>
                    <w:jc w:val="center"/>
                  </w:pPr>
                  <w:r>
                    <w:rPr>
                      <w:rFonts w:ascii="&quot;times new roman&quot;" w:hAnsi="&quot;times new roman&quot;" w:cs="&quot;times new roman&quot;" w:eastAsia="&quot;times new roman&quot;"/>
                      <w:sz w:val="19"/>
                    </w:rPr>
                    <w:t>备注</w:t>
                  </w:r>
                </w:p>
              </w:tc>
            </w:tr>
            <w:tr>
              <w:tc>
                <w:tcPr>
                  <w:tcW w:type="dxa" w:w="638"/>
                </w:tcPr>
                <w:p>
                  <w:pPr>
                    <w:pStyle w:val="null3"/>
                    <w:jc w:val="center"/>
                  </w:pPr>
                  <w:r>
                    <w:rPr>
                      <w:rFonts w:ascii="&quot;times new roman&quot;" w:hAnsi="&quot;times new roman&quot;" w:cs="&quot;times new roman&quot;" w:eastAsia="&quot;times new roman&quot;"/>
                      <w:sz w:val="19"/>
                    </w:rPr>
                    <w:t>微电极系统</w:t>
                  </w:r>
                </w:p>
              </w:tc>
              <w:tc>
                <w:tcPr>
                  <w:tcW w:type="dxa" w:w="638"/>
                </w:tcPr>
                <w:p>
                  <w:pPr>
                    <w:pStyle w:val="null3"/>
                    <w:jc w:val="center"/>
                  </w:pPr>
                  <w:r>
                    <w:rPr>
                      <w:rFonts w:ascii="&quot;times new roman&quot;" w:hAnsi="&quot;times new roman&quot;" w:cs="&quot;times new roman&quot;" w:eastAsia="&quot;times new roman&quot;"/>
                      <w:sz w:val="19"/>
                    </w:rPr>
                    <w:t>1套</w:t>
                  </w:r>
                </w:p>
              </w:tc>
              <w:tc>
                <w:tcPr>
                  <w:tcW w:type="dxa" w:w="1276"/>
                  <w:gridSpan w:val="2"/>
                </w:tcPr>
                <w:p>
                  <w:pPr>
                    <w:pStyle w:val="null3"/>
                    <w:jc w:val="center"/>
                  </w:pPr>
                  <w:r>
                    <w:rPr>
                      <w:rFonts w:ascii="&quot;times new roman&quot;" w:hAnsi="&quot;times new roman&quot;" w:cs="&quot;times new roman&quot;" w:eastAsia="&quot;times new roman&quot;"/>
                      <w:sz w:val="19"/>
                    </w:rPr>
                    <w:t>已通过财政核准，允许采购进口设备</w:t>
                  </w:r>
                </w:p>
              </w:tc>
            </w:tr>
          </w:tbl>
          <w:p>
            <w:pPr>
              <w:pStyle w:val="null3"/>
              <w:jc w:val="left"/>
            </w:pPr>
            <w:r>
              <w:rPr/>
              <w:t>二、技术参数、配置要求</w:t>
            </w:r>
          </w:p>
          <w:p>
            <w:pPr>
              <w:pStyle w:val="null3"/>
            </w:pPr>
            <w:r>
              <w:rPr/>
              <w:t xml:space="preserve">    所有技术参数必须全部满足，其中“★”指标必须提供佐证材料证明（包括但不限于产品彩页或技术白皮书或官网截图等）。不满足或“★”指标未提供佐证材料视为负偏离，按无效文件处理。</w:t>
            </w:r>
          </w:p>
          <w:tbl>
            <w:tblPr>
              <w:tblInd w:type="dxa" w:w="13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jc w:val="center"/>
                  </w:pPr>
                  <w:r>
                    <w:rPr>
                      <w:rFonts w:ascii="&quot;times new roman&quot;" w:hAnsi="&quot;times new roman&quot;" w:cs="&quot;times new roman&quot;" w:eastAsia="&quot;times new roman&quot;"/>
                      <w:sz w:val="19"/>
                    </w:rPr>
                    <w:t>序号</w:t>
                  </w:r>
                </w:p>
              </w:tc>
              <w:tc>
                <w:tcPr>
                  <w:tcW w:type="dxa" w:w="638"/>
                </w:tcPr>
                <w:p>
                  <w:pPr>
                    <w:pStyle w:val="null3"/>
                    <w:jc w:val="center"/>
                  </w:pPr>
                  <w:r>
                    <w:rPr>
                      <w:rFonts w:ascii="&quot;times new roman&quot;" w:hAnsi="&quot;times new roman&quot;" w:cs="&quot;times new roman&quot;" w:eastAsia="&quot;times new roman&quot;"/>
                      <w:sz w:val="19"/>
                    </w:rPr>
                    <w:t>产品名称</w:t>
                  </w:r>
                </w:p>
              </w:tc>
              <w:tc>
                <w:tcPr>
                  <w:tcW w:type="dxa" w:w="638"/>
                </w:tcPr>
                <w:p>
                  <w:pPr>
                    <w:pStyle w:val="null3"/>
                    <w:jc w:val="center"/>
                  </w:pPr>
                  <w:r>
                    <w:rPr>
                      <w:rFonts w:ascii="&quot;times new roman&quot;" w:hAnsi="&quot;times new roman&quot;" w:cs="&quot;times new roman&quot;" w:eastAsia="&quot;times new roman&quot;"/>
                      <w:sz w:val="19"/>
                    </w:rPr>
                    <w:t>技术标准</w:t>
                  </w:r>
                </w:p>
              </w:tc>
              <w:tc>
                <w:tcPr>
                  <w:tcW w:type="dxa" w:w="638"/>
                </w:tcPr>
                <w:p>
                  <w:pPr>
                    <w:pStyle w:val="null3"/>
                    <w:jc w:val="center"/>
                  </w:pPr>
                  <w:r>
                    <w:rPr>
                      <w:rFonts w:ascii="&quot;times new roman&quot;" w:hAnsi="&quot;times new roman&quot;" w:cs="&quot;times new roman&quot;" w:eastAsia="&quot;times new roman&quot;"/>
                      <w:sz w:val="19"/>
                    </w:rPr>
                    <w:t>配置要求</w:t>
                  </w:r>
                </w:p>
              </w:tc>
            </w:tr>
            <w:tr>
              <w:tc>
                <w:tcPr>
                  <w:tcW w:type="dxa" w:w="638"/>
                </w:tcPr>
                <w:p>
                  <w:pPr>
                    <w:pStyle w:val="null3"/>
                  </w:pPr>
                  <w:r>
                    <w:rPr>
                      <w:rFonts w:ascii="&quot;times new roman&quot;" w:hAnsi="&quot;times new roman&quot;" w:cs="&quot;times new roman&quot;" w:eastAsia="&quot;times new roman&quot;"/>
                      <w:sz w:val="19"/>
                    </w:rPr>
                    <w:t>1</w:t>
                  </w:r>
                </w:p>
              </w:tc>
              <w:tc>
                <w:tcPr>
                  <w:tcW w:type="dxa" w:w="638"/>
                </w:tcPr>
                <w:p>
                  <w:pPr>
                    <w:pStyle w:val="null3"/>
                  </w:pPr>
                  <w:r>
                    <w:rPr>
                      <w:rFonts w:ascii="&quot;times new roman&quot;" w:hAnsi="&quot;times new roman&quot;" w:cs="&quot;times new roman&quot;" w:eastAsia="&quot;times new roman&quot;"/>
                      <w:sz w:val="19"/>
                    </w:rPr>
                    <w:t>微电极系统</w:t>
                  </w:r>
                </w:p>
              </w:tc>
              <w:tc>
                <w:tcPr>
                  <w:tcW w:type="dxa" w:w="638"/>
                </w:tcPr>
                <w:p>
                  <w:pPr>
                    <w:pStyle w:val="null3"/>
                  </w:pPr>
                  <w:r>
                    <w:rPr>
                      <w:rFonts w:ascii="&quot;times new roman&quot;" w:hAnsi="&quot;times new roman&quot;" w:cs="&quot;times new roman&quot;" w:eastAsia="&quot;times new roman&quot;"/>
                      <w:sz w:val="19"/>
                    </w:rPr>
                    <w:t>1、五通道主机</w:t>
                  </w:r>
                </w:p>
                <w:p>
                  <w:pPr>
                    <w:pStyle w:val="null3"/>
                  </w:pPr>
                  <w:r>
                    <w:rPr>
                      <w:rFonts w:ascii="&quot;times new roman&quot;" w:hAnsi="&quot;times new roman&quot;" w:cs="&quot;times new roman&quot;" w:eastAsia="&quot;times new roman&quot;"/>
                      <w:sz w:val="19"/>
                    </w:rPr>
                    <w:t>1.1包含两个皮安通道，两个毫伏通道和一个温度通道。</w:t>
                  </w:r>
                </w:p>
                <w:p>
                  <w:pPr>
                    <w:pStyle w:val="null3"/>
                  </w:pPr>
                  <w:r>
                    <w:rPr>
                      <w:rFonts w:ascii="&quot;times new roman&quot;" w:hAnsi="&quot;times new roman&quot;" w:cs="&quot;times new roman&quot;" w:eastAsia="&quot;times new roman&quot;"/>
                      <w:sz w:val="19"/>
                    </w:rPr>
                    <w:t>★1.2皮安通道测O</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、H</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S、H</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、N</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O、NO等参数。</w:t>
                  </w:r>
                </w:p>
                <w:p>
                  <w:pPr>
                    <w:pStyle w:val="null3"/>
                  </w:pPr>
                  <w:r>
                    <w:rPr>
                      <w:rFonts w:ascii="&quot;times new roman&quot;" w:hAnsi="&quot;times new roman&quot;" w:cs="&quot;times new roman&quot;" w:eastAsia="&quot;times new roman&quot;"/>
                      <w:sz w:val="19"/>
                    </w:rPr>
                    <w:t>1.3毫伏通道测pH、电位。</w:t>
                  </w:r>
                </w:p>
                <w:p>
                  <w:pPr>
                    <w:pStyle w:val="null3"/>
                  </w:pPr>
                  <w:r>
                    <w:rPr>
                      <w:rFonts w:ascii="&quot;times new roman&quot;" w:hAnsi="&quot;times new roman&quot;" w:cs="&quot;times new roman&quot;" w:eastAsia="&quot;times new roman&quot;"/>
                      <w:sz w:val="19"/>
                    </w:rPr>
                    <w:t>1.4温度通道测温度，测量范围-10 - +100°C。</w:t>
                  </w:r>
                </w:p>
                <w:p>
                  <w:pPr>
                    <w:pStyle w:val="null3"/>
                  </w:pPr>
                  <w:r>
                    <w:rPr>
                      <w:rFonts w:ascii="&quot;times new roman&quot;" w:hAnsi="&quot;times new roman&quot;" w:cs="&quot;times new roman&quot;" w:eastAsia="&quot;times new roman&quot;"/>
                      <w:sz w:val="19"/>
                    </w:rPr>
                    <w:t>1.5皮安通道90％响应时间≤35毫秒。</w:t>
                  </w:r>
                </w:p>
                <w:p>
                  <w:pPr>
                    <w:pStyle w:val="null3"/>
                  </w:pPr>
                  <w:r>
                    <w:rPr>
                      <w:rFonts w:ascii="&quot;times new roman&quot;" w:hAnsi="&quot;times new roman&quot;" w:cs="&quot;times new roman&quot;" w:eastAsia="&quot;times new roman&quot;"/>
                      <w:sz w:val="19"/>
                    </w:rPr>
                    <w:t>1.6 USB接口。</w:t>
                  </w:r>
                </w:p>
                <w:p>
                  <w:pPr>
                    <w:pStyle w:val="null3"/>
                  </w:pPr>
                  <w:r>
                    <w:rPr>
                      <w:rFonts w:ascii="&quot;times new roman&quot;" w:hAnsi="&quot;times new roman&quot;" w:cs="&quot;times new roman&quot;" w:eastAsia="&quot;times new roman&quot;"/>
                      <w:sz w:val="19"/>
                    </w:rPr>
                    <w:t>1.7重量：≤1.5 kg。</w:t>
                  </w:r>
                </w:p>
                <w:p>
                  <w:pPr>
                    <w:pStyle w:val="null3"/>
                  </w:pPr>
                  <w:r>
                    <w:rPr>
                      <w:rFonts w:ascii="&quot;times new roman&quot;" w:hAnsi="&quot;times new roman&quot;" w:cs="&quot;times new roman&quot;" w:eastAsia="&quot;times new roman&quot;"/>
                      <w:sz w:val="19"/>
                    </w:rPr>
                    <w:t>2 实验室支架</w:t>
                  </w:r>
                </w:p>
                <w:p>
                  <w:pPr>
                    <w:pStyle w:val="null3"/>
                  </w:pPr>
                  <w:r>
                    <w:rPr>
                      <w:rFonts w:ascii="&quot;times new roman&quot;" w:hAnsi="&quot;times new roman&quot;" w:cs="&quot;times new roman&quot;" w:eastAsia="&quot;times new roman&quot;"/>
                      <w:sz w:val="19"/>
                    </w:rPr>
                    <w:t>2.1重量：≤12 Kg。</w:t>
                  </w:r>
                </w:p>
                <w:p>
                  <w:pPr>
                    <w:pStyle w:val="null3"/>
                  </w:pPr>
                  <w:r>
                    <w:rPr>
                      <w:rFonts w:ascii="&quot;times new roman&quot;" w:hAnsi="&quot;times new roman&quot;" w:cs="&quot;times new roman&quot;" w:eastAsia="&quot;times new roman&quot;"/>
                      <w:sz w:val="19"/>
                    </w:rPr>
                    <w:t>2.2表面化学防腐蚀处理。</w:t>
                  </w:r>
                </w:p>
                <w:p>
                  <w:pPr>
                    <w:pStyle w:val="null3"/>
                  </w:pPr>
                  <w:r>
                    <w:rPr>
                      <w:rFonts w:ascii="&quot;times new roman&quot;" w:hAnsi="&quot;times new roman&quot;" w:cs="&quot;times new roman&quot;" w:eastAsia="&quot;times new roman&quot;"/>
                      <w:sz w:val="19"/>
                    </w:rPr>
                    <w:t>3、手动微电极推进器</w:t>
                  </w:r>
                </w:p>
                <w:p>
                  <w:pPr>
                    <w:pStyle w:val="null3"/>
                  </w:pPr>
                  <w:r>
                    <w:rPr>
                      <w:rFonts w:ascii="&quot;times new roman&quot;" w:hAnsi="&quot;times new roman&quot;" w:cs="&quot;times new roman&quot;" w:eastAsia="&quot;times new roman&quot;"/>
                      <w:sz w:val="19"/>
                    </w:rPr>
                    <w:t>3.1  Z轴总运动距离47 mm，其中37 mm步进精度为100 µm；另外10 mm步进精度为10 µm。</w:t>
                  </w:r>
                </w:p>
                <w:p>
                  <w:pPr>
                    <w:pStyle w:val="null3"/>
                  </w:pPr>
                  <w:r>
                    <w:rPr>
                      <w:rFonts w:ascii="&quot;times new roman&quot;" w:hAnsi="&quot;times new roman&quot;" w:cs="&quot;times new roman&quot;" w:eastAsia="&quot;times new roman&quot;"/>
                      <w:sz w:val="19"/>
                    </w:rPr>
                    <w:t>3.2 X轴总运动距离20 mm，精度100 µm。</w:t>
                  </w:r>
                </w:p>
                <w:p>
                  <w:pPr>
                    <w:pStyle w:val="null3"/>
                  </w:pPr>
                  <w:r>
                    <w:rPr>
                      <w:rFonts w:ascii="&quot;times new roman&quot;" w:hAnsi="&quot;times new roman&quot;" w:cs="&quot;times new roman&quot;" w:eastAsia="&quot;times new roman&quot;"/>
                      <w:sz w:val="19"/>
                    </w:rPr>
                    <w:t>3.3 Y轴总运动距离25 mm，精度100 µm。</w:t>
                  </w:r>
                </w:p>
                <w:p>
                  <w:pPr>
                    <w:pStyle w:val="null3"/>
                  </w:pPr>
                  <w:r>
                    <w:rPr>
                      <w:rFonts w:ascii="&quot;times new roman&quot;" w:hAnsi="&quot;times new roman&quot;" w:cs="&quot;times new roman&quot;" w:eastAsia="&quot;times new roman&quot;"/>
                      <w:sz w:val="19"/>
                    </w:rPr>
                    <w:t>4、马达控制器一套，含高级剖面分析软件</w:t>
                  </w:r>
                </w:p>
                <w:p>
                  <w:pPr>
                    <w:pStyle w:val="null3"/>
                  </w:pPr>
                  <w:r>
                    <w:rPr>
                      <w:rFonts w:ascii="&quot;times new roman&quot;" w:hAnsi="&quot;times new roman&quot;" w:cs="&quot;times new roman&quot;" w:eastAsia="&quot;times new roman&quot;"/>
                      <w:sz w:val="19"/>
                    </w:rPr>
                    <w:t>4.1 Z轴总运动距离100 mm，分辨率1 µm。</w:t>
                  </w:r>
                </w:p>
                <w:p>
                  <w:pPr>
                    <w:pStyle w:val="null3"/>
                  </w:pPr>
                  <w:r>
                    <w:rPr>
                      <w:rFonts w:ascii="&quot;times new roman&quot;" w:hAnsi="&quot;times new roman&quot;" w:cs="&quot;times new roman&quot;" w:eastAsia="&quot;times new roman&quot;"/>
                      <w:sz w:val="19"/>
                    </w:rPr>
                    <w:t>4.2自动设置微电极运动步进。</w:t>
                  </w:r>
                </w:p>
                <w:p>
                  <w:pPr>
                    <w:pStyle w:val="null3"/>
                  </w:pPr>
                  <w:r>
                    <w:rPr>
                      <w:rFonts w:ascii="&quot;times new roman&quot;" w:hAnsi="&quot;times new roman&quot;" w:cs="&quot;times new roman&quot;" w:eastAsia="&quot;times new roman&quot;"/>
                      <w:sz w:val="19"/>
                    </w:rPr>
                    <w:t>4.3自动取停留点平均值，自动计算界面的通量，内部微层产率和消耗率。</w:t>
                  </w:r>
                </w:p>
                <w:p>
                  <w:pPr>
                    <w:pStyle w:val="null3"/>
                  </w:pPr>
                  <w:r>
                    <w:rPr>
                      <w:rFonts w:ascii="&quot;times new roman&quot;" w:hAnsi="&quot;times new roman&quot;" w:cs="&quot;times new roman&quot;" w:eastAsia="&quot;times new roman&quot;"/>
                      <w:sz w:val="19"/>
                    </w:rPr>
                    <w:t>5.微电极，电极分不锈钢电极和尖端外径100微米玻璃电极</w:t>
                  </w:r>
                </w:p>
                <w:p>
                  <w:pPr>
                    <w:pStyle w:val="null3"/>
                  </w:pPr>
                  <w:r>
                    <w:rPr>
                      <w:rFonts w:ascii="&quot;times new roman&quot;" w:hAnsi="&quot;times new roman&quot;" w:cs="&quot;times new roman&quot;" w:eastAsia="&quot;times new roman&quot;"/>
                      <w:sz w:val="19"/>
                    </w:rPr>
                    <w:t>★5.1、 O</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微电极：测量范围：0-0.214 mol/L，检测下限：0.3 µmol/L。</w:t>
                  </w:r>
                </w:p>
                <w:p>
                  <w:pPr>
                    <w:pStyle w:val="null3"/>
                  </w:pPr>
                  <w:r>
                    <w:rPr>
                      <w:rFonts w:ascii="&quot;times new roman&quot;" w:hAnsi="&quot;times new roman&quot;" w:cs="&quot;times new roman&quot;" w:eastAsia="&quot;times new roman&quot;"/>
                      <w:sz w:val="19"/>
                    </w:rPr>
                    <w:t>★5.2、 H</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S微电极：测量范围：0-300 µmol/L H2S线性范围：0-300 µmol/L H2S，检测下限：0.3 µmol/L。</w:t>
                  </w:r>
                </w:p>
                <w:p>
                  <w:pPr>
                    <w:pStyle w:val="null3"/>
                  </w:pPr>
                  <w:r>
                    <w:rPr>
                      <w:rFonts w:ascii="&quot;times new roman&quot;" w:hAnsi="&quot;times new roman&quot;" w:cs="&quot;times new roman&quot;" w:eastAsia="&quot;times new roman&quot;"/>
                      <w:sz w:val="19"/>
                    </w:rPr>
                    <w:t>★5.3、 N</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O微电极：测量范围：水中0-500 µmol/L，检测下限：0.3 µmol/L。</w:t>
                  </w:r>
                </w:p>
                <w:p>
                  <w:pPr>
                    <w:pStyle w:val="null3"/>
                  </w:pPr>
                  <w:r>
                    <w:rPr>
                      <w:rFonts w:ascii="&quot;times new roman&quot;" w:hAnsi="&quot;times new roman&quot;" w:cs="&quot;times new roman&quot;" w:eastAsia="&quot;times new roman&quot;"/>
                      <w:sz w:val="19"/>
                    </w:rPr>
                    <w:t>★5.4、 pH微电极：测量范围：pH2-10，线性范围pH 4-9，检测精度：0.01pH。</w:t>
                  </w:r>
                </w:p>
                <w:p>
                  <w:pPr>
                    <w:pStyle w:val="null3"/>
                  </w:pPr>
                  <w:r>
                    <w:rPr>
                      <w:rFonts w:ascii="&quot;times new roman&quot;" w:hAnsi="&quot;times new roman&quot;" w:cs="&quot;times new roman&quot;" w:eastAsia="&quot;times new roman&quot;"/>
                      <w:sz w:val="19"/>
                    </w:rPr>
                    <w:t>★5.5、氧化还原电位微电极：测量范围：全范围，检测精度：0.1 mV。</w:t>
                  </w:r>
                </w:p>
                <w:p>
                  <w:pPr>
                    <w:pStyle w:val="null3"/>
                  </w:pPr>
                  <w:r>
                    <w:rPr>
                      <w:rFonts w:ascii="&quot;times new roman&quot;" w:hAnsi="&quot;times new roman&quot;" w:cs="&quot;times new roman&quot;" w:eastAsia="&quot;times new roman&quot;"/>
                      <w:sz w:val="19"/>
                    </w:rPr>
                    <w:t>5.6、 H</w:t>
                  </w:r>
                  <w:r>
                    <w:rPr>
                      <w:rFonts w:ascii="&quot;times new roman&quot;" w:hAnsi="&quot;times new roman&quot;" w:cs="&quot;times new roman&quot;" w:eastAsia="&quot;times new roman&quot;"/>
                      <w:sz w:val="19"/>
                      <w:vertAlign w:val="subscript"/>
                    </w:rPr>
                    <w:t>2</w:t>
                  </w:r>
                  <w:r>
                    <w:rPr>
                      <w:rFonts w:ascii="&quot;times new roman&quot;" w:hAnsi="&quot;times new roman&quot;" w:cs="&quot;times new roman&quot;" w:eastAsia="&quot;times new roman&quot;"/>
                      <w:sz w:val="19"/>
                    </w:rPr>
                    <w:t>微电极，测量范围： 0-800 µmol/L，检测下限：0.3 µM（水中）。</w:t>
                  </w:r>
                </w:p>
                <w:p>
                  <w:pPr>
                    <w:pStyle w:val="null3"/>
                  </w:pPr>
                  <w:r>
                    <w:rPr>
                      <w:rFonts w:ascii="&quot;times new roman&quot;" w:hAnsi="&quot;times new roman&quot;" w:cs="&quot;times new roman&quot;" w:eastAsia="&quot;times new roman&quot;"/>
                      <w:sz w:val="19"/>
                    </w:rPr>
                    <w:t>5.7、 NO微电极，线性范围：0-3µmol/L，检测下限：20-30 n mol/L。</w:t>
                  </w:r>
                </w:p>
                <w:p>
                  <w:pPr>
                    <w:pStyle w:val="null3"/>
                  </w:pPr>
                  <w:r>
                    <w:rPr>
                      <w:rFonts w:ascii="&quot;times new roman&quot;" w:hAnsi="&quot;times new roman&quot;" w:cs="&quot;times new roman&quot;" w:eastAsia="&quot;times new roman&quot;"/>
                      <w:sz w:val="19"/>
                    </w:rPr>
                    <w:t>5.8、温度电极，分辨率：±0.1oC，温度范围：-10-70℃。</w:t>
                  </w:r>
                </w:p>
                <w:p>
                  <w:pPr>
                    <w:pStyle w:val="null3"/>
                  </w:pPr>
                  <w:r>
                    <w:rPr>
                      <w:rFonts w:ascii="&quot;times new roman&quot;" w:hAnsi="&quot;times new roman&quot;" w:cs="&quot;times new roman&quot;" w:eastAsia="&quot;times new roman&quot;"/>
                      <w:sz w:val="19"/>
                    </w:rPr>
                    <w:t>5.9、 标准参比电极：Ag+/AgCl，用于给pH、电位电极进行参比。</w:t>
                  </w:r>
                </w:p>
                <w:p>
                  <w:pPr>
                    <w:pStyle w:val="null3"/>
                  </w:pPr>
                  <w:r>
                    <w:rPr>
                      <w:rFonts w:ascii="&quot;times new roman&quot;" w:hAnsi="&quot;times new roman&quot;" w:cs="&quot;times new roman&quot;" w:eastAsia="&quot;times new roman&quot;"/>
                      <w:sz w:val="19"/>
                    </w:rPr>
                    <w:t xml:space="preserve"> </w:t>
                  </w:r>
                </w:p>
              </w:tc>
              <w:tc>
                <w:tcPr>
                  <w:tcW w:type="dxa" w:w="638"/>
                </w:tcPr>
                <w:p>
                  <w:pPr>
                    <w:pStyle w:val="null3"/>
                  </w:pPr>
                  <w:r>
                    <w:rPr>
                      <w:rFonts w:ascii="&quot;times new roman&quot;" w:hAnsi="&quot;times new roman&quot;" w:cs="&quot;times new roman&quot;" w:eastAsia="&quot;times new roman&quot;"/>
                      <w:sz w:val="19"/>
                    </w:rPr>
                    <w:t>五通道主机，1台</w:t>
                  </w:r>
                </w:p>
                <w:p>
                  <w:pPr>
                    <w:pStyle w:val="null3"/>
                  </w:pPr>
                  <w:r>
                    <w:rPr>
                      <w:rFonts w:ascii="&quot;times new roman&quot;" w:hAnsi="&quot;times new roman&quot;" w:cs="&quot;times new roman&quot;" w:eastAsia="&quot;times new roman&quot;"/>
                      <w:sz w:val="19"/>
                    </w:rPr>
                    <w:t>实验室支架，1台</w:t>
                  </w:r>
                </w:p>
                <w:p>
                  <w:pPr>
                    <w:pStyle w:val="null3"/>
                  </w:pPr>
                  <w:r>
                    <w:rPr>
                      <w:rFonts w:ascii="&quot;times new roman&quot;" w:hAnsi="&quot;times new roman&quot;" w:cs="&quot;times new roman&quot;" w:eastAsia="&quot;times new roman&quot;"/>
                      <w:sz w:val="19"/>
                    </w:rPr>
                    <w:t>单头手动推进器，1台</w:t>
                  </w:r>
                </w:p>
                <w:p>
                  <w:pPr>
                    <w:pStyle w:val="null3"/>
                  </w:pPr>
                  <w:r>
                    <w:rPr>
                      <w:rFonts w:ascii="&quot;times new roman&quot;" w:hAnsi="&quot;times new roman&quot;" w:cs="&quot;times new roman&quot;" w:eastAsia="&quot;times new roman&quot;"/>
                      <w:sz w:val="19"/>
                    </w:rPr>
                    <w:t>高级分析软件，1套</w:t>
                  </w:r>
                </w:p>
                <w:p>
                  <w:pPr>
                    <w:pStyle w:val="null3"/>
                  </w:pPr>
                  <w:r>
                    <w:rPr>
                      <w:rFonts w:ascii="&quot;times new roman&quot;" w:hAnsi="&quot;times new roman&quot;" w:cs="&quot;times new roman&quot;" w:eastAsia="&quot;times new roman&quot;"/>
                      <w:sz w:val="19"/>
                    </w:rPr>
                    <w:t>马达控制系统，1套</w:t>
                  </w:r>
                </w:p>
                <w:p>
                  <w:pPr>
                    <w:pStyle w:val="null3"/>
                  </w:pPr>
                  <w:r>
                    <w:rPr>
                      <w:rFonts w:ascii="&quot;times new roman&quot;" w:hAnsi="&quot;times new roman&quot;" w:cs="&quot;times new roman&quot;" w:eastAsia="&quot;times new roman&quot;"/>
                      <w:sz w:val="19"/>
                    </w:rPr>
                    <w:t>不锈钢氧针电极，1根</w:t>
                  </w:r>
                </w:p>
                <w:p>
                  <w:pPr>
                    <w:pStyle w:val="null3"/>
                  </w:pPr>
                  <w:r>
                    <w:rPr>
                      <w:rFonts w:ascii="&quot;times new roman&quot;" w:hAnsi="&quot;times new roman&quot;" w:cs="&quot;times new roman&quot;" w:eastAsia="&quot;times new roman&quot;"/>
                      <w:sz w:val="19"/>
                    </w:rPr>
                    <w:t>不锈钢硫化氢针电极，1根</w:t>
                  </w:r>
                </w:p>
                <w:p>
                  <w:pPr>
                    <w:pStyle w:val="null3"/>
                  </w:pPr>
                  <w:r>
                    <w:rPr>
                      <w:rFonts w:ascii="&quot;times new roman&quot;" w:hAnsi="&quot;times new roman&quot;" w:cs="&quot;times new roman&quot;" w:eastAsia="&quot;times new roman&quot;"/>
                      <w:sz w:val="19"/>
                    </w:rPr>
                    <w:t>不锈钢氢针电极，1根</w:t>
                  </w:r>
                </w:p>
                <w:p>
                  <w:pPr>
                    <w:pStyle w:val="null3"/>
                  </w:pPr>
                  <w:r>
                    <w:rPr>
                      <w:rFonts w:ascii="&quot;times new roman&quot;" w:hAnsi="&quot;times new roman&quot;" w:cs="&quot;times new roman&quot;" w:eastAsia="&quot;times new roman&quot;"/>
                      <w:sz w:val="19"/>
                    </w:rPr>
                    <w:t>氧化亚氮针电极，1根</w:t>
                  </w:r>
                </w:p>
                <w:p>
                  <w:pPr>
                    <w:pStyle w:val="null3"/>
                  </w:pPr>
                  <w:r>
                    <w:rPr>
                      <w:rFonts w:ascii="&quot;times new roman&quot;" w:hAnsi="&quot;times new roman&quot;" w:cs="&quot;times new roman&quot;" w:eastAsia="&quot;times new roman&quot;"/>
                      <w:sz w:val="19"/>
                    </w:rPr>
                    <w:t>一氧化氮针电极，1根</w:t>
                  </w:r>
                </w:p>
                <w:p>
                  <w:pPr>
                    <w:pStyle w:val="null3"/>
                  </w:pPr>
                  <w:r>
                    <w:rPr>
                      <w:rFonts w:ascii="&quot;times new roman&quot;" w:hAnsi="&quot;times new roman&quot;" w:cs="&quot;times new roman&quot;" w:eastAsia="&quot;times new roman&quot;"/>
                      <w:sz w:val="19"/>
                    </w:rPr>
                    <w:t>pH针电极，1根</w:t>
                  </w:r>
                </w:p>
                <w:p>
                  <w:pPr>
                    <w:pStyle w:val="null3"/>
                  </w:pPr>
                  <w:r>
                    <w:rPr>
                      <w:rFonts w:ascii="&quot;times new roman&quot;" w:hAnsi="&quot;times new roman&quot;" w:cs="&quot;times new roman&quot;" w:eastAsia="&quot;times new roman&quot;"/>
                      <w:sz w:val="19"/>
                    </w:rPr>
                    <w:t>电位针电极，1根</w:t>
                  </w:r>
                </w:p>
                <w:p>
                  <w:pPr>
                    <w:pStyle w:val="null3"/>
                  </w:pPr>
                  <w:r>
                    <w:rPr>
                      <w:rFonts w:ascii="&quot;times new roman&quot;" w:hAnsi="&quot;times new roman&quot;" w:cs="&quot;times new roman&quot;" w:eastAsia="&quot;times new roman&quot;"/>
                      <w:sz w:val="19"/>
                    </w:rPr>
                    <w:t>温度针电极，1根</w:t>
                  </w:r>
                </w:p>
                <w:p>
                  <w:pPr>
                    <w:pStyle w:val="null3"/>
                  </w:pPr>
                  <w:r>
                    <w:rPr>
                      <w:rFonts w:ascii="&quot;times new roman&quot;" w:hAnsi="&quot;times new roman&quot;" w:cs="&quot;times new roman&quot;" w:eastAsia="&quot;times new roman&quot;"/>
                      <w:sz w:val="19"/>
                    </w:rPr>
                    <w:t>尖端直径100微米氧电极，1根</w:t>
                  </w:r>
                </w:p>
                <w:p>
                  <w:pPr>
                    <w:pStyle w:val="null3"/>
                  </w:pPr>
                  <w:r>
                    <w:rPr>
                      <w:rFonts w:ascii="&quot;times new roman&quot;" w:hAnsi="&quot;times new roman&quot;" w:cs="&quot;times new roman&quot;" w:eastAsia="&quot;times new roman&quot;"/>
                      <w:sz w:val="19"/>
                    </w:rPr>
                    <w:t>尖端直径100微米硫化氢电极，1根</w:t>
                  </w:r>
                </w:p>
                <w:p>
                  <w:pPr>
                    <w:pStyle w:val="null3"/>
                  </w:pPr>
                  <w:r>
                    <w:rPr>
                      <w:rFonts w:ascii="&quot;times new roman&quot;" w:hAnsi="&quot;times new roman&quot;" w:cs="&quot;times new roman&quot;" w:eastAsia="&quot;times new roman&quot;"/>
                      <w:sz w:val="19"/>
                    </w:rPr>
                    <w:t>尖端直径100微米氢电极，1根</w:t>
                  </w:r>
                </w:p>
                <w:p>
                  <w:pPr>
                    <w:pStyle w:val="null3"/>
                  </w:pPr>
                  <w:r>
                    <w:rPr>
                      <w:rFonts w:ascii="&quot;times new roman&quot;" w:hAnsi="&quot;times new roman&quot;" w:cs="&quot;times new roman&quot;" w:eastAsia="&quot;times new roman&quot;"/>
                      <w:sz w:val="19"/>
                    </w:rPr>
                    <w:t>尖端直径50微米氧化亚氮电极，1根</w:t>
                  </w:r>
                </w:p>
                <w:p>
                  <w:pPr>
                    <w:pStyle w:val="null3"/>
                  </w:pPr>
                  <w:r>
                    <w:rPr>
                      <w:rFonts w:ascii="&quot;times new roman&quot;" w:hAnsi="&quot;times new roman&quot;" w:cs="&quot;times new roman&quot;" w:eastAsia="&quot;times new roman&quot;"/>
                      <w:sz w:val="19"/>
                    </w:rPr>
                    <w:t>尖端直径15微米一氧化氮电极，1根</w:t>
                  </w:r>
                </w:p>
                <w:p>
                  <w:pPr>
                    <w:pStyle w:val="null3"/>
                  </w:pPr>
                  <w:r>
                    <w:rPr>
                      <w:rFonts w:ascii="&quot;times new roman&quot;" w:hAnsi="&quot;times new roman&quot;" w:cs="&quot;times new roman&quot;" w:eastAsia="&quot;times new roman&quot;"/>
                      <w:sz w:val="19"/>
                    </w:rPr>
                    <w:t>尖端直径100微pH电极，1根</w:t>
                  </w:r>
                </w:p>
                <w:p>
                  <w:pPr>
                    <w:pStyle w:val="null3"/>
                  </w:pPr>
                  <w:r>
                    <w:rPr>
                      <w:rFonts w:ascii="&quot;times new roman&quot;" w:hAnsi="&quot;times new roman&quot;" w:cs="&quot;times new roman&quot;" w:eastAsia="&quot;times new roman&quot;"/>
                      <w:sz w:val="19"/>
                    </w:rPr>
                    <w:t>尖端直径100微米电位电极，1根</w:t>
                  </w:r>
                </w:p>
                <w:p>
                  <w:pPr>
                    <w:pStyle w:val="null3"/>
                  </w:pPr>
                  <w:r>
                    <w:rPr>
                      <w:rFonts w:ascii="&quot;times new roman&quot;" w:hAnsi="&quot;times new roman&quot;" w:cs="&quot;times new roman&quot;" w:eastAsia="&quot;times new roman&quot;"/>
                      <w:sz w:val="19"/>
                    </w:rPr>
                    <w:t>标准参比电极，3根</w:t>
                  </w:r>
                </w:p>
                <w:p>
                  <w:pPr>
                    <w:pStyle w:val="null3"/>
                  </w:pPr>
                  <w:r>
                    <w:rPr>
                      <w:rFonts w:ascii="&quot;times new roman&quot;" w:hAnsi="&quot;times new roman&quot;" w:cs="&quot;times new roman&quot;" w:eastAsia="&quot;times new roman&quot;"/>
                      <w:sz w:val="19"/>
                    </w:rPr>
                    <w:t>直径200微米温度电极，1根</w:t>
                  </w: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标的名称：光学相干断层扫描仪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一、采购清单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Pr>
                <w:p>
                  <w:pPr>
                    <w:pStyle w:val="null3"/>
                    <w:jc w:val="center"/>
                  </w:pPr>
                  <w:r>
                    <w:rPr>
                      <w:rFonts w:ascii="&quot;times new roman&quot;" w:hAnsi="&quot;times new roman&quot;" w:cs="&quot;times new roman&quot;" w:eastAsia="&quot;times new roman&quot;"/>
                      <w:sz w:val="19"/>
                    </w:rPr>
                    <w:t>产品名称</w:t>
                  </w:r>
                </w:p>
              </w:tc>
              <w:tc>
                <w:tcPr>
                  <w:tcW w:type="dxa" w:w="851"/>
                </w:tcPr>
                <w:p>
                  <w:pPr>
                    <w:pStyle w:val="null3"/>
                    <w:jc w:val="center"/>
                  </w:pPr>
                  <w:r>
                    <w:rPr>
                      <w:rFonts w:ascii="&quot;times new roman&quot;" w:hAnsi="&quot;times new roman&quot;" w:cs="&quot;times new roman&quot;" w:eastAsia="&quot;times new roman&quot;"/>
                      <w:sz w:val="19"/>
                    </w:rPr>
                    <w:t>数量</w:t>
                  </w:r>
                </w:p>
              </w:tc>
              <w:tc>
                <w:tcPr>
                  <w:tcW w:type="dxa" w:w="851"/>
                </w:tcPr>
                <w:p>
                  <w:pPr>
                    <w:pStyle w:val="null3"/>
                    <w:jc w:val="center"/>
                  </w:pPr>
                  <w:r>
                    <w:rPr>
                      <w:rFonts w:ascii="&quot;times new roman&quot;" w:hAnsi="&quot;times new roman&quot;" w:cs="&quot;times new roman&quot;" w:eastAsia="&quot;times new roman&quot;"/>
                      <w:sz w:val="19"/>
                    </w:rPr>
                    <w:t>备注</w:t>
                  </w:r>
                </w:p>
              </w:tc>
            </w:tr>
            <w:tr>
              <w:tc>
                <w:tcPr>
                  <w:tcW w:type="dxa" w:w="851"/>
                </w:tcPr>
                <w:p>
                  <w:pPr>
                    <w:pStyle w:val="null3"/>
                    <w:jc w:val="center"/>
                  </w:pPr>
                  <w:r>
                    <w:rPr>
                      <w:rFonts w:ascii="&quot;times new roman&quot;" w:hAnsi="&quot;times new roman&quot;" w:cs="&quot;times new roman&quot;" w:eastAsia="&quot;times new roman&quot;"/>
                      <w:sz w:val="19"/>
                    </w:rPr>
                    <w:t>光学相干断层扫描仪</w:t>
                  </w:r>
                </w:p>
              </w:tc>
              <w:tc>
                <w:tcPr>
                  <w:tcW w:type="dxa" w:w="851"/>
                </w:tcPr>
                <w:p>
                  <w:pPr>
                    <w:pStyle w:val="null3"/>
                    <w:jc w:val="center"/>
                  </w:pPr>
                  <w:r>
                    <w:rPr>
                      <w:rFonts w:ascii="&quot;times new roman&quot;" w:hAnsi="&quot;times new roman&quot;" w:cs="&quot;times new roman&quot;" w:eastAsia="&quot;times new roman&quot;"/>
                      <w:sz w:val="19"/>
                    </w:rPr>
                    <w:t>1套</w:t>
                  </w:r>
                </w:p>
              </w:tc>
              <w:tc>
                <w:tcPr>
                  <w:tcW w:type="dxa" w:w="851"/>
                </w:tcPr>
                <w:p>
                  <w:pPr>
                    <w:pStyle w:val="null3"/>
                    <w:jc w:val="center"/>
                  </w:pPr>
                  <w:r>
                    <w:rPr>
                      <w:rFonts w:ascii="&quot;times new roman&quot;" w:hAnsi="&quot;times new roman&quot;" w:cs="&quot;times new roman&quot;" w:eastAsia="&quot;times new roman&quot;"/>
                      <w:sz w:val="19"/>
                    </w:rPr>
                    <w:t>已通过财政核准，允许采购进口设备</w:t>
                  </w:r>
                </w:p>
              </w:tc>
            </w:tr>
          </w:tbl>
          <w:p>
            <w:pPr>
              <w:pStyle w:val="null3"/>
            </w:pPr>
            <w:r>
              <w:rPr/>
              <w:t>二、技术参数</w:t>
            </w:r>
          </w:p>
          <w:p>
            <w:pPr>
              <w:pStyle w:val="null3"/>
            </w:pPr>
            <w:r>
              <w:rPr>
                <w:rFonts w:ascii="宋体" w:hAnsi="宋体" w:cs="宋体" w:eastAsia="宋体"/>
                <w:sz w:val="21"/>
              </w:rPr>
              <w:t xml:space="preserve">  所有技术参数必须全部满足，其中“★”指标必须提供佐证材料证明（包括但不限于产品彩页或技术白皮书或官网截图等）。不满足或“★”指标未提供佐证材料视为负偏离，按无效文件处理。</w:t>
            </w:r>
          </w:p>
          <w:tbl>
            <w:tblPr>
              <w:tblInd w:type="dxa" w:w="13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jc w:val="center"/>
                  </w:pPr>
                  <w:r>
                    <w:rPr>
                      <w:rFonts w:ascii="&quot;times new roman&quot;" w:hAnsi="&quot;times new roman&quot;" w:cs="&quot;times new roman&quot;" w:eastAsia="&quot;times new roman&quot;"/>
                      <w:sz w:val="19"/>
                    </w:rPr>
                    <w:t>序号</w:t>
                  </w:r>
                </w:p>
              </w:tc>
              <w:tc>
                <w:tcPr>
                  <w:tcW w:type="dxa" w:w="638"/>
                </w:tcPr>
                <w:p>
                  <w:pPr>
                    <w:pStyle w:val="null3"/>
                    <w:jc w:val="center"/>
                  </w:pPr>
                  <w:r>
                    <w:rPr>
                      <w:rFonts w:ascii="&quot;times new roman&quot;" w:hAnsi="&quot;times new roman&quot;" w:cs="&quot;times new roman&quot;" w:eastAsia="&quot;times new roman&quot;"/>
                      <w:sz w:val="19"/>
                    </w:rPr>
                    <w:t>产品名称</w:t>
                  </w:r>
                </w:p>
              </w:tc>
              <w:tc>
                <w:tcPr>
                  <w:tcW w:type="dxa" w:w="638"/>
                </w:tcPr>
                <w:p>
                  <w:pPr>
                    <w:pStyle w:val="null3"/>
                    <w:jc w:val="center"/>
                  </w:pPr>
                  <w:r>
                    <w:rPr>
                      <w:rFonts w:ascii="&quot;times new roman&quot;" w:hAnsi="&quot;times new roman&quot;" w:cs="&quot;times new roman&quot;" w:eastAsia="&quot;times new roman&quot;"/>
                      <w:sz w:val="19"/>
                    </w:rPr>
                    <w:t>技术标准</w:t>
                  </w:r>
                </w:p>
              </w:tc>
              <w:tc>
                <w:tcPr>
                  <w:tcW w:type="dxa" w:w="638"/>
                </w:tcPr>
                <w:p>
                  <w:pPr>
                    <w:pStyle w:val="null3"/>
                    <w:jc w:val="center"/>
                  </w:pPr>
                  <w:r>
                    <w:rPr>
                      <w:rFonts w:ascii="&quot;times new roman&quot;" w:hAnsi="&quot;times new roman&quot;" w:cs="&quot;times new roman&quot;" w:eastAsia="&quot;times new roman&quot;"/>
                      <w:sz w:val="19"/>
                    </w:rPr>
                    <w:t>配置要求</w:t>
                  </w:r>
                </w:p>
              </w:tc>
            </w:tr>
            <w:tr>
              <w:tc>
                <w:tcPr>
                  <w:tcW w:type="dxa" w:w="638"/>
                </w:tcPr>
                <w:p>
                  <w:pPr>
                    <w:pStyle w:val="null3"/>
                  </w:pPr>
                  <w:r>
                    <w:rPr>
                      <w:rFonts w:ascii="&quot;times new roman&quot;" w:hAnsi="&quot;times new roman&quot;" w:cs="&quot;times new roman&quot;" w:eastAsia="&quot;times new roman&quot;"/>
                      <w:sz w:val="19"/>
                    </w:rPr>
                    <w:t>1</w:t>
                  </w:r>
                </w:p>
              </w:tc>
              <w:tc>
                <w:tcPr>
                  <w:tcW w:type="dxa" w:w="638"/>
                </w:tcPr>
                <w:p>
                  <w:pPr>
                    <w:pStyle w:val="null3"/>
                  </w:pPr>
                  <w:r>
                    <w:rPr>
                      <w:rFonts w:ascii="&quot;times new roman&quot;" w:hAnsi="&quot;times new roman&quot;" w:cs="&quot;times new roman&quot;" w:eastAsia="&quot;times new roman&quot;"/>
                      <w:sz w:val="19"/>
                    </w:rPr>
                    <w:t>光学相干断层扫描仪</w:t>
                  </w:r>
                </w:p>
              </w:tc>
              <w:tc>
                <w:tcPr>
                  <w:tcW w:type="dxa" w:w="638"/>
                </w:tcPr>
                <w:p>
                  <w:pPr>
                    <w:pStyle w:val="null3"/>
                  </w:pPr>
                  <w:r>
                    <w:rPr>
                      <w:rFonts w:ascii="&quot;times new roman&quot;" w:hAnsi="&quot;times new roman&quot;" w:cs="&quot;times new roman&quot;" w:eastAsia="&quot;times new roman&quot;"/>
                      <w:sz w:val="19"/>
                    </w:rPr>
                    <w:t>★1.使用超辐射发光二极管光源（SLD）。</w:t>
                  </w:r>
                </w:p>
                <w:p>
                  <w:pPr>
                    <w:pStyle w:val="null3"/>
                  </w:pPr>
                  <w:r>
                    <w:rPr>
                      <w:rFonts w:ascii="&quot;times new roman&quot;" w:hAnsi="&quot;times new roman&quot;" w:cs="&quot;times new roman&quot;" w:eastAsia="&quot;times new roman&quot;"/>
                      <w:sz w:val="19"/>
                    </w:rPr>
                    <w:t>★2.轴向分辨率&lt;=6.0微米；高度成像深度&gt;=1.8mm。</w:t>
                  </w:r>
                </w:p>
                <w:p>
                  <w:pPr>
                    <w:pStyle w:val="null3"/>
                  </w:pPr>
                  <w:r>
                    <w:rPr>
                      <w:rFonts w:ascii="&quot;times new roman&quot;" w:hAnsi="&quot;times new roman&quot;" w:cs="&quot;times new roman&quot;" w:eastAsia="&quot;times new roman&quot;"/>
                      <w:sz w:val="19"/>
                    </w:rPr>
                    <w:t>3.OCT系统可获得二维和三维图像。</w:t>
                  </w:r>
                </w:p>
                <w:p>
                  <w:pPr>
                    <w:pStyle w:val="null3"/>
                  </w:pPr>
                  <w:r>
                    <w:rPr>
                      <w:rFonts w:ascii="&quot;times new roman&quot;" w:hAnsi="&quot;times new roman&quot;" w:cs="&quot;times new roman&quot;" w:eastAsia="&quot;times new roman&quot;"/>
                      <w:sz w:val="19"/>
                    </w:rPr>
                    <w:t>★4.横向分辨率&lt;=18微米。</w:t>
                  </w:r>
                </w:p>
                <w:p>
                  <w:pPr>
                    <w:pStyle w:val="null3"/>
                  </w:pPr>
                  <w:r>
                    <w:rPr>
                      <w:rFonts w:ascii="&quot;times new roman&quot;" w:hAnsi="&quot;times new roman&quot;" w:cs="&quot;times new roman&quot;" w:eastAsia="&quot;times new roman&quot;"/>
                      <w:sz w:val="19"/>
                    </w:rPr>
                    <w:t>★5.系统的A-扫描最大频率&gt;=32kHz。</w:t>
                  </w:r>
                </w:p>
                <w:p>
                  <w:pPr>
                    <w:pStyle w:val="null3"/>
                  </w:pPr>
                  <w:r>
                    <w:rPr>
                      <w:rFonts w:ascii="&quot;times new roman&quot;" w:hAnsi="&quot;times new roman&quot;" w:cs="&quot;times new roman&quot;" w:eastAsia="&quot;times new roman&quot;"/>
                      <w:sz w:val="19"/>
                    </w:rPr>
                    <w:t>★6.单次A-扫描的像素数量&gt;=1024个。</w:t>
                  </w:r>
                </w:p>
                <w:p>
                  <w:pPr>
                    <w:pStyle w:val="null3"/>
                  </w:pPr>
                  <w:r>
                    <w:rPr>
                      <w:rFonts w:ascii="&quot;times new roman&quot;" w:hAnsi="&quot;times new roman&quot;" w:cs="&quot;times new roman&quot;" w:eastAsia="&quot;times new roman&quot;"/>
                      <w:sz w:val="19"/>
                    </w:rPr>
                    <w:t>7.含OCT专用分析软件可以实现二维、三维成像。</w:t>
                  </w:r>
                </w:p>
                <w:p>
                  <w:pPr>
                    <w:pStyle w:val="null3"/>
                  </w:pPr>
                  <w:r>
                    <w:rPr>
                      <w:rFonts w:ascii="&quot;times new roman&quot;" w:hAnsi="&quot;times new roman&quot;" w:cs="&quot;times new roman&quot;" w:eastAsia="&quot;times new roman&quot;"/>
                      <w:sz w:val="19"/>
                    </w:rPr>
                    <w:t>8.系统集成度高，可灵活配置，后期可升级。</w:t>
                  </w:r>
                </w:p>
                <w:p>
                  <w:pPr>
                    <w:pStyle w:val="null3"/>
                  </w:pPr>
                  <w:r>
                    <w:rPr>
                      <w:rFonts w:ascii="&quot;times new roman&quot;" w:hAnsi="&quot;times new roman&quot;" w:cs="&quot;times new roman&quot;" w:eastAsia="&quot;times new roman&quot;"/>
                      <w:sz w:val="19"/>
                    </w:rPr>
                    <w:t>9.扫描系统具有高稳定性且易于操作。</w:t>
                  </w:r>
                </w:p>
                <w:p>
                  <w:pPr>
                    <w:pStyle w:val="null3"/>
                  </w:pPr>
                  <w:r>
                    <w:rPr>
                      <w:rFonts w:ascii="&quot;times new roman&quot;" w:hAnsi="&quot;times new roman&quot;" w:cs="&quot;times new roman&quot;" w:eastAsia="&quot;times new roman&quot;"/>
                      <w:sz w:val="19"/>
                    </w:rPr>
                    <w:t>10.扫描仪支架用于安装扫描仪，高度可调整，包括粗调和细调两种调整方式,扫描仪在支架上可旋转。</w:t>
                  </w:r>
                </w:p>
                <w:p>
                  <w:pPr>
                    <w:pStyle w:val="null3"/>
                  </w:pPr>
                  <w:r>
                    <w:rPr>
                      <w:rFonts w:ascii="&quot;times new roman&quot;" w:hAnsi="&quot;times new roman&quot;" w:cs="&quot;times new roman&quot;" w:eastAsia="&quot;times new roman&quot;"/>
                      <w:sz w:val="19"/>
                    </w:rPr>
                    <w:t>11.位移台用于调整样品的位置，可稳定固定在支架的底座上。</w:t>
                  </w:r>
                </w:p>
                <w:p>
                  <w:pPr>
                    <w:pStyle w:val="null3"/>
                  </w:pPr>
                  <w:r>
                    <w:rPr>
                      <w:rFonts w:ascii="&quot;times new roman&quot;" w:hAnsi="&quot;times new roman&quot;" w:cs="&quot;times new roman&quot;" w:eastAsia="&quot;times new roman&quot;"/>
                      <w:sz w:val="19"/>
                    </w:rPr>
                    <w:t xml:space="preserve"> </w:t>
                  </w:r>
                </w:p>
              </w:tc>
              <w:tc>
                <w:tcPr>
                  <w:tcW w:type="dxa" w:w="638"/>
                </w:tcPr>
                <w:p>
                  <w:pPr>
                    <w:pStyle w:val="null3"/>
                  </w:pPr>
                  <w:r>
                    <w:rPr>
                      <w:rFonts w:ascii="&quot;times new roman&quot;" w:hAnsi="&quot;times new roman&quot;" w:cs="&quot;times new roman&quot;" w:eastAsia="&quot;times new roman&quot;"/>
                      <w:sz w:val="19"/>
                    </w:rPr>
                    <w:t>光学相干断层扫描仪</w:t>
                  </w:r>
                </w:p>
                <w:p>
                  <w:pPr>
                    <w:pStyle w:val="null3"/>
                  </w:pPr>
                  <w:r>
                    <w:rPr>
                      <w:rFonts w:ascii="&quot;times new roman&quot;" w:hAnsi="&quot;times new roman&quot;" w:cs="&quot;times new roman&quot;" w:eastAsia="&quot;times new roman&quot;"/>
                      <w:sz w:val="19"/>
                    </w:rPr>
                    <w:t xml:space="preserve"> </w:t>
                  </w:r>
                </w:p>
              </w:tc>
            </w:tr>
          </w:tbl>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自合同签订之日起90日历日内完成交付、安装及调试</w:t>
      </w:r>
    </w:p>
    <w:p>
      <w:pPr>
        <w:pStyle w:val="null3"/>
      </w:pPr>
      <w:r>
        <w:rPr/>
        <w:t>采购包2：</w:t>
      </w:r>
    </w:p>
    <w:p>
      <w:pPr>
        <w:pStyle w:val="null3"/>
      </w:pPr>
      <w:r>
        <w:rPr/>
        <w:t>自合同签订之日起90日历日内完成交付、安装及调试。</w:t>
      </w:r>
    </w:p>
    <w:p>
      <w:pPr>
        <w:pStyle w:val="null3"/>
        <w:outlineLvl w:val="3"/>
      </w:pPr>
      <w:r>
        <w:rPr>
          <w:sz w:val="24"/>
          <w:b/>
        </w:rPr>
        <w:t>3.4.2交货地点和方式</w:t>
      </w:r>
    </w:p>
    <w:p>
      <w:pPr>
        <w:pStyle w:val="null3"/>
      </w:pPr>
      <w:r>
        <w:rPr/>
        <w:t>采购包1：</w:t>
      </w:r>
    </w:p>
    <w:p>
      <w:pPr>
        <w:pStyle w:val="null3"/>
      </w:pPr>
      <w:r>
        <w:rPr/>
        <w:t>西安建筑科技大学环境学院环境大楼413室</w:t>
      </w:r>
    </w:p>
    <w:p>
      <w:pPr>
        <w:pStyle w:val="null3"/>
      </w:pPr>
      <w:r>
        <w:rPr/>
        <w:t>采购包2：</w:t>
      </w:r>
    </w:p>
    <w:p>
      <w:pPr>
        <w:pStyle w:val="null3"/>
      </w:pPr>
      <w:r>
        <w:rPr/>
        <w:t>西安建筑科技大学环境学院环境大楼209室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国产设备：签订合同后，设备到达指定地点、安装调试完成并验收合格后，支付合同总价的100%， 最终结算时，供应商须向采购人出具合同总价款的增值税专用发票。 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国产设备：签订合同后，设备到达指定地点、安装调试完成并验收合格后，支付合同总价的100%， 最终结算时，供应商须向采购人出具合同总价款的增值税专用发票。 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（4）其他内容按采购文件、响应文件及合同约定执行。</w:t>
      </w:r>
    </w:p>
    <w:p>
      <w:pPr>
        <w:pStyle w:val="null3"/>
      </w:pPr>
      <w:r>
        <w:rPr/>
        <w:t>采购包2：</w:t>
      </w:r>
    </w:p>
    <w:p>
      <w:pPr>
        <w:pStyle w:val="null3"/>
      </w:pPr>
      <w:r>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（4）其他内容按采购文件、响应文件及合同约定执行。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产品安装验收合格之日起两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质保期为产品安装验收合格之日起一年，含技术培训，含运费。</w:t>
      </w:r>
    </w:p>
    <w:p>
      <w:pPr>
        <w:pStyle w:val="null3"/>
        <w:outlineLvl w:val="3"/>
      </w:pPr>
      <w:r>
        <w:rPr>
          <w:sz w:val="24"/>
          <w:b/>
        </w:rPr>
        <w:t>3.4.8违约责任及解决争议的方法</w:t>
      </w:r>
    </w:p>
    <w:p>
      <w:pPr>
        <w:pStyle w:val="null3"/>
      </w:pPr>
      <w:r>
        <w:rPr/>
        <w:t>采购包1：</w:t>
      </w:r>
    </w:p>
    <w:p>
      <w:pPr>
        <w:pStyle w:val="null3"/>
      </w:pPr>
      <w:r>
        <w:rPr/>
        <w:t>按谈判文件、响应文件及合同约定执行</w:t>
      </w:r>
    </w:p>
    <w:p>
      <w:pPr>
        <w:pStyle w:val="null3"/>
      </w:pPr>
      <w:r>
        <w:rPr/>
        <w:t>采购包2：</w:t>
      </w:r>
    </w:p>
    <w:p>
      <w:pPr>
        <w:pStyle w:val="null3"/>
      </w:pPr>
      <w:r>
        <w:rPr/>
        <w:t>按谈判文件、响应文件及合同约定执行</w:t>
      </w:r>
    </w:p>
    <w:p>
      <w:pPr>
        <w:pStyle w:val="null3"/>
        <w:jc w:val="left"/>
        <w:outlineLvl w:val="3"/>
      </w:pPr>
      <w:r>
        <w:rPr>
          <w:sz w:val="24"/>
          <w:b/>
        </w:rPr>
        <w:t>3.5其他要求</w:t>
      </w:r>
    </w:p>
    <w:p>
      <w:pPr>
        <w:pStyle w:val="null3"/>
      </w:pPr>
      <w:r>
        <w:rPr/>
        <w:t>采购包1：</w:t>
      </w:r>
    </w:p>
    <w:p>
      <w:pPr>
        <w:pStyle w:val="null3"/>
      </w:pPr>
      <w:r>
        <w:rPr/>
        <w:t>1、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谈判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谈判无效；（3）谈判保证金以采购代理机构到账凭证为准，供应商无需更换交纳凭证，由采购代理机构统一提供；（4）未按指定账户提交的，我公司将退回，供应商须在文件递交截止时间前按照指定账户再次提交。 2、因电子化格式有限，供应商还需要响应以下内容：（1）国产设备：签订合同后，设备到达指定地点、安装调试完成并验收合格后，支付合同总价的100%， 最终结算时，供应商须向采购人出具合同总价款的增值税专用发票。 （2）进口设备：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3、本采购包通过进口产品论证，允许采购进口产品：微电极系统。</w:t>
      </w:r>
    </w:p>
    <w:p>
      <w:pPr>
        <w:pStyle w:val="null3"/>
      </w:pPr>
      <w:r>
        <w:rPr/>
        <w:t>采购包2：</w:t>
      </w:r>
    </w:p>
    <w:p>
      <w:pPr>
        <w:pStyle w:val="null3"/>
      </w:pPr>
      <w:r>
        <w:rPr/>
        <w:t>1、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谈判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谈判无效；（3）谈判保证金以采购代理机构到账凭证为准，供应商无需更换交纳凭证，由采购代理机构统一提供；（4）未按指定账户提交的，我公司将退回，供应商须在文件递交截止时间前按照指定账户再次提交。 2、因电子化格式有限，供应商还需要响应以下内容：（1）国产设备：签订合同后，设备到达指定地点、安装调试完成并验收合格后，支付合同总价的100%， 最终结算时，供应商须向采购人出具合同总价款的增值税专用发票。 （2）进口设备：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3、本采购包通过进口产品论证，允许采购进口产品：光学相干断层扫描仪。</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1月1日以来至少一个月的纳税证明或完税证明，纳税证明或完税证明上应有代收机构或税务机关的公章或业务专用章；其他组织和自然人提供自2024年1月1日以来至少一个月缴纳税收的凭据；依法免税的或者依法不需缴税的供应商应提供相关文件证明； ③社会保障资金缴纳证明：提供自2024年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法人提供会计师事务所出具有效的2023年度审计报告（成立时间至提交响应文件截止时间不足一年的可提供成立后任意时段的资产负债表），或提交自2024年7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1月1日以来至少一个月的纳税证明或完税证明，纳税证明或完税证明上应有代收机构或税务机关的公章或业务专用章；其他组织和自然人提供自2024年1月1日以来至少一个月缴纳税收的凭据；依法免税的或者依法不需缴税的供应商应提供相关文件证明； ③社会保障资金缴纳证明：提供自2024年1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法人提供会计师事务所出具有效的2023年度审计报告（成立时间至提交响应文件截止时间不足一年的可提供成立后任意时段的资产负债表），或提交自2024年7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法定代表人参加谈判的，须提供身份证；法定代表人授权本单位他人参加谈判的，须提供法定代表人授权委托书；</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法定代表人参加谈判的，须提供身份证；法定代表人授权本单位他人参加谈判的，须提供法定代表人授权委托书；</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不接受联合体谈判，不允许分包</w:t>
            </w:r>
          </w:p>
        </w:tc>
        <w:tc>
          <w:tcPr>
            <w:tcW w:type="dxa" w:w="3322"/>
          </w:tcPr>
          <w:p>
            <w:pPr>
              <w:pStyle w:val="null3"/>
            </w:pPr>
            <w:r>
              <w:rPr/>
              <w:t>本项目不接受联合体谈判，不允许分包。供应商应提供《非联合体不分包投标声明》；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响应处理：(1)响应文件未按照谈判文件规定要求签署、盖章的；(2)不满足本谈判文件中“交货时间、交货地点、采购资金的支付方式及约定、质量保修范围和保修期、3.5其他要求第2条”的实质性条款要求的；(3)响应有效期不足的或无有效期的；(4)报价超过谈判文件中规定的最高限价； (5)法律、法规和谈判文件规定的其他无效情形。</w:t>
            </w:r>
          </w:p>
        </w:tc>
        <w:tc>
          <w:tcPr>
            <w:tcW w:type="dxa" w:w="1661"/>
          </w:tcPr>
          <w:p>
            <w:pPr>
              <w:pStyle w:val="null3"/>
            </w:pPr>
            <w:r>
              <w:rPr/>
              <w:t>技术响应与偏离表 中小企业声明函 商务应答表 报价表 产品使用寿命承诺书 响应文件封面 分项价格表 技术方案及实施方案、组织机构、售后服务承诺 残疾人福利性单位声明函 投标担保函、履约担保函格式及公章授权书 响应函 监狱企业的证明文件 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响应处理：(1)响应文件未按照谈判文件规定要求签署、盖章的；(2)不满足本谈判文件中“交货时间、交货地点、采购资金的支付方式及约定、质量保修范围和保修期、3.5其他要求第2条”的实质性条款要求的；(3)响应有效期不足的或无有效期的；(4)报价超过谈判文件中规定的最高限价； (5)法律、法规和谈判文件规定的其他无效情形。</w:t>
            </w:r>
          </w:p>
        </w:tc>
        <w:tc>
          <w:tcPr>
            <w:tcW w:type="dxa" w:w="1661"/>
          </w:tcPr>
          <w:p>
            <w:pPr>
              <w:pStyle w:val="null3"/>
            </w:pPr>
            <w:r>
              <w:rPr/>
              <w:t>技术响应与偏离表 中小企业声明函 商务应答表 报价表 产品使用寿命承诺书 响应文件封面 分项价格表 技术方案及实施方案、组织机构、售后服务承诺 残疾人福利性单位声明函 投标担保函、履约担保函格式及公章授权书 响应函 监狱企业的证明文件 供应商资格证明文件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详见附件：分项价格表</w:t>
      </w:r>
    </w:p>
    <w:p>
      <w:pPr>
        <w:pStyle w:val="null3"/>
        <w:ind w:firstLine="960"/>
      </w:pPr>
      <w:r>
        <w:rPr/>
        <w:t>详见附件：供应商资格证明文件</w:t>
      </w:r>
    </w:p>
    <w:p>
      <w:pPr>
        <w:pStyle w:val="null3"/>
        <w:ind w:firstLine="960"/>
      </w:pPr>
      <w:r>
        <w:rPr/>
        <w:t>详见附件：商务应答表</w:t>
      </w:r>
    </w:p>
    <w:p>
      <w:pPr>
        <w:pStyle w:val="null3"/>
        <w:ind w:firstLine="960"/>
      </w:pPr>
      <w:r>
        <w:rPr/>
        <w:t>详见附件：技术响应与偏离表</w:t>
      </w:r>
    </w:p>
    <w:p>
      <w:pPr>
        <w:pStyle w:val="null3"/>
        <w:ind w:firstLine="960"/>
      </w:pPr>
      <w:r>
        <w:rPr/>
        <w:t>详见附件：技术方案及实施方案、组织机构、售后服务承诺</w:t>
      </w:r>
    </w:p>
    <w:p>
      <w:pPr>
        <w:pStyle w:val="null3"/>
        <w:ind w:firstLine="960"/>
      </w:pPr>
      <w:r>
        <w:rPr/>
        <w:t>详见附件：产品使用寿命承诺书</w:t>
      </w:r>
    </w:p>
    <w:p>
      <w:pPr>
        <w:pStyle w:val="null3"/>
        <w:ind w:firstLine="960"/>
      </w:pPr>
      <w:r>
        <w:rPr/>
        <w:t>详见附件：投标担保函、履约担保函格式及公章授权书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详见附件：分项价格表</w:t>
      </w:r>
    </w:p>
    <w:p>
      <w:pPr>
        <w:pStyle w:val="null3"/>
        <w:ind w:firstLine="960"/>
      </w:pPr>
      <w:r>
        <w:rPr/>
        <w:t>详见附件：供应商资格证明文件</w:t>
      </w:r>
    </w:p>
    <w:p>
      <w:pPr>
        <w:pStyle w:val="null3"/>
        <w:ind w:firstLine="960"/>
      </w:pPr>
      <w:r>
        <w:rPr/>
        <w:t>详见附件：商务应答表</w:t>
      </w:r>
    </w:p>
    <w:p>
      <w:pPr>
        <w:pStyle w:val="null3"/>
        <w:ind w:firstLine="960"/>
      </w:pPr>
      <w:r>
        <w:rPr/>
        <w:t>详见附件：技术响应与偏离表</w:t>
      </w:r>
    </w:p>
    <w:p>
      <w:pPr>
        <w:pStyle w:val="null3"/>
        <w:ind w:firstLine="960"/>
      </w:pPr>
      <w:r>
        <w:rPr/>
        <w:t>详见附件：技术方案及实施方案、组织机构、售后服务承诺</w:t>
      </w:r>
    </w:p>
    <w:p>
      <w:pPr>
        <w:pStyle w:val="null3"/>
        <w:ind w:firstLine="960"/>
      </w:pPr>
      <w:r>
        <w:rPr/>
        <w:t>详见附件：产品使用寿命承诺书</w:t>
      </w:r>
    </w:p>
    <w:p>
      <w:pPr>
        <w:pStyle w:val="null3"/>
        <w:ind w:firstLine="960"/>
      </w:pPr>
      <w:r>
        <w:rPr/>
        <w:t>详见附件：投标担保函、履约担保函格式及公章授权书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详见附件：1.1-1国内仪器设备类与进口设备技术服务采购合同示范文本.docx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