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1626B">
      <w:pPr>
        <w:spacing w:line="360" w:lineRule="auto"/>
        <w:jc w:val="center"/>
        <w:rPr>
          <w:rFonts w:hint="eastAsia" w:ascii="宋体" w:hAnsi="宋体" w:eastAsia="宋体" w:cs="宋体"/>
          <w:color w:val="auto"/>
          <w:sz w:val="32"/>
        </w:rPr>
      </w:pPr>
      <w:r>
        <w:rPr>
          <w:rFonts w:hint="eastAsia" w:ascii="宋体" w:hAnsi="宋体" w:eastAsia="宋体" w:cs="宋体"/>
          <w:color w:val="auto"/>
          <w:sz w:val="32"/>
          <w:lang w:val="en-US" w:eastAsia="zh-CN"/>
        </w:rPr>
        <w:t>西北大学</w:t>
      </w:r>
      <w:r>
        <w:rPr>
          <w:rFonts w:hint="eastAsia" w:ascii="宋体" w:hAnsi="宋体" w:eastAsia="宋体" w:cs="宋体"/>
          <w:color w:val="auto"/>
          <w:sz w:val="32"/>
        </w:rPr>
        <w:t>购货合同</w:t>
      </w:r>
    </w:p>
    <w:p w14:paraId="647DD01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(国产合同模板)</w:t>
      </w:r>
    </w:p>
    <w:p w14:paraId="0FE503F7">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特别说明：以下内容只作为合同基本条款，在签订具体项目购货合同时，请根据项目实际情况再签订技术协议作为合同的附件。</w:t>
      </w:r>
    </w:p>
    <w:p w14:paraId="49626EA8">
      <w:pPr>
        <w:bidi w:val="0"/>
        <w:rPr>
          <w:rFonts w:hint="eastAsia"/>
          <w:color w:val="auto"/>
          <w:sz w:val="24"/>
          <w:szCs w:val="24"/>
        </w:rPr>
      </w:pPr>
    </w:p>
    <w:p w14:paraId="24033E7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》及有关法律规定，遵循平等、自愿、公平和诚实信用的原则，西北大学（甲方）与××××公司（乙方）就西北大学××××学院（系）购置的××××等</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（招标编号：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）经双方协商达成如下合同条款：</w:t>
      </w:r>
    </w:p>
    <w:p w14:paraId="5787C9B6">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一、合同内容</w:t>
      </w:r>
    </w:p>
    <w:p w14:paraId="61C85DC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乙方按本合同中确定的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名称、型号与规格、产地、数量及配套内容进行供货；乙方按时将货物运送到甲方指定的地点，负责到货</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的安装与调试，达到正常使用；乙方负责为甲方培训操作、维护人员，质保期内负责指导</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的操作使用和保养维修，做好售后服务工作。甲方在乙方完成合同明确规定的责任和义务后，按合同要求付给乙方相应的货款。</w:t>
      </w:r>
    </w:p>
    <w:p w14:paraId="599768D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1、购置清单</w:t>
      </w: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06"/>
        <w:gridCol w:w="1715"/>
        <w:gridCol w:w="1847"/>
        <w:gridCol w:w="910"/>
        <w:gridCol w:w="786"/>
        <w:gridCol w:w="1236"/>
        <w:gridCol w:w="1236"/>
      </w:tblGrid>
      <w:tr w14:paraId="572E44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3"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center"/>
          </w:tcPr>
          <w:p w14:paraId="6816F78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名称</w:t>
            </w:r>
          </w:p>
        </w:tc>
        <w:tc>
          <w:tcPr>
            <w:tcW w:w="1715" w:type="dxa"/>
            <w:tcBorders>
              <w:top w:val="single" w:color="auto" w:sz="4" w:space="0"/>
              <w:left w:val="single" w:color="auto" w:sz="4" w:space="0"/>
              <w:bottom w:val="single" w:color="auto" w:sz="4" w:space="0"/>
              <w:right w:val="single" w:color="auto" w:sz="4" w:space="0"/>
            </w:tcBorders>
            <w:noWrap w:val="0"/>
            <w:vAlign w:val="center"/>
          </w:tcPr>
          <w:p w14:paraId="37DE1E8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型号与规格</w:t>
            </w:r>
          </w:p>
        </w:tc>
        <w:tc>
          <w:tcPr>
            <w:tcW w:w="1847" w:type="dxa"/>
            <w:tcBorders>
              <w:top w:val="single" w:color="auto" w:sz="4" w:space="0"/>
              <w:left w:val="single" w:color="auto" w:sz="4" w:space="0"/>
              <w:bottom w:val="single" w:color="auto" w:sz="4" w:space="0"/>
              <w:right w:val="single" w:color="auto" w:sz="4" w:space="0"/>
            </w:tcBorders>
            <w:noWrap w:val="0"/>
            <w:vAlign w:val="center"/>
          </w:tcPr>
          <w:p w14:paraId="0B432E19">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生产商、产地</w:t>
            </w:r>
          </w:p>
        </w:tc>
        <w:tc>
          <w:tcPr>
            <w:tcW w:w="910" w:type="dxa"/>
            <w:tcBorders>
              <w:top w:val="single" w:color="auto" w:sz="4" w:space="0"/>
              <w:left w:val="single" w:color="auto" w:sz="4" w:space="0"/>
              <w:bottom w:val="single" w:color="auto" w:sz="4" w:space="0"/>
              <w:right w:val="single" w:color="auto" w:sz="4" w:space="0"/>
            </w:tcBorders>
            <w:noWrap w:val="0"/>
            <w:vAlign w:val="center"/>
          </w:tcPr>
          <w:p w14:paraId="7196FE5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786" w:type="dxa"/>
            <w:tcBorders>
              <w:top w:val="single" w:color="auto" w:sz="4" w:space="0"/>
              <w:left w:val="single" w:color="auto" w:sz="4" w:space="0"/>
              <w:bottom w:val="single" w:color="auto" w:sz="4" w:space="0"/>
              <w:right w:val="single" w:color="auto" w:sz="4" w:space="0"/>
            </w:tcBorders>
            <w:noWrap w:val="0"/>
            <w:vAlign w:val="center"/>
          </w:tcPr>
          <w:p w14:paraId="0DCBD84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2497235C">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单价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6E8502D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总价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r>
      <w:tr w14:paraId="4473DF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top"/>
          </w:tcPr>
          <w:p w14:paraId="67082202">
            <w:pPr>
              <w:spacing w:line="360" w:lineRule="auto"/>
              <w:rPr>
                <w:rFonts w:hint="eastAsia" w:ascii="宋体" w:hAnsi="宋体" w:eastAsia="宋体" w:cs="宋体"/>
                <w:color w:val="auto"/>
                <w:sz w:val="24"/>
                <w:szCs w:val="24"/>
              </w:rPr>
            </w:pPr>
          </w:p>
        </w:tc>
        <w:tc>
          <w:tcPr>
            <w:tcW w:w="1715" w:type="dxa"/>
            <w:tcBorders>
              <w:top w:val="single" w:color="auto" w:sz="4" w:space="0"/>
              <w:left w:val="single" w:color="auto" w:sz="4" w:space="0"/>
              <w:bottom w:val="single" w:color="auto" w:sz="4" w:space="0"/>
              <w:right w:val="single" w:color="auto" w:sz="4" w:space="0"/>
            </w:tcBorders>
            <w:noWrap w:val="0"/>
            <w:vAlign w:val="top"/>
          </w:tcPr>
          <w:p w14:paraId="0EC20637">
            <w:pPr>
              <w:spacing w:line="360" w:lineRule="auto"/>
              <w:rPr>
                <w:rFonts w:hint="eastAsia" w:ascii="宋体" w:hAnsi="宋体" w:eastAsia="宋体" w:cs="宋体"/>
                <w:color w:val="auto"/>
                <w:sz w:val="24"/>
                <w:szCs w:val="24"/>
              </w:rPr>
            </w:pPr>
          </w:p>
        </w:tc>
        <w:tc>
          <w:tcPr>
            <w:tcW w:w="1847" w:type="dxa"/>
            <w:tcBorders>
              <w:top w:val="single" w:color="auto" w:sz="4" w:space="0"/>
              <w:left w:val="single" w:color="auto" w:sz="4" w:space="0"/>
              <w:bottom w:val="single" w:color="auto" w:sz="4" w:space="0"/>
              <w:right w:val="single" w:color="auto" w:sz="4" w:space="0"/>
            </w:tcBorders>
            <w:noWrap w:val="0"/>
            <w:vAlign w:val="top"/>
          </w:tcPr>
          <w:p w14:paraId="24EE6893">
            <w:pPr>
              <w:spacing w:line="360" w:lineRule="auto"/>
              <w:rPr>
                <w:rFonts w:hint="eastAsia" w:ascii="宋体" w:hAnsi="宋体" w:eastAsia="宋体" w:cs="宋体"/>
                <w:color w:val="auto"/>
                <w:sz w:val="24"/>
                <w:szCs w:val="24"/>
              </w:rPr>
            </w:pPr>
          </w:p>
        </w:tc>
        <w:tc>
          <w:tcPr>
            <w:tcW w:w="910" w:type="dxa"/>
            <w:tcBorders>
              <w:top w:val="single" w:color="auto" w:sz="4" w:space="0"/>
              <w:left w:val="single" w:color="auto" w:sz="4" w:space="0"/>
              <w:bottom w:val="single" w:color="auto" w:sz="4" w:space="0"/>
              <w:right w:val="single" w:color="auto" w:sz="4" w:space="0"/>
            </w:tcBorders>
            <w:noWrap w:val="0"/>
            <w:vAlign w:val="top"/>
          </w:tcPr>
          <w:p w14:paraId="6EACE98A">
            <w:pPr>
              <w:spacing w:line="360" w:lineRule="auto"/>
              <w:rPr>
                <w:rFonts w:hint="eastAsia" w:ascii="宋体" w:hAnsi="宋体" w:eastAsia="宋体" w:cs="宋体"/>
                <w:color w:val="auto"/>
                <w:sz w:val="24"/>
                <w:szCs w:val="24"/>
              </w:rPr>
            </w:pPr>
          </w:p>
        </w:tc>
        <w:tc>
          <w:tcPr>
            <w:tcW w:w="786" w:type="dxa"/>
            <w:tcBorders>
              <w:top w:val="single" w:color="auto" w:sz="4" w:space="0"/>
              <w:left w:val="single" w:color="auto" w:sz="4" w:space="0"/>
              <w:bottom w:val="single" w:color="auto" w:sz="4" w:space="0"/>
              <w:right w:val="single" w:color="auto" w:sz="4" w:space="0"/>
            </w:tcBorders>
            <w:noWrap w:val="0"/>
            <w:vAlign w:val="top"/>
          </w:tcPr>
          <w:p w14:paraId="3EA6D4FC">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51F95128">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187E51F7">
            <w:pPr>
              <w:spacing w:line="360" w:lineRule="auto"/>
              <w:rPr>
                <w:rFonts w:hint="eastAsia" w:ascii="宋体" w:hAnsi="宋体" w:eastAsia="宋体" w:cs="宋体"/>
                <w:color w:val="auto"/>
                <w:sz w:val="24"/>
                <w:szCs w:val="24"/>
              </w:rPr>
            </w:pPr>
          </w:p>
        </w:tc>
      </w:tr>
      <w:tr w14:paraId="4B6ACD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center"/>
          </w:tcPr>
          <w:p w14:paraId="16628391">
            <w:pPr>
              <w:spacing w:line="360" w:lineRule="auto"/>
              <w:rPr>
                <w:rFonts w:hint="eastAsia" w:ascii="宋体" w:hAnsi="宋体" w:eastAsia="宋体" w:cs="宋体"/>
                <w:color w:val="auto"/>
                <w:sz w:val="24"/>
                <w:szCs w:val="24"/>
              </w:rPr>
            </w:pPr>
          </w:p>
        </w:tc>
        <w:tc>
          <w:tcPr>
            <w:tcW w:w="1715" w:type="dxa"/>
            <w:tcBorders>
              <w:top w:val="single" w:color="auto" w:sz="4" w:space="0"/>
              <w:left w:val="single" w:color="auto" w:sz="4" w:space="0"/>
              <w:bottom w:val="single" w:color="auto" w:sz="4" w:space="0"/>
              <w:right w:val="single" w:color="auto" w:sz="4" w:space="0"/>
            </w:tcBorders>
            <w:noWrap w:val="0"/>
            <w:vAlign w:val="center"/>
          </w:tcPr>
          <w:p w14:paraId="12E1C171">
            <w:pPr>
              <w:spacing w:line="360" w:lineRule="auto"/>
              <w:rPr>
                <w:rFonts w:hint="eastAsia" w:ascii="宋体" w:hAnsi="宋体" w:eastAsia="宋体" w:cs="宋体"/>
                <w:color w:val="auto"/>
                <w:sz w:val="24"/>
                <w:szCs w:val="24"/>
              </w:rPr>
            </w:pPr>
          </w:p>
        </w:tc>
        <w:tc>
          <w:tcPr>
            <w:tcW w:w="1847" w:type="dxa"/>
            <w:tcBorders>
              <w:top w:val="single" w:color="auto" w:sz="4" w:space="0"/>
              <w:left w:val="single" w:color="auto" w:sz="4" w:space="0"/>
              <w:bottom w:val="single" w:color="auto" w:sz="4" w:space="0"/>
              <w:right w:val="single" w:color="auto" w:sz="4" w:space="0"/>
            </w:tcBorders>
            <w:noWrap w:val="0"/>
            <w:vAlign w:val="center"/>
          </w:tcPr>
          <w:p w14:paraId="687303C5">
            <w:pPr>
              <w:spacing w:line="360" w:lineRule="auto"/>
              <w:rPr>
                <w:rFonts w:hint="eastAsia" w:ascii="宋体" w:hAnsi="宋体" w:eastAsia="宋体" w:cs="宋体"/>
                <w:color w:val="auto"/>
                <w:sz w:val="24"/>
                <w:szCs w:val="24"/>
              </w:rPr>
            </w:pPr>
          </w:p>
        </w:tc>
        <w:tc>
          <w:tcPr>
            <w:tcW w:w="910" w:type="dxa"/>
            <w:tcBorders>
              <w:top w:val="single" w:color="auto" w:sz="4" w:space="0"/>
              <w:left w:val="single" w:color="auto" w:sz="4" w:space="0"/>
              <w:bottom w:val="single" w:color="auto" w:sz="4" w:space="0"/>
              <w:right w:val="single" w:color="auto" w:sz="4" w:space="0"/>
            </w:tcBorders>
            <w:noWrap w:val="0"/>
            <w:vAlign w:val="center"/>
          </w:tcPr>
          <w:p w14:paraId="4BC885D3">
            <w:pPr>
              <w:spacing w:line="360" w:lineRule="auto"/>
              <w:rPr>
                <w:rFonts w:hint="eastAsia" w:ascii="宋体" w:hAnsi="宋体" w:eastAsia="宋体" w:cs="宋体"/>
                <w:color w:val="auto"/>
                <w:sz w:val="24"/>
                <w:szCs w:val="24"/>
              </w:rPr>
            </w:pPr>
          </w:p>
        </w:tc>
        <w:tc>
          <w:tcPr>
            <w:tcW w:w="786" w:type="dxa"/>
            <w:tcBorders>
              <w:top w:val="single" w:color="auto" w:sz="4" w:space="0"/>
              <w:left w:val="single" w:color="auto" w:sz="4" w:space="0"/>
              <w:bottom w:val="single" w:color="auto" w:sz="4" w:space="0"/>
              <w:right w:val="single" w:color="auto" w:sz="4" w:space="0"/>
            </w:tcBorders>
            <w:noWrap w:val="0"/>
            <w:vAlign w:val="center"/>
          </w:tcPr>
          <w:p w14:paraId="598DFFF4">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14:paraId="78163CF8">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14:paraId="6D2834A9">
            <w:pPr>
              <w:spacing w:line="360" w:lineRule="auto"/>
              <w:rPr>
                <w:rFonts w:hint="eastAsia" w:ascii="宋体" w:hAnsi="宋体" w:eastAsia="宋体" w:cs="宋体"/>
                <w:color w:val="auto"/>
                <w:sz w:val="24"/>
                <w:szCs w:val="24"/>
              </w:rPr>
            </w:pPr>
          </w:p>
        </w:tc>
      </w:tr>
      <w:tr w14:paraId="298F65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6" w:hRule="atLeast"/>
          <w:jc w:val="center"/>
        </w:trPr>
        <w:tc>
          <w:tcPr>
            <w:tcW w:w="6964" w:type="dxa"/>
            <w:gridSpan w:val="5"/>
            <w:tcBorders>
              <w:top w:val="single" w:color="auto" w:sz="4" w:space="0"/>
              <w:left w:val="single" w:color="auto" w:sz="4" w:space="0"/>
              <w:bottom w:val="single" w:color="auto" w:sz="4" w:space="0"/>
              <w:right w:val="single" w:color="auto" w:sz="4" w:space="0"/>
            </w:tcBorders>
            <w:noWrap w:val="0"/>
            <w:vAlign w:val="center"/>
          </w:tcPr>
          <w:p w14:paraId="4CCCC8D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合计金额（大写）：</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41DDDBD4">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4DA8AC0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小写</w:t>
            </w:r>
          </w:p>
        </w:tc>
      </w:tr>
    </w:tbl>
    <w:p w14:paraId="5555779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2、合同总额：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元，是指</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到达西北大学指定地点、完成验收后的价格，其中已包含</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价格、包装运杂费（含保险）、工程费、安装调试费及相关费用等。</w:t>
      </w:r>
    </w:p>
    <w:p w14:paraId="4D716EB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3、合同总额为一次性包死价格，不受市场价格的变化和影响，在合同不发生变更时作为付款结算的依据。</w:t>
      </w:r>
    </w:p>
    <w:p w14:paraId="5051A005">
      <w:pPr>
        <w:spacing w:line="360" w:lineRule="auto"/>
        <w:rPr>
          <w:rFonts w:hint="eastAsia" w:ascii="宋体" w:hAnsi="宋体" w:eastAsia="宋体" w:cs="宋体"/>
          <w:b/>
          <w:color w:val="auto"/>
          <w:sz w:val="24"/>
          <w:szCs w:val="24"/>
        </w:rPr>
      </w:pPr>
      <w:r>
        <w:rPr>
          <w:rFonts w:hint="eastAsia" w:ascii="宋体" w:hAnsi="宋体" w:eastAsia="宋体" w:cs="宋体"/>
          <w:color w:val="auto"/>
          <w:sz w:val="24"/>
          <w:szCs w:val="24"/>
        </w:rPr>
        <w:t>二、</w:t>
      </w:r>
      <w:r>
        <w:rPr>
          <w:rFonts w:hint="eastAsia" w:ascii="宋体" w:hAnsi="宋体" w:eastAsia="宋体" w:cs="宋体"/>
          <w:b/>
          <w:color w:val="auto"/>
          <w:sz w:val="24"/>
          <w:szCs w:val="24"/>
        </w:rPr>
        <w:t>包装运输要求</w:t>
      </w:r>
    </w:p>
    <w:p w14:paraId="14A988C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2CB9923E">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三、交货时间及交货地点</w:t>
      </w:r>
    </w:p>
    <w:p w14:paraId="1BD8BEE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交货时间为本合同生效后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天内到货，货到后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日内安装调试交付使用。交货地点为西北大学××××学院（系）指定地点。</w:t>
      </w:r>
    </w:p>
    <w:p w14:paraId="3B91F73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四、产品质量保证</w:t>
      </w:r>
    </w:p>
    <w:p w14:paraId="51C3D5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1、乙方提供的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及配套产品，必须是合同规定厂家制造的、合格、全新、未曾使用的、且经过国家质检部门检验，并颁发了产品准销证的产品。</w:t>
      </w:r>
    </w:p>
    <w:p w14:paraId="63708C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2、乙方提供的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及配套产品必须等同于或优于合同技术指标要求，并能按国家标准或行业标准供应、检测、调试，确保产品技术指标满足使用要求。</w:t>
      </w:r>
    </w:p>
    <w:p w14:paraId="421653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3、产品质量保证期为</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验收合格后</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年。质保期内，乙方对所供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免费进行质保和服务。</w:t>
      </w:r>
    </w:p>
    <w:p w14:paraId="652A59C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五、技术服务承诺</w:t>
      </w:r>
    </w:p>
    <w:p w14:paraId="6A32C4B9">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1、乙方负责提供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相应的技术资料，包括产品合格证、产品保修单、安装使用及维护说明书以及运输装箱清单等。</w:t>
      </w:r>
    </w:p>
    <w:p w14:paraId="5B019E3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2、人员培训：乙方免费为甲方培训</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使用人员，培训内容包括：</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操作、维护、简单维修等。</w:t>
      </w:r>
    </w:p>
    <w:p w14:paraId="103C544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3、售后服务：质保期内乙方对甲方提出的服务响应不得超出24小时。</w:t>
      </w:r>
    </w:p>
    <w:p w14:paraId="5EF11519">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六、验收方法及标准</w:t>
      </w:r>
    </w:p>
    <w:p w14:paraId="25650164">
      <w:pPr>
        <w:pStyle w:val="3"/>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1、验收分初次开箱验收和学校最终验收两个阶段，以最终验收为准。</w:t>
      </w:r>
    </w:p>
    <w:p w14:paraId="4CAF7B63">
      <w:pPr>
        <w:pStyle w:val="3"/>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货物到货后，甲、乙双方共同开箱验收。在检查货物原产地、型号、规格、配置符合合同要求后，由乙方负责安装调试、甲方负责技术验收（乙方协助），验收以国内行业标准或合同文本货物供货配置清单中描述的有关技术要求为准。</w:t>
      </w:r>
    </w:p>
    <w:p w14:paraId="550954B3">
      <w:pPr>
        <w:pStyle w:val="3"/>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3、学校根据最终使用单位技术验收结果，组织有关专家进行货物的最终验收。</w:t>
      </w:r>
    </w:p>
    <w:p w14:paraId="756BEE9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七、合同款项支付方式</w:t>
      </w:r>
    </w:p>
    <w:p w14:paraId="243CC7CD">
      <w:pPr>
        <w:pStyle w:val="3"/>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合同生效后，待货物到达指定地点、安装调试验收合格后，一次性付清合同货款。</w:t>
      </w:r>
      <w:bookmarkStart w:id="0" w:name="_GoBack"/>
      <w:bookmarkEnd w:id="0"/>
    </w:p>
    <w:p w14:paraId="6724B11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八、违约责任</w:t>
      </w:r>
    </w:p>
    <w:p w14:paraId="5A2BBEE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1、合同生效后，甲乙双方应按合同规定认真履约。合同履约责任只涉及合同甲乙双方，不考虑第三方因素。</w:t>
      </w:r>
    </w:p>
    <w:p w14:paraId="3F9DA6F4">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2、除不可抗力原因外，如遇下列情况之一者，乙方所缴纳的合同履约保证金甲方有权不予退还，作为对甲方的赔偿：（1）合同签订后不能按合同时限要求供货或安装调试；（2）所供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不合格、与合同不符；（3）不能按合同履约；（4）</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验收不合格。如乙方的合同履约保证金不足以弥补甲方损失时，甲方有权要求乙方继续承担赔偿责任</w:t>
      </w:r>
      <w:r>
        <w:rPr>
          <w:rFonts w:hint="eastAsia" w:ascii="宋体" w:hAnsi="宋体" w:eastAsia="宋体" w:cs="宋体"/>
          <w:color w:val="auto"/>
          <w:sz w:val="24"/>
          <w:szCs w:val="24"/>
          <w:lang w:eastAsia="zh-CN"/>
        </w:rPr>
        <w:t>。</w:t>
      </w:r>
    </w:p>
    <w:p w14:paraId="5C9F70D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3、乙方对所供产品出现的问题推委、拖延，24小时未作出服务响应，应接受甲方的合理处罚。并且，甲方有权拒绝乙方以后参加学校竞标。</w:t>
      </w:r>
    </w:p>
    <w:p w14:paraId="7487D31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4、合同履约过程中，甲方应积极配合乙方进行</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验收以及验收前的外围配套等工作。否则，因此导致</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不能按期验收时，不能追究乙方责任；正常情况下应在</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验收合格后15天内按规定向乙方付款，最长时间不能超过30天。否则，每超过一周应向乙方支付合同应付款3‰的滞纳金。</w:t>
      </w:r>
    </w:p>
    <w:p w14:paraId="332D21E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九</w:t>
      </w:r>
      <w:r>
        <w:rPr>
          <w:rFonts w:hint="eastAsia" w:ascii="宋体" w:hAnsi="宋体" w:eastAsia="宋体" w:cs="宋体"/>
          <w:b/>
          <w:color w:val="auto"/>
          <w:sz w:val="24"/>
          <w:szCs w:val="24"/>
        </w:rPr>
        <w:t>、其它事项</w:t>
      </w:r>
    </w:p>
    <w:p w14:paraId="453734B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1、合同经双方签字盖章后生效。本合同一式柒份，甲方执伍份（</w:t>
      </w:r>
      <w:r>
        <w:rPr>
          <w:rFonts w:hint="eastAsia" w:ascii="宋体" w:hAnsi="宋体" w:eastAsia="宋体" w:cs="宋体"/>
          <w:color w:val="auto"/>
          <w:sz w:val="24"/>
          <w:szCs w:val="24"/>
          <w:lang w:val="en-US" w:eastAsia="zh-CN"/>
        </w:rPr>
        <w:t>采招</w:t>
      </w:r>
      <w:r>
        <w:rPr>
          <w:rFonts w:hint="eastAsia" w:ascii="宋体" w:hAnsi="宋体" w:eastAsia="宋体" w:cs="宋体"/>
          <w:color w:val="auto"/>
          <w:sz w:val="24"/>
          <w:szCs w:val="24"/>
        </w:rPr>
        <w:t>办1份，财</w:t>
      </w:r>
      <w:r>
        <w:rPr>
          <w:rFonts w:hint="eastAsia" w:ascii="宋体" w:hAnsi="宋体" w:eastAsia="宋体" w:cs="宋体"/>
          <w:color w:val="auto"/>
          <w:sz w:val="24"/>
          <w:szCs w:val="24"/>
          <w:lang w:val="en-US" w:eastAsia="zh-CN"/>
        </w:rPr>
        <w:t>资部</w:t>
      </w:r>
      <w:r>
        <w:rPr>
          <w:rFonts w:hint="eastAsia" w:ascii="宋体" w:hAnsi="宋体" w:eastAsia="宋体" w:cs="宋体"/>
          <w:color w:val="auto"/>
          <w:sz w:val="24"/>
          <w:szCs w:val="24"/>
        </w:rPr>
        <w:t>2份，使用单位2份），乙方执壹份，招标公司执壹份，执行完毕后自行失效。</w:t>
      </w:r>
    </w:p>
    <w:p w14:paraId="76BA127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2、下述文件为本合同的一部分，并与本合同一起阅读和解释，且具有同等法律效力：</w:t>
      </w:r>
    </w:p>
    <w:p w14:paraId="6ABEC8F1">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①合同附件1：产品功能要求、技术规格及配置详单；</w:t>
      </w:r>
    </w:p>
    <w:p w14:paraId="031C925A">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②合同附件2：补充条款（如果有）；</w:t>
      </w:r>
    </w:p>
    <w:p w14:paraId="57B8D70F">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③合同附件3：澄清函及最终报价和承诺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如果有）</w:t>
      </w:r>
      <w:r>
        <w:rPr>
          <w:rFonts w:hint="eastAsia" w:ascii="宋体" w:hAnsi="宋体" w:eastAsia="宋体" w:cs="宋体"/>
          <w:color w:val="auto"/>
          <w:sz w:val="24"/>
          <w:szCs w:val="24"/>
        </w:rPr>
        <w:t>；</w:t>
      </w:r>
    </w:p>
    <w:p w14:paraId="30BBB764">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④招标文件；</w:t>
      </w:r>
    </w:p>
    <w:p w14:paraId="6B39A58E">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⑤投标文件；</w:t>
      </w:r>
    </w:p>
    <w:p w14:paraId="0795184F">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⑥中标通知书。</w:t>
      </w:r>
    </w:p>
    <w:p w14:paraId="372A86D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3、在本合同执行过程中，甲、乙双方协商签订的补充合同与原合同具有同等法律效力。</w:t>
      </w:r>
    </w:p>
    <w:p w14:paraId="156186EE">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4、未尽事宜，双方协商解决。</w:t>
      </w:r>
    </w:p>
    <w:p w14:paraId="35059AE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5、合同签订地点：西安.西北大学</w:t>
      </w:r>
    </w:p>
    <w:p w14:paraId="42E38EF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6、合同签订时间：</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3129A57B">
      <w:pPr>
        <w:spacing w:line="360" w:lineRule="auto"/>
        <w:ind w:firstLine="555"/>
        <w:rPr>
          <w:rFonts w:hint="eastAsia" w:ascii="宋体" w:hAnsi="宋体" w:eastAsia="宋体" w:cs="宋体"/>
          <w:b/>
          <w:color w:val="auto"/>
          <w:sz w:val="24"/>
          <w:szCs w:val="24"/>
        </w:rPr>
      </w:pPr>
    </w:p>
    <w:p w14:paraId="680A452E">
      <w:pPr>
        <w:spacing w:line="360" w:lineRule="auto"/>
        <w:ind w:firstLine="555"/>
        <w:rPr>
          <w:rFonts w:hint="eastAsia" w:ascii="宋体" w:hAnsi="宋体" w:eastAsia="宋体" w:cs="宋体"/>
          <w:b/>
          <w:color w:val="auto"/>
          <w:sz w:val="24"/>
          <w:szCs w:val="24"/>
        </w:rPr>
      </w:pPr>
      <w:r>
        <w:rPr>
          <w:rFonts w:hint="eastAsia" w:ascii="宋体" w:hAnsi="宋体" w:eastAsia="宋体" w:cs="宋体"/>
          <w:b/>
          <w:color w:val="auto"/>
          <w:sz w:val="24"/>
          <w:szCs w:val="24"/>
        </w:rPr>
        <w:t>甲    方                                      乙    方（全填）</w:t>
      </w:r>
    </w:p>
    <w:p w14:paraId="45B8EE31">
      <w:pPr>
        <w:spacing w:line="360" w:lineRule="auto"/>
        <w:ind w:firstLine="560"/>
        <w:rPr>
          <w:rFonts w:hint="eastAsia" w:ascii="宋体" w:hAnsi="宋体" w:eastAsia="宋体" w:cs="宋体"/>
          <w:b/>
          <w:color w:val="auto"/>
          <w:sz w:val="24"/>
          <w:szCs w:val="24"/>
        </w:rPr>
      </w:pPr>
      <w:r>
        <w:rPr>
          <w:rFonts w:hint="eastAsia" w:ascii="宋体" w:hAnsi="宋体" w:eastAsia="宋体" w:cs="宋体"/>
          <w:color w:val="auto"/>
          <w:sz w:val="24"/>
          <w:szCs w:val="24"/>
        </w:rPr>
        <w:t>单位名称（盖章）：                            单位名称（盖章）：</w:t>
      </w:r>
    </w:p>
    <w:p w14:paraId="1764A48C">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地    址：                                    地    址：</w:t>
      </w:r>
    </w:p>
    <w:p w14:paraId="4669C9E6">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法定代表人：                                  法定代表人：（盖章/签字）</w:t>
      </w:r>
    </w:p>
    <w:p w14:paraId="753052B3">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委托代理人：（签字）                          委托代理人：（签字）</w:t>
      </w:r>
    </w:p>
    <w:p w14:paraId="16624C65">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电话：　　　　　　　　　　　　　　　　　　　　电话：</w:t>
      </w:r>
    </w:p>
    <w:p w14:paraId="7F8F6FE3">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传真：                                    　　传真：</w:t>
      </w:r>
    </w:p>
    <w:p w14:paraId="6F014474">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邮编：　　　　　　　　　　　　　　　　　　　　邮编：</w:t>
      </w:r>
    </w:p>
    <w:p w14:paraId="27750DE3">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　　　　　　　　　　　　　　　　　　　　　　　开户银行及账号：</w:t>
      </w:r>
    </w:p>
    <w:p w14:paraId="32006142">
      <w:pPr>
        <w:spacing w:line="360" w:lineRule="auto"/>
        <w:ind w:firstLine="570"/>
        <w:rPr>
          <w:rFonts w:hint="eastAsia" w:ascii="宋体" w:hAnsi="宋体" w:eastAsia="宋体" w:cs="宋体"/>
          <w:color w:val="auto"/>
          <w:sz w:val="24"/>
          <w:szCs w:val="24"/>
        </w:rPr>
      </w:pPr>
    </w:p>
    <w:p w14:paraId="39E266C7">
      <w:pPr>
        <w:spacing w:line="360" w:lineRule="auto"/>
        <w:ind w:firstLine="570"/>
        <w:rPr>
          <w:rFonts w:hint="eastAsia" w:ascii="宋体" w:hAnsi="宋体" w:eastAsia="宋体" w:cs="宋体"/>
          <w:color w:val="auto"/>
          <w:sz w:val="24"/>
          <w:szCs w:val="24"/>
        </w:rPr>
      </w:pPr>
    </w:p>
    <w:p w14:paraId="56BE17BB">
      <w:pPr>
        <w:spacing w:line="360" w:lineRule="auto"/>
        <w:ind w:firstLine="560"/>
        <w:rPr>
          <w:rFonts w:hint="eastAsia" w:ascii="宋体" w:hAnsi="宋体" w:eastAsia="宋体" w:cs="宋体"/>
          <w:b/>
          <w:bCs/>
          <w:color w:val="auto"/>
          <w:sz w:val="24"/>
          <w:szCs w:val="24"/>
        </w:rPr>
      </w:pPr>
      <w:r>
        <w:rPr>
          <w:rFonts w:hint="eastAsia" w:ascii="宋体" w:hAnsi="宋体" w:eastAsia="宋体" w:cs="宋体"/>
          <w:b/>
          <w:bCs/>
          <w:color w:val="auto"/>
          <w:sz w:val="24"/>
          <w:szCs w:val="24"/>
        </w:rPr>
        <w:t>招标代理机构</w:t>
      </w:r>
      <w:r>
        <w:rPr>
          <w:rFonts w:hint="eastAsia" w:ascii="宋体" w:hAnsi="宋体" w:eastAsia="宋体" w:cs="宋体"/>
          <w:b/>
          <w:bCs/>
          <w:color w:val="auto"/>
          <w:sz w:val="24"/>
          <w:szCs w:val="24"/>
          <w:lang w:val="en-US" w:eastAsia="zh-CN"/>
        </w:rPr>
        <w:t>名称</w:t>
      </w:r>
      <w:r>
        <w:rPr>
          <w:rFonts w:hint="eastAsia" w:ascii="宋体" w:hAnsi="宋体" w:eastAsia="宋体" w:cs="宋体"/>
          <w:b/>
          <w:bCs/>
          <w:color w:val="auto"/>
          <w:sz w:val="24"/>
          <w:szCs w:val="24"/>
        </w:rPr>
        <w:t>：</w:t>
      </w:r>
    </w:p>
    <w:p w14:paraId="514795AB">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联系人:</w:t>
      </w:r>
    </w:p>
    <w:p w14:paraId="7E1D07CB">
      <w:pPr>
        <w:spacing w:line="360" w:lineRule="auto"/>
        <w:ind w:firstLine="56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联系电话：</w:t>
      </w:r>
    </w:p>
    <w:p w14:paraId="05A59DE8">
      <w:pPr>
        <w:rPr>
          <w:rFonts w:hint="eastAsia" w:ascii="宋体" w:hAnsi="宋体" w:eastAsia="宋体" w:cs="宋体"/>
          <w:b/>
          <w:bCs/>
          <w:color w:val="auto"/>
          <w:sz w:val="28"/>
          <w:szCs w:val="28"/>
          <w:highlight w:val="none"/>
        </w:rPr>
      </w:pPr>
    </w:p>
    <w:p w14:paraId="6D8E4E58">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BB6C63"/>
    <w:rsid w:val="025F37EC"/>
    <w:rsid w:val="11E62315"/>
    <w:rsid w:val="6BBB6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
    <w:pPr>
      <w:keepNext/>
      <w:keepLines/>
      <w:spacing w:before="50" w:beforeLines="50" w:after="50" w:afterLines="50" w:line="360" w:lineRule="auto"/>
      <w:jc w:val="left"/>
      <w:outlineLvl w:val="3"/>
    </w:pPr>
    <w:rPr>
      <w:rFonts w:ascii="Cambria" w:hAnsi="Cambria"/>
      <w:b/>
      <w:bCs/>
      <w:kern w:val="0"/>
      <w:sz w:val="24"/>
      <w:szCs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Indent 2"/>
    <w:basedOn w:val="1"/>
    <w:qFormat/>
    <w:uiPriority w:val="0"/>
    <w:pPr>
      <w:tabs>
        <w:tab w:val="left" w:pos="5625"/>
      </w:tabs>
      <w:ind w:left="1138" w:leftChars="542"/>
    </w:pPr>
    <w:rPr>
      <w:rFonts w:hAnsi="Calibri"/>
      <w:sz w:val="20"/>
      <w:szCs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4392</Words>
  <Characters>4407</Characters>
  <Lines>0</Lines>
  <Paragraphs>0</Paragraphs>
  <TotalTime>0</TotalTime>
  <ScaleCrop>false</ScaleCrop>
  <LinksUpToDate>false</LinksUpToDate>
  <CharactersWithSpaces>5037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2024-11-28T05:12:00Z</dcterms:created>
  <dc:creator>hh</dc:creator>
  <cp:lastModifiedBy>hh</cp:lastModifiedBy>
  <dcterms:modified xsi:type="dcterms:W3CDTF">2025-01-14T01:09:25Z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527B0FD37BFE4E5E9E398557B17F2B8C_11</vt:lpwstr>
  </property>
  <property fmtid="{D5CDD505-2E9C-101B-9397-08002B2CF9AE}" pid="4" name="KSOTemplateDocerSaveRecord">
    <vt:lpwstr>eyJoZGlkIjoiMGQ4ZTdmZWNkZThhYzU1MTNmMWJlNWM0M2ExM2M5MDQiLCJ1c2VySWQiOiI1NTQxNTg5NzAifQ==</vt:lpwstr>
  </property>
</Properties>
</file>