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AA6B22">
      <w:pPr>
        <w:pStyle w:val="2"/>
        <w:keepNext w:val="0"/>
        <w:keepLines w:val="0"/>
        <w:jc w:val="cente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 xml:space="preserve"> 商务及合同主要条款</w:t>
      </w:r>
    </w:p>
    <w:p w14:paraId="654B8C5B">
      <w:pPr>
        <w:spacing w:line="360" w:lineRule="auto"/>
        <w:jc w:val="center"/>
        <w:rPr>
          <w:rFonts w:hint="eastAsia" w:ascii="宋体" w:hAnsi="宋体" w:eastAsia="宋体" w:cs="宋体"/>
          <w:b/>
          <w:bCs/>
          <w:color w:val="000000"/>
          <w:kern w:val="44"/>
          <w:sz w:val="24"/>
          <w:highlight w:val="none"/>
          <w:lang w:eastAsia="zh-CN"/>
        </w:rPr>
      </w:pPr>
    </w:p>
    <w:p w14:paraId="6A444878">
      <w:pPr>
        <w:spacing w:line="360" w:lineRule="auto"/>
        <w:jc w:val="center"/>
        <w:rPr>
          <w:rFonts w:hint="eastAsia" w:ascii="宋体" w:hAnsi="宋体" w:eastAsia="宋体" w:cs="宋体"/>
          <w:b/>
          <w:bCs/>
          <w:color w:val="000000"/>
          <w:kern w:val="44"/>
          <w:sz w:val="24"/>
          <w:highlight w:val="none"/>
          <w:lang w:eastAsia="zh-CN"/>
        </w:rPr>
      </w:pPr>
      <w:r>
        <w:rPr>
          <w:rFonts w:hint="eastAsia" w:ascii="宋体" w:hAnsi="宋体" w:eastAsia="宋体" w:cs="宋体"/>
          <w:b/>
          <w:bCs/>
          <w:color w:val="000000"/>
          <w:kern w:val="44"/>
          <w:sz w:val="24"/>
          <w:highlight w:val="none"/>
          <w:lang w:eastAsia="zh-CN"/>
        </w:rPr>
        <w:t>（本合同仅供参考，以实际签订合同为准）</w:t>
      </w:r>
    </w:p>
    <w:p w14:paraId="0AFD1E83">
      <w:pPr>
        <w:spacing w:line="360" w:lineRule="auto"/>
        <w:jc w:val="right"/>
        <w:rPr>
          <w:rFonts w:hint="eastAsia" w:ascii="宋体" w:hAnsi="宋体" w:eastAsia="宋体" w:cs="宋体"/>
          <w:b/>
          <w:bCs/>
          <w:color w:val="000000"/>
          <w:kern w:val="44"/>
          <w:sz w:val="24"/>
          <w:highlight w:val="none"/>
          <w:lang w:eastAsia="zh-CN"/>
        </w:rPr>
      </w:pPr>
    </w:p>
    <w:p w14:paraId="7F5B2053">
      <w:pPr>
        <w:spacing w:line="360" w:lineRule="auto"/>
        <w:jc w:val="center"/>
        <w:rPr>
          <w:rFonts w:hint="eastAsia" w:ascii="宋体" w:hAnsi="宋体" w:eastAsia="宋体" w:cs="宋体"/>
          <w:b/>
          <w:bCs/>
          <w:color w:val="000000"/>
          <w:kern w:val="44"/>
          <w:sz w:val="24"/>
          <w:highlight w:val="none"/>
          <w:lang w:eastAsia="zh-CN"/>
        </w:rPr>
      </w:pPr>
    </w:p>
    <w:p w14:paraId="7EE5432B">
      <w:pPr>
        <w:spacing w:line="360" w:lineRule="auto"/>
        <w:jc w:val="center"/>
        <w:rPr>
          <w:rFonts w:hint="eastAsia" w:ascii="宋体" w:hAnsi="宋体" w:eastAsia="宋体" w:cs="宋体"/>
          <w:b/>
          <w:color w:val="000000"/>
          <w:sz w:val="44"/>
          <w:szCs w:val="44"/>
          <w:highlight w:val="none"/>
          <w:lang w:eastAsia="zh-CN"/>
        </w:rPr>
      </w:pPr>
      <w:r>
        <w:rPr>
          <w:rFonts w:hint="eastAsia" w:ascii="宋体" w:hAnsi="宋体" w:cs="宋体"/>
          <w:b/>
          <w:color w:val="000000"/>
          <w:sz w:val="44"/>
          <w:szCs w:val="44"/>
          <w:highlight w:val="none"/>
          <w:lang w:val="en-US" w:eastAsia="zh-CN"/>
        </w:rPr>
        <w:t>陕西省红十字会救灾备灾物资采购项目</w:t>
      </w:r>
    </w:p>
    <w:p w14:paraId="073019F3">
      <w:pPr>
        <w:spacing w:line="360" w:lineRule="auto"/>
        <w:ind w:firstLine="964" w:firstLineChars="300"/>
        <w:jc w:val="center"/>
        <w:rPr>
          <w:rFonts w:hint="eastAsia" w:ascii="宋体" w:hAnsi="宋体" w:eastAsia="宋体" w:cs="宋体"/>
          <w:b/>
          <w:color w:val="000000"/>
          <w:sz w:val="32"/>
          <w:szCs w:val="32"/>
          <w:highlight w:val="none"/>
          <w:lang w:eastAsia="zh-CN"/>
        </w:rPr>
      </w:pPr>
    </w:p>
    <w:p w14:paraId="6A993673">
      <w:pPr>
        <w:spacing w:line="360" w:lineRule="auto"/>
        <w:ind w:firstLine="964" w:firstLineChars="300"/>
        <w:jc w:val="center"/>
        <w:rPr>
          <w:rFonts w:hint="eastAsia" w:ascii="宋体" w:hAnsi="宋体" w:eastAsia="宋体" w:cs="宋体"/>
          <w:b/>
          <w:color w:val="000000"/>
          <w:sz w:val="32"/>
          <w:szCs w:val="32"/>
          <w:highlight w:val="none"/>
          <w:lang w:eastAsia="zh-CN"/>
        </w:rPr>
      </w:pPr>
    </w:p>
    <w:p w14:paraId="3B871BB5">
      <w:pPr>
        <w:spacing w:line="360" w:lineRule="auto"/>
        <w:ind w:firstLine="1606" w:firstLineChars="500"/>
        <w:jc w:val="both"/>
        <w:rPr>
          <w:rFonts w:hint="eastAsia" w:ascii="宋体" w:hAnsi="宋体" w:eastAsia="宋体" w:cs="宋体"/>
          <w:b/>
          <w:color w:val="000000"/>
          <w:sz w:val="32"/>
          <w:szCs w:val="32"/>
          <w:highlight w:val="none"/>
          <w:lang w:eastAsia="zh-CN"/>
        </w:rPr>
      </w:pPr>
      <w:r>
        <w:rPr>
          <w:rFonts w:hint="eastAsia" w:ascii="宋体" w:hAnsi="宋体" w:eastAsia="宋体" w:cs="宋体"/>
          <w:b/>
          <w:color w:val="000000"/>
          <w:sz w:val="32"/>
          <w:szCs w:val="32"/>
          <w:highlight w:val="none"/>
          <w:lang w:eastAsia="zh-CN"/>
        </w:rPr>
        <w:t>合同编号：__________________</w:t>
      </w:r>
    </w:p>
    <w:p w14:paraId="650A977C">
      <w:pPr>
        <w:spacing w:line="360" w:lineRule="auto"/>
        <w:rPr>
          <w:rFonts w:hint="eastAsia" w:ascii="宋体" w:hAnsi="宋体" w:eastAsia="宋体" w:cs="宋体"/>
          <w:color w:val="000000"/>
          <w:sz w:val="24"/>
          <w:highlight w:val="none"/>
          <w:lang w:eastAsia="zh-CN"/>
        </w:rPr>
      </w:pPr>
    </w:p>
    <w:p w14:paraId="3761F745">
      <w:pPr>
        <w:spacing w:line="360" w:lineRule="auto"/>
        <w:jc w:val="center"/>
        <w:rPr>
          <w:rFonts w:hint="eastAsia" w:ascii="宋体" w:hAnsi="宋体" w:eastAsia="宋体" w:cs="宋体"/>
          <w:b/>
          <w:color w:val="000000"/>
          <w:sz w:val="36"/>
          <w:szCs w:val="36"/>
          <w:highlight w:val="none"/>
          <w:lang w:eastAsia="zh-CN"/>
        </w:rPr>
      </w:pPr>
    </w:p>
    <w:p w14:paraId="7DEDA9AC">
      <w:pPr>
        <w:rPr>
          <w:rFonts w:hint="eastAsia" w:ascii="宋体" w:hAnsi="宋体" w:eastAsia="宋体" w:cs="宋体"/>
          <w:b/>
          <w:color w:val="000000"/>
          <w:sz w:val="36"/>
          <w:szCs w:val="36"/>
          <w:highlight w:val="none"/>
          <w:lang w:eastAsia="zh-CN"/>
        </w:rPr>
      </w:pPr>
    </w:p>
    <w:p w14:paraId="6317C9A0">
      <w:pPr>
        <w:pStyle w:val="4"/>
        <w:rPr>
          <w:rFonts w:hint="eastAsia" w:ascii="宋体" w:hAnsi="宋体" w:eastAsia="宋体" w:cs="宋体"/>
          <w:highlight w:val="none"/>
          <w:lang w:eastAsia="zh-CN"/>
        </w:rPr>
      </w:pPr>
    </w:p>
    <w:p w14:paraId="0F2A90C3">
      <w:pPr>
        <w:spacing w:line="360" w:lineRule="auto"/>
        <w:jc w:val="center"/>
        <w:rPr>
          <w:rFonts w:hint="eastAsia" w:ascii="宋体" w:hAnsi="宋体" w:eastAsia="宋体" w:cs="宋体"/>
          <w:b/>
          <w:color w:val="000000"/>
          <w:sz w:val="52"/>
          <w:szCs w:val="52"/>
          <w:highlight w:val="none"/>
          <w:lang w:eastAsia="zh-CN"/>
        </w:rPr>
      </w:pPr>
      <w:r>
        <w:rPr>
          <w:rFonts w:hint="eastAsia" w:ascii="宋体" w:hAnsi="宋体" w:eastAsia="宋体" w:cs="宋体"/>
          <w:b/>
          <w:color w:val="000000"/>
          <w:sz w:val="52"/>
          <w:szCs w:val="52"/>
          <w:highlight w:val="none"/>
          <w:lang w:eastAsia="zh-CN"/>
        </w:rPr>
        <w:t>合同书</w:t>
      </w:r>
    </w:p>
    <w:p w14:paraId="02A28829">
      <w:pPr>
        <w:spacing w:line="360" w:lineRule="auto"/>
        <w:rPr>
          <w:rFonts w:hint="eastAsia" w:ascii="宋体" w:hAnsi="宋体" w:eastAsia="宋体" w:cs="宋体"/>
          <w:color w:val="000000"/>
          <w:sz w:val="24"/>
          <w:highlight w:val="none"/>
          <w:lang w:eastAsia="zh-CN"/>
        </w:rPr>
      </w:pPr>
    </w:p>
    <w:p w14:paraId="67A42EE8">
      <w:pPr>
        <w:spacing w:line="360" w:lineRule="auto"/>
        <w:rPr>
          <w:rFonts w:hint="eastAsia" w:ascii="宋体" w:hAnsi="宋体" w:eastAsia="宋体" w:cs="宋体"/>
          <w:color w:val="000000"/>
          <w:sz w:val="24"/>
          <w:highlight w:val="none"/>
          <w:lang w:eastAsia="zh-CN"/>
        </w:rPr>
      </w:pPr>
    </w:p>
    <w:p w14:paraId="6C3A39D9">
      <w:pPr>
        <w:spacing w:line="360" w:lineRule="auto"/>
        <w:rPr>
          <w:rFonts w:hint="eastAsia" w:ascii="宋体" w:hAnsi="宋体" w:eastAsia="宋体" w:cs="宋体"/>
          <w:color w:val="000000"/>
          <w:sz w:val="28"/>
          <w:szCs w:val="28"/>
          <w:highlight w:val="none"/>
          <w:lang w:eastAsia="zh-CN"/>
        </w:rPr>
      </w:pPr>
    </w:p>
    <w:p w14:paraId="754E54D9">
      <w:pPr>
        <w:spacing w:line="360" w:lineRule="auto"/>
        <w:ind w:firstLine="1687" w:firstLineChars="600"/>
        <w:rPr>
          <w:rFonts w:hint="eastAsia" w:ascii="宋体" w:hAnsi="宋体" w:eastAsia="宋体" w:cs="宋体"/>
          <w:b/>
          <w:bCs/>
          <w:color w:val="000000"/>
          <w:sz w:val="28"/>
          <w:szCs w:val="28"/>
          <w:highlight w:val="none"/>
          <w:u w:val="single"/>
          <w:lang w:val="en-US" w:eastAsia="zh-CN"/>
        </w:rPr>
      </w:pPr>
      <w:r>
        <w:rPr>
          <w:rFonts w:hint="eastAsia" w:ascii="宋体" w:hAnsi="宋体" w:eastAsia="宋体" w:cs="宋体"/>
          <w:b/>
          <w:bCs/>
          <w:color w:val="000000"/>
          <w:sz w:val="28"/>
          <w:szCs w:val="28"/>
          <w:highlight w:val="none"/>
          <w:lang w:eastAsia="zh-CN"/>
        </w:rPr>
        <w:t>采购人（甲方）：</w:t>
      </w:r>
      <w:r>
        <w:rPr>
          <w:rFonts w:hint="eastAsia" w:ascii="宋体" w:hAnsi="宋体" w:eastAsia="宋体" w:cs="宋体"/>
          <w:b/>
          <w:bCs/>
          <w:color w:val="000000"/>
          <w:sz w:val="28"/>
          <w:szCs w:val="28"/>
          <w:highlight w:val="none"/>
          <w:u w:val="single"/>
          <w:lang w:val="en-US" w:eastAsia="zh-CN"/>
        </w:rPr>
        <w:t xml:space="preserve">                        </w:t>
      </w:r>
    </w:p>
    <w:p w14:paraId="41A214EE">
      <w:pPr>
        <w:spacing w:line="360" w:lineRule="auto"/>
        <w:ind w:firstLine="1687" w:firstLineChars="600"/>
        <w:rPr>
          <w:rFonts w:hint="eastAsia" w:ascii="宋体" w:hAnsi="宋体" w:eastAsia="宋体" w:cs="宋体"/>
          <w:b/>
          <w:bCs/>
          <w:color w:val="000000"/>
          <w:sz w:val="28"/>
          <w:szCs w:val="28"/>
          <w:highlight w:val="none"/>
          <w:lang w:val="en-US" w:eastAsia="zh-CN"/>
        </w:rPr>
      </w:pPr>
      <w:r>
        <w:rPr>
          <w:rFonts w:hint="eastAsia" w:ascii="宋体" w:hAnsi="宋体" w:eastAsia="宋体" w:cs="宋体"/>
          <w:b/>
          <w:bCs/>
          <w:color w:val="000000"/>
          <w:sz w:val="28"/>
          <w:szCs w:val="28"/>
          <w:highlight w:val="none"/>
          <w:lang w:eastAsia="zh-CN"/>
        </w:rPr>
        <w:t>成交人（乙方）：</w:t>
      </w:r>
      <w:r>
        <w:rPr>
          <w:rFonts w:hint="eastAsia" w:ascii="宋体" w:hAnsi="宋体" w:eastAsia="宋体" w:cs="宋体"/>
          <w:b/>
          <w:bCs/>
          <w:color w:val="000000"/>
          <w:sz w:val="28"/>
          <w:szCs w:val="28"/>
          <w:highlight w:val="none"/>
          <w:u w:val="single"/>
          <w:lang w:val="en-US" w:eastAsia="zh-CN"/>
        </w:rPr>
        <w:t xml:space="preserve">                        </w:t>
      </w:r>
      <w:r>
        <w:rPr>
          <w:rFonts w:hint="eastAsia" w:ascii="宋体" w:hAnsi="宋体" w:eastAsia="宋体" w:cs="宋体"/>
          <w:b/>
          <w:bCs/>
          <w:color w:val="000000"/>
          <w:sz w:val="28"/>
          <w:szCs w:val="28"/>
          <w:highlight w:val="none"/>
          <w:lang w:val="en-US" w:eastAsia="zh-CN"/>
        </w:rPr>
        <w:t xml:space="preserve"> </w:t>
      </w:r>
    </w:p>
    <w:p w14:paraId="42BADCCF">
      <w:pPr>
        <w:spacing w:line="360" w:lineRule="auto"/>
        <w:ind w:firstLine="1687" w:firstLineChars="600"/>
        <w:rPr>
          <w:rFonts w:hint="eastAsia" w:ascii="宋体" w:hAnsi="宋体" w:eastAsia="宋体" w:cs="宋体"/>
          <w:b/>
          <w:bCs/>
          <w:color w:val="000000"/>
          <w:sz w:val="28"/>
          <w:szCs w:val="28"/>
          <w:highlight w:val="none"/>
          <w:u w:val="single"/>
          <w:lang w:val="en-US" w:eastAsia="zh-CN"/>
        </w:rPr>
      </w:pPr>
      <w:r>
        <w:rPr>
          <w:rFonts w:hint="eastAsia" w:ascii="宋体" w:hAnsi="宋体" w:eastAsia="宋体" w:cs="宋体"/>
          <w:b/>
          <w:bCs/>
          <w:color w:val="000000"/>
          <w:sz w:val="28"/>
          <w:szCs w:val="28"/>
          <w:highlight w:val="none"/>
          <w:lang w:eastAsia="zh-CN"/>
        </w:rPr>
        <w:t>签订日期：</w:t>
      </w:r>
      <w:r>
        <w:rPr>
          <w:rFonts w:hint="eastAsia" w:ascii="宋体" w:hAnsi="宋体" w:eastAsia="宋体" w:cs="宋体"/>
          <w:b/>
          <w:bCs/>
          <w:color w:val="000000"/>
          <w:sz w:val="28"/>
          <w:szCs w:val="28"/>
          <w:highlight w:val="none"/>
          <w:u w:val="single"/>
          <w:lang w:val="en-US" w:eastAsia="zh-CN"/>
        </w:rPr>
        <w:t xml:space="preserve">                              </w:t>
      </w:r>
    </w:p>
    <w:p w14:paraId="7528BB0D">
      <w:pPr>
        <w:pStyle w:val="4"/>
        <w:rPr>
          <w:rFonts w:hint="eastAsia" w:ascii="宋体" w:hAnsi="宋体" w:eastAsia="宋体" w:cs="宋体"/>
          <w:highlight w:val="none"/>
          <w:lang w:eastAsia="zh-CN"/>
        </w:rPr>
      </w:pPr>
    </w:p>
    <w:p w14:paraId="4A2211A0">
      <w:pPr>
        <w:tabs>
          <w:tab w:val="left" w:pos="735"/>
        </w:tabs>
        <w:autoSpaceDE w:val="0"/>
        <w:autoSpaceDN w:val="0"/>
        <w:adjustRightInd w:val="0"/>
        <w:snapToGrid w:val="0"/>
        <w:spacing w:before="240" w:beforeLines="100" w:line="358" w:lineRule="auto"/>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甲方（采购人）：</w:t>
      </w:r>
      <w:r>
        <w:rPr>
          <w:rFonts w:hint="eastAsia" w:ascii="宋体" w:hAnsi="宋体" w:cs="宋体"/>
          <w:b/>
          <w:bCs/>
          <w:sz w:val="24"/>
          <w:szCs w:val="24"/>
          <w:highlight w:val="none"/>
          <w:lang w:val="zh-CN" w:eastAsia="zh-CN"/>
        </w:rPr>
        <w:t>陕西省红十字会</w:t>
      </w:r>
      <w:r>
        <w:rPr>
          <w:rFonts w:hint="eastAsia" w:ascii="宋体" w:hAnsi="宋体" w:eastAsia="宋体" w:cs="宋体"/>
          <w:b/>
          <w:bCs/>
          <w:sz w:val="24"/>
          <w:szCs w:val="24"/>
          <w:highlight w:val="none"/>
          <w:lang w:val="zh-CN"/>
        </w:rPr>
        <w:t xml:space="preserve">       </w:t>
      </w:r>
    </w:p>
    <w:p w14:paraId="06AF8344">
      <w:pPr>
        <w:tabs>
          <w:tab w:val="left" w:pos="735"/>
        </w:tabs>
        <w:autoSpaceDE w:val="0"/>
        <w:autoSpaceDN w:val="0"/>
        <w:adjustRightInd w:val="0"/>
        <w:snapToGrid w:val="0"/>
        <w:spacing w:line="358" w:lineRule="auto"/>
        <w:rPr>
          <w:rFonts w:hint="eastAsia" w:ascii="宋体" w:hAnsi="宋体" w:eastAsia="宋体" w:cs="宋体"/>
          <w:bCs/>
          <w:sz w:val="24"/>
          <w:szCs w:val="24"/>
          <w:highlight w:val="none"/>
          <w:lang w:val="zh-CN"/>
        </w:rPr>
      </w:pPr>
      <w:r>
        <w:rPr>
          <w:rFonts w:hint="eastAsia" w:ascii="宋体" w:hAnsi="宋体" w:eastAsia="宋体" w:cs="宋体"/>
          <w:b/>
          <w:bCs/>
          <w:sz w:val="24"/>
          <w:szCs w:val="24"/>
          <w:highlight w:val="none"/>
          <w:lang w:val="zh-CN"/>
        </w:rPr>
        <w:t>乙方（成交供应商）：</w:t>
      </w:r>
      <w:r>
        <w:rPr>
          <w:rFonts w:hint="eastAsia" w:ascii="宋体" w:hAnsi="宋体" w:eastAsia="宋体" w:cs="宋体"/>
          <w:bCs/>
          <w:sz w:val="24"/>
          <w:szCs w:val="24"/>
          <w:highlight w:val="none"/>
          <w:lang w:val="zh-CN"/>
        </w:rPr>
        <w:t xml:space="preserve">   </w:t>
      </w:r>
    </w:p>
    <w:p w14:paraId="0515DE5B">
      <w:pPr>
        <w:widowControl/>
        <w:spacing w:before="0" w:beforeAutospacing="0" w:after="0" w:afterAutospacing="0" w:line="360" w:lineRule="auto"/>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项目名称：陕西省红十字会救灾备灾物资采购项目</w:t>
      </w:r>
    </w:p>
    <w:p w14:paraId="5A5B2CC6">
      <w:pPr>
        <w:widowControl/>
        <w:spacing w:before="0" w:beforeAutospacing="0" w:after="0" w:afterAutospacing="0" w:line="360" w:lineRule="auto"/>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项目编号：</w:t>
      </w:r>
    </w:p>
    <w:p w14:paraId="1404EE1D">
      <w:pPr>
        <w:widowControl/>
        <w:spacing w:before="0" w:beforeAutospacing="0" w:after="0" w:afterAutospacing="0" w:line="360" w:lineRule="auto"/>
        <w:ind w:firstLine="480" w:firstLineChars="200"/>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根据</w:t>
      </w:r>
      <w:r>
        <w:rPr>
          <w:rFonts w:hint="eastAsia" w:ascii="宋体" w:hAnsi="宋体" w:eastAsia="宋体" w:cs="宋体"/>
          <w:kern w:val="0"/>
          <w:sz w:val="24"/>
          <w:szCs w:val="24"/>
          <w:u w:val="single"/>
          <w:lang w:val="en-US" w:eastAsia="zh-CN" w:bidi="ar-SA"/>
        </w:rPr>
        <w:t>陕西省红十字会救灾备灾物资采购项目</w:t>
      </w:r>
      <w:r>
        <w:rPr>
          <w:rFonts w:hint="eastAsia" w:ascii="宋体" w:hAnsi="宋体" w:eastAsia="宋体" w:cs="宋体"/>
          <w:kern w:val="0"/>
          <w:sz w:val="24"/>
          <w:szCs w:val="24"/>
          <w:lang w:val="en-US" w:eastAsia="zh-CN" w:bidi="ar-SA"/>
        </w:rPr>
        <w:t>的采购结果，按照《中华人民共和国民法典》及相关法律法规规定，经双方协商，本着平等互利和诚实信用的原则，一致同意签订本合同如下。</w:t>
      </w:r>
    </w:p>
    <w:p w14:paraId="25BBFCED">
      <w:pPr>
        <w:adjustRightInd w:val="0"/>
        <w:snapToGrid w:val="0"/>
        <w:spacing w:line="358"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一、合同内容</w:t>
      </w:r>
    </w:p>
    <w:tbl>
      <w:tblPr>
        <w:tblStyle w:val="5"/>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266"/>
        <w:gridCol w:w="3332"/>
        <w:gridCol w:w="1163"/>
        <w:gridCol w:w="1314"/>
        <w:gridCol w:w="1156"/>
      </w:tblGrid>
      <w:tr w14:paraId="5553F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666" w:type="dxa"/>
            <w:noWrap w:val="0"/>
            <w:vAlign w:val="center"/>
          </w:tcPr>
          <w:p w14:paraId="7EF61F83">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序号</w:t>
            </w:r>
          </w:p>
        </w:tc>
        <w:tc>
          <w:tcPr>
            <w:tcW w:w="1266" w:type="dxa"/>
            <w:noWrap w:val="0"/>
            <w:vAlign w:val="center"/>
          </w:tcPr>
          <w:p w14:paraId="125B3363">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商品名称</w:t>
            </w:r>
          </w:p>
        </w:tc>
        <w:tc>
          <w:tcPr>
            <w:tcW w:w="3332" w:type="dxa"/>
            <w:noWrap w:val="0"/>
            <w:vAlign w:val="center"/>
          </w:tcPr>
          <w:p w14:paraId="1F62FFAC">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highlight w:val="none"/>
                <w:lang w:val="en-US" w:eastAsia="zh-CN" w:bidi="ar-SA"/>
              </w:rPr>
              <w:t>参数</w:t>
            </w:r>
          </w:p>
        </w:tc>
        <w:tc>
          <w:tcPr>
            <w:tcW w:w="1163" w:type="dxa"/>
            <w:noWrap w:val="0"/>
            <w:vAlign w:val="center"/>
          </w:tcPr>
          <w:p w14:paraId="1544FEE4">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单位</w:t>
            </w:r>
          </w:p>
        </w:tc>
        <w:tc>
          <w:tcPr>
            <w:tcW w:w="1314" w:type="dxa"/>
            <w:noWrap w:val="0"/>
            <w:vAlign w:val="center"/>
          </w:tcPr>
          <w:p w14:paraId="01DD9954">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单价（元）</w:t>
            </w:r>
          </w:p>
        </w:tc>
        <w:tc>
          <w:tcPr>
            <w:tcW w:w="1156" w:type="dxa"/>
            <w:noWrap w:val="0"/>
            <w:vAlign w:val="center"/>
          </w:tcPr>
          <w:p w14:paraId="14427F45">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金额（元）</w:t>
            </w:r>
          </w:p>
        </w:tc>
      </w:tr>
      <w:tr w14:paraId="40FAE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666" w:type="dxa"/>
            <w:noWrap w:val="0"/>
            <w:vAlign w:val="center"/>
          </w:tcPr>
          <w:p w14:paraId="4A76D071">
            <w:pPr>
              <w:keepNext w:val="0"/>
              <w:keepLines w:val="0"/>
              <w:widowControl/>
              <w:suppressLineNumbers w:val="0"/>
              <w:jc w:val="center"/>
              <w:textAlignment w:val="center"/>
              <w:rPr>
                <w:rFonts w:hint="eastAsia"/>
                <w:b/>
                <w:bCs/>
              </w:rPr>
            </w:pPr>
            <w:r>
              <w:rPr>
                <w:rFonts w:hint="eastAsia" w:ascii="宋体" w:hAnsi="宋体" w:eastAsia="宋体" w:cs="宋体"/>
                <w:i w:val="0"/>
                <w:iCs w:val="0"/>
                <w:color w:val="000000"/>
                <w:kern w:val="0"/>
                <w:sz w:val="24"/>
                <w:szCs w:val="24"/>
                <w:u w:val="none"/>
                <w:lang w:val="en-US" w:eastAsia="zh-CN" w:bidi="ar"/>
              </w:rPr>
              <w:t>1</w:t>
            </w:r>
          </w:p>
        </w:tc>
        <w:tc>
          <w:tcPr>
            <w:tcW w:w="1266" w:type="dxa"/>
            <w:noWrap w:val="0"/>
            <w:vAlign w:val="center"/>
          </w:tcPr>
          <w:p w14:paraId="1ECCD9B9">
            <w:pPr>
              <w:keepNext w:val="0"/>
              <w:keepLines w:val="0"/>
              <w:widowControl/>
              <w:suppressLineNumbers w:val="0"/>
              <w:jc w:val="center"/>
              <w:textAlignment w:val="center"/>
              <w:rPr>
                <w:rFonts w:hint="eastAsia"/>
                <w:b/>
                <w:bCs/>
              </w:rPr>
            </w:pPr>
          </w:p>
        </w:tc>
        <w:tc>
          <w:tcPr>
            <w:tcW w:w="3332" w:type="dxa"/>
            <w:noWrap w:val="0"/>
            <w:vAlign w:val="center"/>
          </w:tcPr>
          <w:p w14:paraId="20F7CF6C">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c>
          <w:tcPr>
            <w:tcW w:w="1163" w:type="dxa"/>
            <w:noWrap w:val="0"/>
            <w:vAlign w:val="center"/>
          </w:tcPr>
          <w:p w14:paraId="0276B9DC">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c>
          <w:tcPr>
            <w:tcW w:w="1314" w:type="dxa"/>
            <w:noWrap w:val="0"/>
            <w:vAlign w:val="center"/>
          </w:tcPr>
          <w:p w14:paraId="44D5E980">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c>
          <w:tcPr>
            <w:tcW w:w="1156" w:type="dxa"/>
            <w:noWrap w:val="0"/>
            <w:vAlign w:val="center"/>
          </w:tcPr>
          <w:p w14:paraId="71B33E3C">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r>
      <w:tr w14:paraId="42111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666" w:type="dxa"/>
            <w:noWrap w:val="0"/>
            <w:vAlign w:val="center"/>
          </w:tcPr>
          <w:p w14:paraId="28FBB563">
            <w:pPr>
              <w:keepNext w:val="0"/>
              <w:keepLines w:val="0"/>
              <w:widowControl/>
              <w:suppressLineNumbers w:val="0"/>
              <w:jc w:val="center"/>
              <w:textAlignment w:val="center"/>
              <w:rPr>
                <w:rFonts w:hint="eastAsia"/>
                <w:b/>
                <w:bCs/>
              </w:rPr>
            </w:pPr>
            <w:r>
              <w:rPr>
                <w:rFonts w:hint="eastAsia" w:ascii="宋体" w:hAnsi="宋体" w:eastAsia="宋体" w:cs="宋体"/>
                <w:i w:val="0"/>
                <w:iCs w:val="0"/>
                <w:color w:val="000000"/>
                <w:kern w:val="0"/>
                <w:sz w:val="24"/>
                <w:szCs w:val="24"/>
                <w:u w:val="none"/>
                <w:lang w:val="en-US" w:eastAsia="zh-CN" w:bidi="ar"/>
              </w:rPr>
              <w:t>2</w:t>
            </w:r>
          </w:p>
        </w:tc>
        <w:tc>
          <w:tcPr>
            <w:tcW w:w="1266" w:type="dxa"/>
            <w:noWrap w:val="0"/>
            <w:vAlign w:val="center"/>
          </w:tcPr>
          <w:p w14:paraId="0E366AE9">
            <w:pPr>
              <w:keepNext w:val="0"/>
              <w:keepLines w:val="0"/>
              <w:widowControl/>
              <w:suppressLineNumbers w:val="0"/>
              <w:jc w:val="center"/>
              <w:textAlignment w:val="center"/>
              <w:rPr>
                <w:rFonts w:hint="eastAsia"/>
                <w:b/>
                <w:bCs/>
              </w:rPr>
            </w:pPr>
          </w:p>
        </w:tc>
        <w:tc>
          <w:tcPr>
            <w:tcW w:w="3332" w:type="dxa"/>
            <w:noWrap w:val="0"/>
            <w:vAlign w:val="center"/>
          </w:tcPr>
          <w:p w14:paraId="0031F3A8">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c>
          <w:tcPr>
            <w:tcW w:w="1163" w:type="dxa"/>
            <w:noWrap w:val="0"/>
            <w:vAlign w:val="center"/>
          </w:tcPr>
          <w:p w14:paraId="491C03F1">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c>
          <w:tcPr>
            <w:tcW w:w="1314" w:type="dxa"/>
            <w:noWrap w:val="0"/>
            <w:vAlign w:val="center"/>
          </w:tcPr>
          <w:p w14:paraId="06FE87D5">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c>
          <w:tcPr>
            <w:tcW w:w="1156" w:type="dxa"/>
            <w:noWrap w:val="0"/>
            <w:vAlign w:val="center"/>
          </w:tcPr>
          <w:p w14:paraId="7F6BDC38">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r>
      <w:tr w14:paraId="2817B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666" w:type="dxa"/>
            <w:noWrap w:val="0"/>
            <w:vAlign w:val="center"/>
          </w:tcPr>
          <w:p w14:paraId="1ADE98B8">
            <w:pPr>
              <w:keepNext w:val="0"/>
              <w:keepLines w:val="0"/>
              <w:widowControl/>
              <w:suppressLineNumbers w:val="0"/>
              <w:jc w:val="center"/>
              <w:textAlignment w:val="center"/>
              <w:rPr>
                <w:rFonts w:hint="eastAsia"/>
                <w:b/>
                <w:bCs/>
              </w:rPr>
            </w:pPr>
            <w:r>
              <w:rPr>
                <w:rFonts w:hint="eastAsia" w:ascii="宋体" w:hAnsi="宋体" w:eastAsia="宋体" w:cs="宋体"/>
                <w:i w:val="0"/>
                <w:iCs w:val="0"/>
                <w:color w:val="000000"/>
                <w:kern w:val="0"/>
                <w:sz w:val="24"/>
                <w:szCs w:val="24"/>
                <w:u w:val="none"/>
                <w:lang w:val="en-US" w:eastAsia="zh-CN" w:bidi="ar"/>
              </w:rPr>
              <w:t>3</w:t>
            </w:r>
          </w:p>
        </w:tc>
        <w:tc>
          <w:tcPr>
            <w:tcW w:w="1266" w:type="dxa"/>
            <w:noWrap w:val="0"/>
            <w:vAlign w:val="center"/>
          </w:tcPr>
          <w:p w14:paraId="5DB265CF">
            <w:pPr>
              <w:keepNext w:val="0"/>
              <w:keepLines w:val="0"/>
              <w:widowControl/>
              <w:suppressLineNumbers w:val="0"/>
              <w:jc w:val="center"/>
              <w:textAlignment w:val="center"/>
              <w:rPr>
                <w:rFonts w:hint="eastAsia"/>
                <w:b/>
                <w:bCs/>
              </w:rPr>
            </w:pPr>
          </w:p>
        </w:tc>
        <w:tc>
          <w:tcPr>
            <w:tcW w:w="3332" w:type="dxa"/>
            <w:noWrap w:val="0"/>
            <w:vAlign w:val="center"/>
          </w:tcPr>
          <w:p w14:paraId="7136560A">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c>
          <w:tcPr>
            <w:tcW w:w="1163" w:type="dxa"/>
            <w:noWrap w:val="0"/>
            <w:vAlign w:val="center"/>
          </w:tcPr>
          <w:p w14:paraId="13459982">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c>
          <w:tcPr>
            <w:tcW w:w="1314" w:type="dxa"/>
            <w:noWrap w:val="0"/>
            <w:vAlign w:val="center"/>
          </w:tcPr>
          <w:p w14:paraId="5715C257">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c>
          <w:tcPr>
            <w:tcW w:w="1156" w:type="dxa"/>
            <w:noWrap w:val="0"/>
            <w:vAlign w:val="center"/>
          </w:tcPr>
          <w:p w14:paraId="4F2D9693">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r>
      <w:tr w14:paraId="3D095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666" w:type="dxa"/>
            <w:noWrap w:val="0"/>
            <w:vAlign w:val="center"/>
          </w:tcPr>
          <w:p w14:paraId="6342A098">
            <w:pPr>
              <w:keepNext w:val="0"/>
              <w:keepLines w:val="0"/>
              <w:widowControl/>
              <w:suppressLineNumbers w:val="0"/>
              <w:jc w:val="center"/>
              <w:textAlignment w:val="center"/>
              <w:rPr>
                <w:rFonts w:hint="eastAsia"/>
                <w:b/>
                <w:bCs/>
              </w:rPr>
            </w:pPr>
            <w:r>
              <w:rPr>
                <w:rFonts w:hint="eastAsia" w:ascii="宋体" w:hAnsi="宋体" w:eastAsia="宋体" w:cs="宋体"/>
                <w:i w:val="0"/>
                <w:iCs w:val="0"/>
                <w:color w:val="000000"/>
                <w:kern w:val="0"/>
                <w:sz w:val="24"/>
                <w:szCs w:val="24"/>
                <w:u w:val="none"/>
                <w:lang w:val="en-US" w:eastAsia="zh-CN" w:bidi="ar"/>
              </w:rPr>
              <w:t>4</w:t>
            </w:r>
          </w:p>
        </w:tc>
        <w:tc>
          <w:tcPr>
            <w:tcW w:w="1266" w:type="dxa"/>
            <w:noWrap w:val="0"/>
            <w:vAlign w:val="center"/>
          </w:tcPr>
          <w:p w14:paraId="4F65CF31">
            <w:pPr>
              <w:keepNext w:val="0"/>
              <w:keepLines w:val="0"/>
              <w:widowControl/>
              <w:suppressLineNumbers w:val="0"/>
              <w:jc w:val="center"/>
              <w:textAlignment w:val="center"/>
              <w:rPr>
                <w:rFonts w:hint="eastAsia"/>
                <w:b/>
                <w:bCs/>
              </w:rPr>
            </w:pPr>
          </w:p>
        </w:tc>
        <w:tc>
          <w:tcPr>
            <w:tcW w:w="3332" w:type="dxa"/>
            <w:noWrap w:val="0"/>
            <w:vAlign w:val="center"/>
          </w:tcPr>
          <w:p w14:paraId="504C0451">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c>
          <w:tcPr>
            <w:tcW w:w="1163" w:type="dxa"/>
            <w:noWrap w:val="0"/>
            <w:vAlign w:val="center"/>
          </w:tcPr>
          <w:p w14:paraId="517C8C59">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c>
          <w:tcPr>
            <w:tcW w:w="1314" w:type="dxa"/>
            <w:noWrap w:val="0"/>
            <w:vAlign w:val="center"/>
          </w:tcPr>
          <w:p w14:paraId="3CCFB63C">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c>
          <w:tcPr>
            <w:tcW w:w="1156" w:type="dxa"/>
            <w:noWrap w:val="0"/>
            <w:vAlign w:val="center"/>
          </w:tcPr>
          <w:p w14:paraId="4EB7908A">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r>
      <w:tr w14:paraId="53FBB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666" w:type="dxa"/>
            <w:noWrap w:val="0"/>
            <w:vAlign w:val="center"/>
          </w:tcPr>
          <w:p w14:paraId="202CA45B">
            <w:pPr>
              <w:keepNext w:val="0"/>
              <w:keepLines w:val="0"/>
              <w:widowControl/>
              <w:suppressLineNumbers w:val="0"/>
              <w:jc w:val="center"/>
              <w:textAlignment w:val="center"/>
              <w:rPr>
                <w:rFonts w:hint="eastAsia"/>
                <w:b/>
                <w:bCs/>
              </w:rPr>
            </w:pPr>
            <w:r>
              <w:rPr>
                <w:rFonts w:hint="eastAsia" w:ascii="宋体" w:hAnsi="宋体" w:eastAsia="宋体" w:cs="宋体"/>
                <w:i w:val="0"/>
                <w:iCs w:val="0"/>
                <w:color w:val="000000"/>
                <w:kern w:val="0"/>
                <w:sz w:val="24"/>
                <w:szCs w:val="24"/>
                <w:u w:val="none"/>
                <w:lang w:val="en-US" w:eastAsia="zh-CN" w:bidi="ar"/>
              </w:rPr>
              <w:t>5</w:t>
            </w:r>
          </w:p>
        </w:tc>
        <w:tc>
          <w:tcPr>
            <w:tcW w:w="1266" w:type="dxa"/>
            <w:noWrap w:val="0"/>
            <w:vAlign w:val="center"/>
          </w:tcPr>
          <w:p w14:paraId="315A7B91">
            <w:pPr>
              <w:keepNext w:val="0"/>
              <w:keepLines w:val="0"/>
              <w:widowControl/>
              <w:suppressLineNumbers w:val="0"/>
              <w:jc w:val="center"/>
              <w:textAlignment w:val="center"/>
              <w:rPr>
                <w:rFonts w:hint="eastAsia"/>
                <w:b/>
                <w:bCs/>
              </w:rPr>
            </w:pPr>
          </w:p>
        </w:tc>
        <w:tc>
          <w:tcPr>
            <w:tcW w:w="3332" w:type="dxa"/>
            <w:noWrap w:val="0"/>
            <w:vAlign w:val="center"/>
          </w:tcPr>
          <w:p w14:paraId="785CE6E2">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c>
          <w:tcPr>
            <w:tcW w:w="1163" w:type="dxa"/>
            <w:noWrap w:val="0"/>
            <w:vAlign w:val="center"/>
          </w:tcPr>
          <w:p w14:paraId="1CD51050">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c>
          <w:tcPr>
            <w:tcW w:w="1314" w:type="dxa"/>
            <w:noWrap w:val="0"/>
            <w:vAlign w:val="center"/>
          </w:tcPr>
          <w:p w14:paraId="353D5B13">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c>
          <w:tcPr>
            <w:tcW w:w="1156" w:type="dxa"/>
            <w:noWrap w:val="0"/>
            <w:vAlign w:val="center"/>
          </w:tcPr>
          <w:p w14:paraId="00D857F0">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r>
      <w:tr w14:paraId="2B24E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666" w:type="dxa"/>
            <w:noWrap w:val="0"/>
            <w:vAlign w:val="center"/>
          </w:tcPr>
          <w:p w14:paraId="369E3D92">
            <w:pPr>
              <w:keepNext w:val="0"/>
              <w:keepLines w:val="0"/>
              <w:widowControl/>
              <w:suppressLineNumbers w:val="0"/>
              <w:jc w:val="center"/>
              <w:textAlignment w:val="center"/>
              <w:rPr>
                <w:rFonts w:hint="eastAsia"/>
                <w:b/>
                <w:bCs/>
              </w:rPr>
            </w:pPr>
            <w:r>
              <w:rPr>
                <w:rFonts w:hint="eastAsia" w:ascii="宋体" w:hAnsi="宋体" w:eastAsia="宋体" w:cs="宋体"/>
                <w:i w:val="0"/>
                <w:iCs w:val="0"/>
                <w:color w:val="000000"/>
                <w:kern w:val="0"/>
                <w:sz w:val="24"/>
                <w:szCs w:val="24"/>
                <w:u w:val="none"/>
                <w:lang w:val="en-US" w:eastAsia="zh-CN" w:bidi="ar"/>
              </w:rPr>
              <w:t>6</w:t>
            </w:r>
          </w:p>
        </w:tc>
        <w:tc>
          <w:tcPr>
            <w:tcW w:w="1266" w:type="dxa"/>
            <w:noWrap w:val="0"/>
            <w:vAlign w:val="center"/>
          </w:tcPr>
          <w:p w14:paraId="7191A9F8">
            <w:pPr>
              <w:keepNext w:val="0"/>
              <w:keepLines w:val="0"/>
              <w:widowControl/>
              <w:suppressLineNumbers w:val="0"/>
              <w:jc w:val="center"/>
              <w:textAlignment w:val="center"/>
              <w:rPr>
                <w:rFonts w:hint="eastAsia"/>
                <w:b/>
                <w:bCs/>
              </w:rPr>
            </w:pPr>
          </w:p>
        </w:tc>
        <w:tc>
          <w:tcPr>
            <w:tcW w:w="3332" w:type="dxa"/>
            <w:noWrap w:val="0"/>
            <w:vAlign w:val="center"/>
          </w:tcPr>
          <w:p w14:paraId="70E11BE9">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c>
          <w:tcPr>
            <w:tcW w:w="1163" w:type="dxa"/>
            <w:noWrap w:val="0"/>
            <w:vAlign w:val="center"/>
          </w:tcPr>
          <w:p w14:paraId="08BC5741">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c>
          <w:tcPr>
            <w:tcW w:w="1314" w:type="dxa"/>
            <w:noWrap w:val="0"/>
            <w:vAlign w:val="center"/>
          </w:tcPr>
          <w:p w14:paraId="08C7D719">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c>
          <w:tcPr>
            <w:tcW w:w="1156" w:type="dxa"/>
            <w:noWrap w:val="0"/>
            <w:vAlign w:val="center"/>
          </w:tcPr>
          <w:p w14:paraId="1836F01E">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r>
      <w:tr w14:paraId="4CE26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666" w:type="dxa"/>
            <w:noWrap w:val="0"/>
            <w:vAlign w:val="center"/>
          </w:tcPr>
          <w:p w14:paraId="4EE87B05">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w:t>
            </w:r>
          </w:p>
        </w:tc>
        <w:tc>
          <w:tcPr>
            <w:tcW w:w="1266" w:type="dxa"/>
            <w:noWrap w:val="0"/>
            <w:vAlign w:val="center"/>
          </w:tcPr>
          <w:p w14:paraId="5E45397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3332" w:type="dxa"/>
            <w:noWrap w:val="0"/>
            <w:vAlign w:val="center"/>
          </w:tcPr>
          <w:p w14:paraId="42A24C6A">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c>
          <w:tcPr>
            <w:tcW w:w="1163" w:type="dxa"/>
            <w:noWrap w:val="0"/>
            <w:vAlign w:val="center"/>
          </w:tcPr>
          <w:p w14:paraId="43F460E0">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c>
          <w:tcPr>
            <w:tcW w:w="1314" w:type="dxa"/>
            <w:noWrap w:val="0"/>
            <w:vAlign w:val="center"/>
          </w:tcPr>
          <w:p w14:paraId="3D7EC095">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c>
          <w:tcPr>
            <w:tcW w:w="1156" w:type="dxa"/>
            <w:noWrap w:val="0"/>
            <w:vAlign w:val="center"/>
          </w:tcPr>
          <w:p w14:paraId="3A35AE97">
            <w:pPr>
              <w:widowControl/>
              <w:spacing w:before="0" w:beforeAutospacing="0" w:after="0" w:afterAutospacing="0" w:line="360" w:lineRule="auto"/>
              <w:jc w:val="center"/>
              <w:rPr>
                <w:rFonts w:hint="eastAsia" w:ascii="宋体" w:hAnsi="宋体" w:eastAsia="宋体" w:cs="宋体"/>
                <w:b/>
                <w:bCs/>
                <w:kern w:val="0"/>
                <w:sz w:val="24"/>
                <w:szCs w:val="24"/>
                <w:lang w:val="en-US" w:eastAsia="zh-CN" w:bidi="ar-SA"/>
              </w:rPr>
            </w:pPr>
          </w:p>
        </w:tc>
      </w:tr>
    </w:tbl>
    <w:p w14:paraId="56AAB338">
      <w:pPr>
        <w:widowControl/>
        <w:spacing w:before="0" w:beforeAutospacing="0" w:after="0" w:afterAutospacing="0" w:line="360" w:lineRule="auto"/>
        <w:ind w:firstLine="480" w:firstLineChars="200"/>
        <w:jc w:val="left"/>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合同总额包括乙方包装、运输、调试、搬运费、装卸费、各项税费及合同实施过程中不可预见费用等项目相关的一切费用。</w:t>
      </w:r>
    </w:p>
    <w:p w14:paraId="0773C079">
      <w:pPr>
        <w:widowControl/>
        <w:spacing w:before="0" w:beforeAutospacing="0" w:after="0" w:afterAutospacing="0" w:line="360" w:lineRule="auto"/>
        <w:ind w:firstLine="480" w:firstLineChars="200"/>
        <w:jc w:val="left"/>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注：货物名称内容必须与响应文件中货物名称内容一致。</w:t>
      </w:r>
    </w:p>
    <w:p w14:paraId="7F9DB6D6">
      <w:pPr>
        <w:adjustRightInd w:val="0"/>
        <w:snapToGrid w:val="0"/>
        <w:spacing w:line="358"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二、合同价款</w:t>
      </w:r>
    </w:p>
    <w:p w14:paraId="156E6990">
      <w:pPr>
        <w:widowControl/>
        <w:spacing w:before="0" w:beforeAutospacing="0" w:after="0" w:afterAutospacing="0" w:line="360" w:lineRule="auto"/>
        <w:ind w:firstLine="480" w:firstLineChars="200"/>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1、项目预算金额为：</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highlight w:val="none"/>
          <w:lang w:val="en-US" w:eastAsia="zh-CN" w:bidi="ar-SA"/>
        </w:rPr>
        <w:t>（￥</w:t>
      </w:r>
      <w:r>
        <w:rPr>
          <w:rFonts w:hint="eastAsia" w:ascii="宋体" w:hAnsi="宋体" w:eastAsia="宋体" w:cs="宋体"/>
          <w:kern w:val="0"/>
          <w:sz w:val="24"/>
          <w:szCs w:val="24"/>
          <w:highlight w:val="none"/>
          <w:u w:val="single"/>
          <w:lang w:val="en-US" w:eastAsia="zh-CN" w:bidi="ar-SA"/>
        </w:rPr>
        <w:t xml:space="preserve">         </w:t>
      </w:r>
      <w:r>
        <w:rPr>
          <w:rFonts w:hint="eastAsia" w:ascii="宋体" w:hAnsi="宋体" w:eastAsia="宋体" w:cs="宋体"/>
          <w:kern w:val="0"/>
          <w:sz w:val="24"/>
          <w:szCs w:val="24"/>
          <w:highlight w:val="none"/>
          <w:lang w:val="en-US" w:eastAsia="zh-CN" w:bidi="ar-SA"/>
        </w:rPr>
        <w:t>元）。</w:t>
      </w:r>
    </w:p>
    <w:p w14:paraId="549B35B5">
      <w:pPr>
        <w:widowControl/>
        <w:spacing w:before="0" w:beforeAutospacing="0" w:after="0" w:afterAutospacing="0" w:line="360" w:lineRule="auto"/>
        <w:ind w:firstLine="480" w:firstLineChars="20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2、采购人根据乙方所报单价按实际供货数量与乙方据实结算。</w:t>
      </w:r>
    </w:p>
    <w:p w14:paraId="48AED37B">
      <w:pPr>
        <w:widowControl/>
        <w:spacing w:before="0" w:beforeAutospacing="0" w:after="0" w:afterAutospacing="0" w:line="360" w:lineRule="auto"/>
        <w:ind w:firstLine="480" w:firstLineChars="20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lang w:val="en-US" w:eastAsia="zh-CN" w:bidi="ar-SA"/>
        </w:rPr>
        <w:t>3</w:t>
      </w:r>
      <w:r>
        <w:rPr>
          <w:rFonts w:hint="eastAsia" w:ascii="宋体" w:hAnsi="宋体" w:eastAsia="宋体" w:cs="宋体"/>
          <w:kern w:val="0"/>
          <w:sz w:val="24"/>
          <w:szCs w:val="24"/>
          <w:highlight w:val="none"/>
          <w:lang w:val="en-US" w:eastAsia="zh-CN" w:bidi="ar-SA"/>
        </w:rPr>
        <w:t>、合同总价包括：乙方在投标报价表中列明的完成本次投标所要求的全部货物、包装、运输、调试、搬运、装卸等验收合格前产生的全部费用(含税)。</w:t>
      </w:r>
    </w:p>
    <w:p w14:paraId="50F4413D">
      <w:pPr>
        <w:adjustRightInd w:val="0"/>
        <w:snapToGrid w:val="0"/>
        <w:spacing w:line="358"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三、合同结算</w:t>
      </w:r>
    </w:p>
    <w:p w14:paraId="0A4E6310">
      <w:pPr>
        <w:adjustRightInd w:val="0"/>
        <w:snapToGrid w:val="0"/>
        <w:spacing w:line="358"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1、结算单位：银行转账，由甲方负责结算。在付款前，成交人必须开具与合同金额全款的发票（普票）给采购人。</w:t>
      </w:r>
    </w:p>
    <w:p w14:paraId="3F52FB87">
      <w:pPr>
        <w:adjustRightInd w:val="0"/>
        <w:snapToGrid w:val="0"/>
        <w:spacing w:line="358"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2、付款方式：合同签订后，采购方2周内支付80%货款。物资到货验收合格后2周内付20%尾款。              </w:t>
      </w:r>
    </w:p>
    <w:p w14:paraId="6503EF52">
      <w:pPr>
        <w:adjustRightInd w:val="0"/>
        <w:snapToGrid w:val="0"/>
        <w:spacing w:line="358"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四、</w:t>
      </w:r>
      <w:r>
        <w:rPr>
          <w:rFonts w:hint="eastAsia" w:ascii="宋体" w:hAnsi="宋体" w:eastAsia="宋体" w:cs="宋体"/>
          <w:b/>
          <w:sz w:val="24"/>
          <w:szCs w:val="24"/>
          <w:highlight w:val="none"/>
          <w:lang w:eastAsia="zh-CN"/>
        </w:rPr>
        <w:t>交货</w:t>
      </w:r>
      <w:r>
        <w:rPr>
          <w:rFonts w:hint="eastAsia" w:ascii="宋体" w:hAnsi="宋体" w:eastAsia="宋体" w:cs="宋体"/>
          <w:b/>
          <w:sz w:val="24"/>
          <w:szCs w:val="24"/>
          <w:highlight w:val="none"/>
          <w:lang w:val="en-US" w:eastAsia="zh-CN"/>
        </w:rPr>
        <w:t>期</w:t>
      </w:r>
      <w:r>
        <w:rPr>
          <w:rFonts w:hint="eastAsia" w:ascii="宋体" w:hAnsi="宋体" w:eastAsia="宋体" w:cs="宋体"/>
          <w:b/>
          <w:sz w:val="24"/>
          <w:szCs w:val="24"/>
          <w:highlight w:val="none"/>
        </w:rPr>
        <w:t>、地点及方式:</w:t>
      </w:r>
    </w:p>
    <w:p w14:paraId="78242D8C">
      <w:pPr>
        <w:adjustRightInd w:val="0"/>
        <w:snapToGrid w:val="0"/>
        <w:spacing w:line="358"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交货</w:t>
      </w:r>
      <w:r>
        <w:rPr>
          <w:rFonts w:hint="eastAsia" w:ascii="宋体" w:hAnsi="宋体" w:eastAsia="宋体" w:cs="宋体"/>
          <w:sz w:val="24"/>
          <w:szCs w:val="24"/>
          <w:highlight w:val="none"/>
          <w:lang w:val="en-US" w:eastAsia="zh-CN"/>
        </w:rPr>
        <w:t>期：合同</w:t>
      </w:r>
      <w:r>
        <w:rPr>
          <w:rFonts w:hint="eastAsia" w:ascii="宋体" w:hAnsi="宋体" w:cs="宋体"/>
          <w:sz w:val="24"/>
          <w:szCs w:val="24"/>
          <w:highlight w:val="none"/>
          <w:lang w:val="en-US" w:eastAsia="zh-CN"/>
        </w:rPr>
        <w:t>签订生效</w:t>
      </w:r>
      <w:r>
        <w:rPr>
          <w:rFonts w:hint="eastAsia" w:ascii="宋体" w:hAnsi="宋体" w:eastAsia="宋体" w:cs="宋体"/>
          <w:sz w:val="24"/>
          <w:szCs w:val="24"/>
          <w:highlight w:val="none"/>
          <w:lang w:val="en-US" w:eastAsia="zh-CN"/>
        </w:rPr>
        <w:t>后1个月内</w:t>
      </w:r>
    </w:p>
    <w:p w14:paraId="5EC2227A">
      <w:pPr>
        <w:adjustRightInd w:val="0"/>
        <w:snapToGrid w:val="0"/>
        <w:spacing w:line="358"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交货</w:t>
      </w:r>
      <w:r>
        <w:rPr>
          <w:rFonts w:hint="eastAsia" w:ascii="宋体" w:hAnsi="宋体" w:eastAsia="宋体" w:cs="宋体"/>
          <w:sz w:val="24"/>
          <w:szCs w:val="24"/>
          <w:highlight w:val="none"/>
        </w:rPr>
        <w:t>地点：</w:t>
      </w:r>
      <w:r>
        <w:rPr>
          <w:rFonts w:hint="eastAsia" w:ascii="宋体" w:hAnsi="宋体" w:eastAsia="宋体" w:cs="宋体"/>
          <w:sz w:val="24"/>
          <w:szCs w:val="24"/>
          <w:highlight w:val="none"/>
          <w:lang w:eastAsia="zh-CN"/>
        </w:rPr>
        <w:t>采购人指定地点</w:t>
      </w:r>
    </w:p>
    <w:p w14:paraId="59107520">
      <w:pPr>
        <w:adjustRightInd w:val="0"/>
        <w:snapToGrid w:val="0"/>
        <w:spacing w:line="358"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质量标准：符合国家及行业质量验收合格标准。</w:t>
      </w:r>
    </w:p>
    <w:p w14:paraId="3402EA94">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五、其他事项：</w:t>
      </w:r>
    </w:p>
    <w:p w14:paraId="22F5C03D">
      <w:pPr>
        <w:adjustRightInd w:val="0"/>
        <w:snapToGrid w:val="0"/>
        <w:spacing w:line="358"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1、乙方不得转让、分包给其它单位或个人。</w:t>
      </w:r>
    </w:p>
    <w:p w14:paraId="20C0E096">
      <w:pPr>
        <w:adjustRightInd w:val="0"/>
        <w:snapToGrid w:val="0"/>
        <w:spacing w:line="358"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2、乙方的响应文件和承诺等内容将列入合同。</w:t>
      </w:r>
    </w:p>
    <w:p w14:paraId="6B388FE4">
      <w:pPr>
        <w:adjustRightInd w:val="0"/>
        <w:snapToGrid w:val="0"/>
        <w:spacing w:line="358" w:lineRule="auto"/>
        <w:ind w:firstLine="482" w:firstLineChars="200"/>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六、运输</w:t>
      </w:r>
    </w:p>
    <w:p w14:paraId="04307035">
      <w:pPr>
        <w:adjustRightInd w:val="0"/>
        <w:snapToGrid w:val="0"/>
        <w:spacing w:line="358"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1、乙方负责所有货物的运输，确保货物安全、完整到达使用地点，运杂费用包含在总价内，包括货物从供货地点到使用地点的运输费、保险费、搬运费、装卸费等。</w:t>
      </w:r>
    </w:p>
    <w:p w14:paraId="0C744A66">
      <w:pPr>
        <w:adjustRightInd w:val="0"/>
        <w:snapToGrid w:val="0"/>
        <w:spacing w:line="358"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2、所有货物在运输、搬运、装卸、调试直至验收合格交付甲方前，造成甲乙双方或者第三人人身、财产损失的，由乙方承担全部责任，甲方不承担任何责任。</w:t>
      </w:r>
    </w:p>
    <w:p w14:paraId="14A3DB31">
      <w:pPr>
        <w:adjustRightInd w:val="0"/>
        <w:snapToGrid w:val="0"/>
        <w:spacing w:line="358" w:lineRule="auto"/>
        <w:ind w:firstLine="482" w:firstLineChars="200"/>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七</w:t>
      </w:r>
      <w:r>
        <w:rPr>
          <w:rFonts w:hint="eastAsia" w:ascii="宋体" w:hAnsi="宋体" w:eastAsia="宋体" w:cs="宋体"/>
          <w:b/>
          <w:sz w:val="24"/>
          <w:szCs w:val="24"/>
          <w:highlight w:val="none"/>
        </w:rPr>
        <w:t>、</w:t>
      </w:r>
      <w:r>
        <w:rPr>
          <w:rFonts w:hint="eastAsia" w:ascii="宋体" w:hAnsi="宋体" w:eastAsia="宋体" w:cs="宋体"/>
          <w:b/>
          <w:sz w:val="24"/>
          <w:szCs w:val="24"/>
          <w:highlight w:val="none"/>
          <w:lang w:eastAsia="zh-CN"/>
        </w:rPr>
        <w:t>质量保证</w:t>
      </w:r>
    </w:p>
    <w:p w14:paraId="659FA435">
      <w:pPr>
        <w:adjustRightInd w:val="0"/>
        <w:snapToGrid w:val="0"/>
        <w:spacing w:line="358" w:lineRule="auto"/>
        <w:ind w:firstLine="480" w:firstLineChars="200"/>
        <w:rPr>
          <w:rFonts w:hint="eastAsia" w:ascii="宋体" w:hAnsi="宋体" w:eastAsia="宋体" w:cs="宋体"/>
          <w:color w:val="auto"/>
          <w:sz w:val="24"/>
          <w:szCs w:val="24"/>
          <w:highlight w:val="none"/>
          <w:lang w:val="zh-CN"/>
        </w:rPr>
      </w:pPr>
      <w:bookmarkStart w:id="0" w:name="_Toc19515393"/>
      <w:r>
        <w:rPr>
          <w:rFonts w:hint="eastAsia" w:ascii="宋体" w:hAnsi="宋体" w:eastAsia="宋体" w:cs="宋体"/>
          <w:color w:val="auto"/>
          <w:sz w:val="24"/>
          <w:szCs w:val="24"/>
          <w:highlight w:val="none"/>
          <w:lang w:val="zh-CN"/>
        </w:rPr>
        <w:t>1、乙方提供的货品全部质保</w:t>
      </w:r>
      <w:r>
        <w:rPr>
          <w:rFonts w:hint="eastAsia" w:ascii="宋体" w:hAnsi="宋体" w:cs="宋体"/>
          <w:color w:val="auto"/>
          <w:sz w:val="24"/>
          <w:szCs w:val="24"/>
          <w:highlight w:val="none"/>
          <w:lang w:val="zh-CN"/>
        </w:rPr>
        <w:t>2年</w:t>
      </w:r>
      <w:r>
        <w:rPr>
          <w:rFonts w:hint="eastAsia" w:ascii="宋体" w:hAnsi="宋体" w:eastAsia="宋体" w:cs="宋体"/>
          <w:color w:val="auto"/>
          <w:sz w:val="24"/>
          <w:szCs w:val="24"/>
          <w:highlight w:val="none"/>
          <w:lang w:val="zh-CN"/>
        </w:rPr>
        <w:t>，从验收合格交付甲方之日起计算，保修期内免费</w:t>
      </w:r>
      <w:r>
        <w:rPr>
          <w:rFonts w:hint="eastAsia" w:ascii="宋体" w:hAnsi="宋体" w:cs="宋体"/>
          <w:color w:val="auto"/>
          <w:sz w:val="24"/>
          <w:szCs w:val="24"/>
          <w:highlight w:val="none"/>
          <w:lang w:val="zh-CN"/>
        </w:rPr>
        <w:t>更换</w:t>
      </w:r>
      <w:r>
        <w:rPr>
          <w:rFonts w:hint="eastAsia" w:ascii="宋体" w:hAnsi="宋体" w:eastAsia="宋体" w:cs="宋体"/>
          <w:color w:val="auto"/>
          <w:sz w:val="24"/>
          <w:szCs w:val="24"/>
          <w:highlight w:val="none"/>
          <w:lang w:val="zh-CN"/>
        </w:rPr>
        <w:t>维修。</w:t>
      </w:r>
    </w:p>
    <w:p w14:paraId="1130EE78">
      <w:pPr>
        <w:adjustRightInd w:val="0"/>
        <w:snapToGrid w:val="0"/>
        <w:spacing w:line="358"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2、乙方提供货物必须是原品牌生产厂生产的最新一批产品。</w:t>
      </w:r>
    </w:p>
    <w:p w14:paraId="6EAC5428">
      <w:pPr>
        <w:adjustRightInd w:val="0"/>
        <w:snapToGrid w:val="0"/>
        <w:spacing w:line="358"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3、所供产品必须是经过国家法定质检机构检测的合格产品，并符合国家相关标准。</w:t>
      </w:r>
    </w:p>
    <w:p w14:paraId="2644CA5F">
      <w:pPr>
        <w:adjustRightInd w:val="0"/>
        <w:snapToGrid w:val="0"/>
        <w:spacing w:line="358"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乙方所提供的产品必须与投标产品一致，甲方有权对所提供产品进行二次送检，乙方同意服从法定检验机构，并承担相应的结果，交付产品经法定检验机构检验与投标参数不一致，即为不合格，甲方有权退回所有货物，乙方除返还所有已收取的货款，还应当向甲方支付总价款</w:t>
      </w:r>
      <w:r>
        <w:rPr>
          <w:rFonts w:hint="eastAsia" w:ascii="宋体" w:hAnsi="宋体" w:cs="宋体"/>
          <w:sz w:val="24"/>
          <w:szCs w:val="24"/>
          <w:highlight w:val="none"/>
          <w:lang w:val="en-US" w:eastAsia="zh-CN"/>
        </w:rPr>
        <w:t>30</w:t>
      </w:r>
      <w:r>
        <w:rPr>
          <w:rFonts w:hint="eastAsia" w:ascii="宋体" w:hAnsi="宋体" w:eastAsia="宋体" w:cs="宋体"/>
          <w:sz w:val="24"/>
          <w:szCs w:val="24"/>
          <w:highlight w:val="none"/>
          <w:lang w:val="zh-CN"/>
        </w:rPr>
        <w:t>%的违约金。</w:t>
      </w:r>
    </w:p>
    <w:p w14:paraId="426D6FF8">
      <w:pPr>
        <w:adjustRightInd w:val="0"/>
        <w:snapToGrid w:val="0"/>
        <w:spacing w:line="358"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5、除合同另有规定外，乙方提供的全部货物，均应按规定措施进行包装，并确保货物安全无损运抵甲方指定地点。每一个包装箱内应附一份详细装箱单和质量合格证。</w:t>
      </w:r>
    </w:p>
    <w:p w14:paraId="59EAA3EE">
      <w:pPr>
        <w:adjustRightInd w:val="0"/>
        <w:snapToGrid w:val="0"/>
        <w:spacing w:line="358"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6、乙方交付产品不合格，</w:t>
      </w:r>
      <w:r>
        <w:rPr>
          <w:rFonts w:hint="eastAsia" w:ascii="宋体" w:hAnsi="宋体" w:cs="宋体"/>
          <w:sz w:val="24"/>
          <w:szCs w:val="24"/>
          <w:highlight w:val="none"/>
          <w:lang w:val="en-US" w:eastAsia="zh-CN"/>
        </w:rPr>
        <w:t>应当免费</w:t>
      </w:r>
      <w:r>
        <w:rPr>
          <w:rFonts w:hint="eastAsia" w:ascii="宋体" w:hAnsi="宋体" w:eastAsia="宋体" w:cs="宋体"/>
          <w:sz w:val="24"/>
          <w:szCs w:val="24"/>
          <w:highlight w:val="none"/>
          <w:lang w:val="zh-CN"/>
        </w:rPr>
        <w:t>予以更换;</w:t>
      </w:r>
      <w:r>
        <w:rPr>
          <w:rFonts w:hint="eastAsia" w:ascii="宋体" w:hAnsi="宋体" w:cs="宋体"/>
          <w:sz w:val="24"/>
          <w:szCs w:val="24"/>
          <w:highlight w:val="none"/>
          <w:lang w:val="en-US" w:eastAsia="zh-CN"/>
        </w:rPr>
        <w:t>同时</w:t>
      </w:r>
      <w:r>
        <w:rPr>
          <w:rFonts w:hint="eastAsia" w:ascii="宋体" w:hAnsi="宋体" w:eastAsia="宋体" w:cs="宋体"/>
          <w:sz w:val="24"/>
          <w:szCs w:val="24"/>
          <w:highlight w:val="none"/>
          <w:lang w:val="zh-CN"/>
        </w:rPr>
        <w:t>由此造成逾期交货的，</w:t>
      </w:r>
      <w:r>
        <w:rPr>
          <w:rFonts w:hint="eastAsia" w:ascii="宋体" w:hAnsi="宋体" w:cs="宋体"/>
          <w:sz w:val="24"/>
          <w:szCs w:val="24"/>
          <w:highlight w:val="none"/>
          <w:lang w:val="en-US" w:eastAsia="zh-CN"/>
        </w:rPr>
        <w:t>还应当</w:t>
      </w:r>
      <w:r>
        <w:rPr>
          <w:rFonts w:hint="eastAsia" w:ascii="宋体" w:hAnsi="宋体" w:eastAsia="宋体" w:cs="宋体"/>
          <w:sz w:val="24"/>
          <w:szCs w:val="24"/>
          <w:highlight w:val="none"/>
          <w:lang w:val="zh-CN"/>
        </w:rPr>
        <w:t>承担逾期交货的违约责任。</w:t>
      </w:r>
    </w:p>
    <w:p w14:paraId="3F52BDE8">
      <w:pPr>
        <w:adjustRightInd w:val="0"/>
        <w:snapToGrid w:val="0"/>
        <w:spacing w:line="358" w:lineRule="auto"/>
        <w:ind w:firstLine="482" w:firstLineChars="200"/>
        <w:rPr>
          <w:rFonts w:hint="eastAsia" w:ascii="宋体" w:hAnsi="宋体" w:eastAsia="宋体" w:cs="宋体"/>
          <w:b/>
          <w:sz w:val="24"/>
          <w:szCs w:val="24"/>
          <w:highlight w:val="none"/>
        </w:rPr>
      </w:pPr>
      <w:bookmarkStart w:id="1" w:name="_Toc19515391"/>
      <w:r>
        <w:rPr>
          <w:rFonts w:hint="eastAsia" w:ascii="宋体" w:hAnsi="宋体" w:eastAsia="宋体" w:cs="宋体"/>
          <w:b/>
          <w:sz w:val="24"/>
          <w:szCs w:val="24"/>
          <w:highlight w:val="none"/>
        </w:rPr>
        <w:t>八、验收</w:t>
      </w:r>
      <w:bookmarkEnd w:id="1"/>
      <w:r>
        <w:rPr>
          <w:rFonts w:hint="eastAsia" w:ascii="宋体" w:hAnsi="宋体" w:eastAsia="宋体" w:cs="宋体"/>
          <w:b/>
          <w:sz w:val="24"/>
          <w:szCs w:val="24"/>
          <w:highlight w:val="none"/>
        </w:rPr>
        <w:t>要求</w:t>
      </w:r>
    </w:p>
    <w:p w14:paraId="120A617A">
      <w:pPr>
        <w:adjustRightInd w:val="0"/>
        <w:snapToGrid w:val="0"/>
        <w:spacing w:line="358"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1、到货验收:货物到货后，由甲方与乙方共同进行外观验收，验收外包装的完好性，产品的品牌、规格、数量及产期，法定检验地与合同要求的一致性。</w:t>
      </w:r>
    </w:p>
    <w:p w14:paraId="1A190354">
      <w:pPr>
        <w:widowControl/>
        <w:spacing w:before="0" w:beforeAutospacing="0" w:after="0" w:afterAutospacing="0" w:line="360" w:lineRule="auto"/>
        <w:ind w:firstLine="480" w:firstLineChars="200"/>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highlight w:val="none"/>
          <w:lang w:val="zh-CN" w:eastAsia="zh-CN" w:bidi="ar-SA"/>
        </w:rPr>
        <w:t>2、</w:t>
      </w:r>
      <w:r>
        <w:rPr>
          <w:rFonts w:hint="eastAsia" w:ascii="宋体" w:hAnsi="宋体" w:eastAsia="宋体" w:cs="宋体"/>
          <w:kern w:val="0"/>
          <w:sz w:val="24"/>
          <w:szCs w:val="24"/>
          <w:lang w:val="en-US" w:eastAsia="zh-CN" w:bidi="ar-SA"/>
        </w:rPr>
        <w:t>产品若有国家标准按照国家标准验收，若无国家标准按行业标准验收。若无国家标准也无行业标准的，按采购文件要求、报价文件的承诺及合同约定进行验收。</w:t>
      </w:r>
      <w:r>
        <w:rPr>
          <w:rFonts w:hint="eastAsia" w:ascii="宋体" w:hAnsi="宋体" w:eastAsia="宋体" w:cs="宋体"/>
          <w:kern w:val="0"/>
          <w:sz w:val="24"/>
          <w:szCs w:val="24"/>
          <w:highlight w:val="none"/>
          <w:lang w:val="zh-CN" w:eastAsia="zh-CN" w:bidi="ar-SA"/>
        </w:rPr>
        <w:t>产品验收:乙方到达甲方指定现场卸货后，由甲方组织验收，验收合格后出具收货证明。</w:t>
      </w:r>
    </w:p>
    <w:p w14:paraId="5A48019B">
      <w:pPr>
        <w:adjustRightInd w:val="0"/>
        <w:snapToGrid w:val="0"/>
        <w:spacing w:line="358"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3、验收依据:</w:t>
      </w:r>
    </w:p>
    <w:p w14:paraId="45891B74">
      <w:pPr>
        <w:adjustRightInd w:val="0"/>
        <w:snapToGrid w:val="0"/>
        <w:spacing w:line="358"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(1)合同文本、合同附件、竞争性</w:t>
      </w:r>
      <w:r>
        <w:rPr>
          <w:rFonts w:hint="eastAsia" w:ascii="宋体" w:hAnsi="宋体" w:eastAsia="宋体" w:cs="宋体"/>
          <w:sz w:val="24"/>
          <w:szCs w:val="24"/>
          <w:highlight w:val="none"/>
          <w:lang w:val="zh-CN" w:eastAsia="zh-CN"/>
        </w:rPr>
        <w:t>谈判</w:t>
      </w:r>
      <w:r>
        <w:rPr>
          <w:rFonts w:hint="eastAsia" w:ascii="宋体" w:hAnsi="宋体" w:eastAsia="宋体" w:cs="宋体"/>
          <w:sz w:val="24"/>
          <w:szCs w:val="24"/>
          <w:highlight w:val="none"/>
          <w:lang w:val="zh-CN"/>
        </w:rPr>
        <w:t>文件、</w:t>
      </w:r>
      <w:r>
        <w:rPr>
          <w:rFonts w:hint="eastAsia" w:ascii="宋体" w:hAnsi="宋体" w:eastAsia="宋体" w:cs="宋体"/>
          <w:sz w:val="24"/>
          <w:szCs w:val="24"/>
          <w:highlight w:val="none"/>
          <w:lang w:val="zh-CN" w:eastAsia="zh-CN"/>
        </w:rPr>
        <w:t>谈判</w:t>
      </w:r>
      <w:r>
        <w:rPr>
          <w:rFonts w:hint="eastAsia" w:ascii="宋体" w:hAnsi="宋体" w:eastAsia="宋体" w:cs="宋体"/>
          <w:sz w:val="24"/>
          <w:szCs w:val="24"/>
          <w:highlight w:val="none"/>
          <w:lang w:val="zh-CN"/>
        </w:rPr>
        <w:t>响应文件。</w:t>
      </w:r>
    </w:p>
    <w:p w14:paraId="70FC4997">
      <w:pPr>
        <w:adjustRightInd w:val="0"/>
        <w:snapToGrid w:val="0"/>
        <w:spacing w:line="358"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(2)国内相应的标准、规范。</w:t>
      </w:r>
    </w:p>
    <w:p w14:paraId="3FA03658">
      <w:pPr>
        <w:adjustRightInd w:val="0"/>
        <w:snapToGrid w:val="0"/>
        <w:spacing w:line="358" w:lineRule="auto"/>
        <w:ind w:firstLine="482" w:firstLineChars="200"/>
        <w:rPr>
          <w:rFonts w:hint="eastAsia" w:ascii="宋体" w:hAnsi="宋体" w:eastAsia="宋体" w:cs="宋体"/>
          <w:b/>
          <w:sz w:val="24"/>
          <w:szCs w:val="24"/>
          <w:highlight w:val="none"/>
        </w:rPr>
      </w:pPr>
      <w:bookmarkStart w:id="2" w:name="_Toc19515392"/>
      <w:r>
        <w:rPr>
          <w:rFonts w:hint="eastAsia" w:ascii="宋体" w:hAnsi="宋体" w:eastAsia="宋体" w:cs="宋体"/>
          <w:b/>
          <w:sz w:val="24"/>
          <w:szCs w:val="24"/>
          <w:highlight w:val="none"/>
        </w:rPr>
        <w:t>九、违约责任</w:t>
      </w:r>
      <w:bookmarkEnd w:id="2"/>
    </w:p>
    <w:p w14:paraId="6E612AF2">
      <w:pPr>
        <w:adjustRightInd w:val="0"/>
        <w:snapToGrid w:val="0"/>
        <w:spacing w:line="358"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1、按《</w:t>
      </w:r>
      <w:r>
        <w:rPr>
          <w:rFonts w:hint="eastAsia" w:ascii="宋体" w:hAnsi="宋体" w:eastAsia="宋体" w:cs="宋体"/>
          <w:sz w:val="24"/>
          <w:szCs w:val="24"/>
          <w:highlight w:val="none"/>
          <w:lang w:val="zh-CN" w:eastAsia="zh-CN"/>
        </w:rPr>
        <w:t>中华人民共和国民法典</w:t>
      </w:r>
      <w:r>
        <w:rPr>
          <w:rFonts w:hint="eastAsia" w:ascii="宋体" w:hAnsi="宋体" w:eastAsia="宋体" w:cs="宋体"/>
          <w:sz w:val="24"/>
          <w:szCs w:val="24"/>
          <w:highlight w:val="none"/>
          <w:lang w:val="zh-CN"/>
        </w:rPr>
        <w:t>》中的相关条款执行。</w:t>
      </w:r>
    </w:p>
    <w:p w14:paraId="05F2F0A9">
      <w:pPr>
        <w:adjustRightInd w:val="0"/>
        <w:snapToGrid w:val="0"/>
        <w:spacing w:line="358"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2、乙方履约延误</w:t>
      </w:r>
    </w:p>
    <w:p w14:paraId="4A4CDCA8">
      <w:pPr>
        <w:adjustRightInd w:val="0"/>
        <w:snapToGrid w:val="0"/>
        <w:spacing w:line="358"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2-1、如乙方事先未征得甲方同意并得到甲方的谅解而单方面延迟</w:t>
      </w:r>
      <w:r>
        <w:rPr>
          <w:rFonts w:hint="eastAsia" w:ascii="宋体" w:hAnsi="宋体" w:eastAsia="宋体" w:cs="宋体"/>
          <w:sz w:val="24"/>
          <w:szCs w:val="24"/>
          <w:highlight w:val="none"/>
          <w:lang w:val="zh-CN" w:eastAsia="zh-CN"/>
        </w:rPr>
        <w:t>交货</w:t>
      </w:r>
      <w:r>
        <w:rPr>
          <w:rFonts w:hint="eastAsia" w:ascii="宋体" w:hAnsi="宋体" w:eastAsia="宋体" w:cs="宋体"/>
          <w:sz w:val="24"/>
          <w:szCs w:val="24"/>
          <w:highlight w:val="none"/>
          <w:lang w:val="zh-CN"/>
        </w:rPr>
        <w:t>期限，将按违约终止合同。</w:t>
      </w:r>
    </w:p>
    <w:p w14:paraId="31D7B4A8">
      <w:pPr>
        <w:adjustRightInd w:val="0"/>
        <w:snapToGrid w:val="0"/>
        <w:spacing w:line="358"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-2、在履行合同过程中，如果乙方遇到可能妨碍按时交货的情况，应及时以书面形式将拖延的事实，可能拖延的期限和理由通知甲方。甲方在收到乙方通知后，应尽快对情况进行评价，并确定是否通过修改合同，酌情延长服务时间或对乙方加收误期赔偿金。每延误一周的赔偿费按未提供服务的服务费用的百分之一（1%）计收，直至提供服务为止。误期赔偿费的最高限额为合同价格的百分之三十（30%）。一旦达到误期赔偿费的最高限额，甲方可终止合同。</w:t>
      </w:r>
    </w:p>
    <w:p w14:paraId="5A1175F2">
      <w:pPr>
        <w:adjustRightInd w:val="0"/>
        <w:snapToGrid w:val="0"/>
        <w:spacing w:line="358"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3、违约终止合同：未按合同要求提供服务，甲方会同监督机构有权终止合同，对乙方违约行为进行追究，同时按政府采购法的有关规定进行相应的处罚。</w:t>
      </w:r>
    </w:p>
    <w:p w14:paraId="56BE8208">
      <w:pPr>
        <w:adjustRightInd w:val="0"/>
        <w:snapToGrid w:val="0"/>
        <w:spacing w:line="358"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十、不可抗力事件处理</w:t>
      </w:r>
    </w:p>
    <w:p w14:paraId="2B6F82E7">
      <w:pPr>
        <w:adjustRightInd w:val="0"/>
        <w:snapToGrid w:val="0"/>
        <w:spacing w:line="358"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3720888B">
      <w:pPr>
        <w:adjustRightInd w:val="0"/>
        <w:snapToGrid w:val="0"/>
        <w:spacing w:line="358"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2、本合同中的不可抗力指不能预见、不能避免并不能克服的客观情况。包括但不限于：自然灾害如地震、台风、洪水、火灾；政府行为、法律规定或其适用的变化或者其他任何无法预见、避免或者控制的事件。</w:t>
      </w:r>
    </w:p>
    <w:p w14:paraId="4C9A817C">
      <w:pPr>
        <w:adjustRightInd w:val="0"/>
        <w:snapToGrid w:val="0"/>
        <w:spacing w:line="358"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十一、合同组成</w:t>
      </w:r>
      <w:bookmarkEnd w:id="0"/>
    </w:p>
    <w:p w14:paraId="07768702">
      <w:pPr>
        <w:adjustRightInd w:val="0"/>
        <w:snapToGrid w:val="0"/>
        <w:spacing w:line="358"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1、成交通知书</w:t>
      </w:r>
    </w:p>
    <w:p w14:paraId="03F55F99">
      <w:pPr>
        <w:adjustRightInd w:val="0"/>
        <w:snapToGrid w:val="0"/>
        <w:spacing w:line="358"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2、合同文件</w:t>
      </w:r>
    </w:p>
    <w:p w14:paraId="1998109C">
      <w:pPr>
        <w:adjustRightInd w:val="0"/>
        <w:snapToGrid w:val="0"/>
        <w:spacing w:line="358"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3、国家相关规范及标准</w:t>
      </w:r>
    </w:p>
    <w:p w14:paraId="35C49ADD">
      <w:pPr>
        <w:adjustRightInd w:val="0"/>
        <w:snapToGrid w:val="0"/>
        <w:spacing w:line="358"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4、竞争性</w:t>
      </w:r>
      <w:r>
        <w:rPr>
          <w:rFonts w:hint="eastAsia" w:ascii="宋体" w:hAnsi="宋体" w:eastAsia="宋体" w:cs="宋体"/>
          <w:sz w:val="24"/>
          <w:szCs w:val="24"/>
          <w:highlight w:val="none"/>
          <w:lang w:val="zh-CN" w:eastAsia="zh-CN"/>
        </w:rPr>
        <w:t>谈判</w:t>
      </w:r>
      <w:r>
        <w:rPr>
          <w:rFonts w:hint="eastAsia" w:ascii="宋体" w:hAnsi="宋体" w:eastAsia="宋体" w:cs="宋体"/>
          <w:sz w:val="24"/>
          <w:szCs w:val="24"/>
          <w:highlight w:val="none"/>
          <w:lang w:val="zh-CN"/>
        </w:rPr>
        <w:t>文件</w:t>
      </w:r>
    </w:p>
    <w:p w14:paraId="2FD8094D">
      <w:pPr>
        <w:adjustRightInd w:val="0"/>
        <w:snapToGrid w:val="0"/>
        <w:spacing w:line="358"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w:t>
      </w:r>
      <w:r>
        <w:rPr>
          <w:rFonts w:hint="eastAsia" w:ascii="宋体" w:hAnsi="宋体" w:eastAsia="宋体" w:cs="宋体"/>
          <w:sz w:val="24"/>
          <w:szCs w:val="24"/>
          <w:highlight w:val="none"/>
          <w:lang w:val="zh-CN" w:eastAsia="zh-CN"/>
        </w:rPr>
        <w:t>谈判</w:t>
      </w:r>
      <w:r>
        <w:rPr>
          <w:rFonts w:hint="eastAsia" w:ascii="宋体" w:hAnsi="宋体" w:eastAsia="宋体" w:cs="宋体"/>
          <w:sz w:val="24"/>
          <w:szCs w:val="24"/>
          <w:highlight w:val="none"/>
          <w:lang w:val="zh-CN"/>
        </w:rPr>
        <w:t>响应文件</w:t>
      </w:r>
    </w:p>
    <w:p w14:paraId="56A5EA2F">
      <w:pPr>
        <w:adjustRightInd w:val="0"/>
        <w:snapToGrid w:val="0"/>
        <w:spacing w:line="358" w:lineRule="auto"/>
        <w:ind w:firstLine="482" w:firstLineChars="200"/>
        <w:rPr>
          <w:rFonts w:hint="eastAsia" w:ascii="宋体" w:hAnsi="宋体" w:eastAsia="宋体" w:cs="宋体"/>
          <w:b/>
          <w:sz w:val="24"/>
          <w:szCs w:val="24"/>
          <w:highlight w:val="none"/>
        </w:rPr>
      </w:pPr>
      <w:bookmarkStart w:id="3" w:name="_Toc19515394"/>
      <w:r>
        <w:rPr>
          <w:rFonts w:hint="eastAsia" w:ascii="宋体" w:hAnsi="宋体" w:eastAsia="宋体" w:cs="宋体"/>
          <w:b/>
          <w:sz w:val="24"/>
          <w:szCs w:val="24"/>
          <w:highlight w:val="none"/>
        </w:rPr>
        <w:t>十二、解决争议的方法</w:t>
      </w:r>
      <w:bookmarkEnd w:id="3"/>
    </w:p>
    <w:p w14:paraId="69A1AA3D">
      <w:pPr>
        <w:adjustRightInd w:val="0"/>
        <w:snapToGrid w:val="0"/>
        <w:spacing w:line="358"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凡因本合同引起的或与本合同有关的争议，双方应友好协商解决。协商不成时，双方均同意采用以下第（ </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val="zh-CN"/>
        </w:rPr>
        <w:t xml:space="preserve"> ）种争议解决方式：</w:t>
      </w:r>
    </w:p>
    <w:p w14:paraId="43EBEBB9">
      <w:pPr>
        <w:numPr>
          <w:ilvl w:val="0"/>
          <w:numId w:val="1"/>
        </w:numPr>
        <w:adjustRightInd w:val="0"/>
        <w:snapToGrid w:val="0"/>
        <w:spacing w:line="358"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甲、乙双方均同意向（甲方所在地人民法院）提起诉讼。</w:t>
      </w:r>
    </w:p>
    <w:p w14:paraId="44768DBF">
      <w:pPr>
        <w:adjustRightInd w:val="0"/>
        <w:snapToGrid w:val="0"/>
        <w:spacing w:line="358"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（2）甲、乙双方均同意向（</w:t>
      </w:r>
      <w:r>
        <w:rPr>
          <w:rFonts w:hint="eastAsia" w:ascii="宋体" w:hAnsi="宋体" w:eastAsia="宋体" w:cs="宋体"/>
          <w:sz w:val="24"/>
          <w:szCs w:val="24"/>
          <w:highlight w:val="none"/>
          <w:lang w:val="zh-CN"/>
        </w:rPr>
        <w:fldChar w:fldCharType="begin"/>
      </w:r>
      <w:r>
        <w:rPr>
          <w:rFonts w:hint="eastAsia" w:ascii="宋体" w:hAnsi="宋体" w:eastAsia="宋体" w:cs="宋体"/>
          <w:sz w:val="24"/>
          <w:szCs w:val="24"/>
          <w:highlight w:val="none"/>
          <w:lang w:val="zh-CN"/>
        </w:rPr>
        <w:instrText xml:space="preserve"> HYPERLINK "http://www.baidu.com/s?wd=%E4%BB%B2%E8%A3%81%E5%A7%94%E5%91%98%E4%BC%9A&amp;tn=SE_PcZhidaonwhc_ngpagmjz&amp;rsv_dl=gh_pc_zhidao" \t "_blank" </w:instrText>
      </w:r>
      <w:r>
        <w:rPr>
          <w:rFonts w:hint="eastAsia" w:ascii="宋体" w:hAnsi="宋体" w:eastAsia="宋体" w:cs="宋体"/>
          <w:sz w:val="24"/>
          <w:szCs w:val="24"/>
          <w:highlight w:val="none"/>
          <w:lang w:val="zh-CN"/>
        </w:rPr>
        <w:fldChar w:fldCharType="separate"/>
      </w:r>
      <w:r>
        <w:rPr>
          <w:rFonts w:hint="eastAsia" w:ascii="宋体" w:hAnsi="宋体" w:eastAsia="宋体" w:cs="宋体"/>
          <w:sz w:val="24"/>
          <w:szCs w:val="24"/>
          <w:highlight w:val="none"/>
          <w:lang w:val="zh-CN"/>
        </w:rPr>
        <w:t>仲裁委员会</w:t>
      </w:r>
      <w:r>
        <w:rPr>
          <w:rFonts w:hint="eastAsia" w:ascii="宋体" w:hAnsi="宋体" w:eastAsia="宋体" w:cs="宋体"/>
          <w:sz w:val="24"/>
          <w:szCs w:val="24"/>
          <w:highlight w:val="none"/>
          <w:lang w:val="zh-CN"/>
        </w:rPr>
        <w:fldChar w:fldCharType="end"/>
      </w:r>
      <w:r>
        <w:rPr>
          <w:rFonts w:hint="eastAsia" w:ascii="宋体" w:hAnsi="宋体" w:eastAsia="宋体" w:cs="宋体"/>
          <w:sz w:val="24"/>
          <w:szCs w:val="24"/>
          <w:highlight w:val="none"/>
          <w:lang w:val="zh-CN"/>
        </w:rPr>
        <w:t>）提起仲裁。</w:t>
      </w:r>
    </w:p>
    <w:p w14:paraId="75E41B30">
      <w:pPr>
        <w:adjustRightInd w:val="0"/>
        <w:snapToGrid w:val="0"/>
        <w:spacing w:line="358" w:lineRule="auto"/>
        <w:ind w:firstLine="482" w:firstLineChars="200"/>
        <w:rPr>
          <w:rFonts w:hint="eastAsia" w:ascii="宋体" w:hAnsi="宋体" w:eastAsia="宋体" w:cs="宋体"/>
          <w:b/>
          <w:sz w:val="24"/>
          <w:szCs w:val="24"/>
          <w:highlight w:val="none"/>
        </w:rPr>
      </w:pPr>
      <w:bookmarkStart w:id="4" w:name="_Toc19515395"/>
      <w:r>
        <w:rPr>
          <w:rFonts w:hint="eastAsia" w:ascii="宋体" w:hAnsi="宋体" w:eastAsia="宋体" w:cs="宋体"/>
          <w:b/>
          <w:sz w:val="24"/>
          <w:szCs w:val="24"/>
          <w:highlight w:val="none"/>
        </w:rPr>
        <w:t>十三、合同生效及其它</w:t>
      </w:r>
      <w:bookmarkEnd w:id="4"/>
    </w:p>
    <w:p w14:paraId="430861A3">
      <w:pPr>
        <w:adjustRightInd w:val="0"/>
        <w:snapToGrid w:val="0"/>
        <w:spacing w:line="358" w:lineRule="auto"/>
        <w:ind w:firstLine="480" w:firstLineChars="200"/>
        <w:rPr>
          <w:rFonts w:hint="eastAsia" w:ascii="宋体" w:hAnsi="宋体" w:eastAsia="宋体" w:cs="宋体"/>
          <w:b/>
          <w:sz w:val="24"/>
          <w:szCs w:val="24"/>
          <w:highlight w:val="none"/>
        </w:rPr>
      </w:pPr>
      <w:r>
        <w:rPr>
          <w:rFonts w:hint="eastAsia" w:ascii="宋体" w:hAnsi="宋体" w:eastAsia="宋体" w:cs="宋体"/>
          <w:kern w:val="0"/>
          <w:sz w:val="24"/>
          <w:szCs w:val="24"/>
          <w:highlight w:val="none"/>
        </w:rPr>
        <w:t>1、合同未尽事宜、由甲、乙双方协商，作为合同补充，与原合同具有同等法律效力。</w:t>
      </w:r>
    </w:p>
    <w:p w14:paraId="59B54BF4">
      <w:pPr>
        <w:adjustRightInd w:val="0"/>
        <w:snapToGrid w:val="0"/>
        <w:spacing w:line="358" w:lineRule="auto"/>
        <w:ind w:firstLine="480" w:firstLineChars="200"/>
        <w:rPr>
          <w:rFonts w:hint="eastAsia" w:ascii="宋体" w:hAnsi="宋体" w:eastAsia="宋体" w:cs="宋体"/>
          <w:b/>
          <w:sz w:val="24"/>
          <w:szCs w:val="24"/>
          <w:highlight w:val="none"/>
        </w:rPr>
      </w:pPr>
      <w:r>
        <w:rPr>
          <w:rFonts w:hint="eastAsia" w:ascii="宋体" w:hAnsi="宋体" w:eastAsia="宋体" w:cs="宋体"/>
          <w:kern w:val="0"/>
          <w:sz w:val="24"/>
          <w:szCs w:val="24"/>
          <w:highlight w:val="none"/>
        </w:rPr>
        <w:t>2、 本合同一式</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份，甲方、乙方双方分别执</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份，</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备案</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份。</w:t>
      </w:r>
    </w:p>
    <w:p w14:paraId="6798BDF4">
      <w:pPr>
        <w:adjustRightInd w:val="0"/>
        <w:snapToGrid w:val="0"/>
        <w:spacing w:line="358" w:lineRule="auto"/>
        <w:ind w:firstLine="480" w:firstLineChars="200"/>
        <w:rPr>
          <w:rFonts w:hint="eastAsia" w:ascii="宋体" w:hAnsi="宋体" w:eastAsia="宋体" w:cs="宋体"/>
          <w:b/>
          <w:sz w:val="24"/>
          <w:szCs w:val="24"/>
          <w:highlight w:val="none"/>
        </w:rPr>
      </w:pPr>
      <w:r>
        <w:rPr>
          <w:rFonts w:hint="eastAsia" w:ascii="宋体" w:hAnsi="宋体" w:eastAsia="宋体" w:cs="宋体"/>
          <w:kern w:val="0"/>
          <w:sz w:val="24"/>
          <w:szCs w:val="24"/>
          <w:highlight w:val="none"/>
        </w:rPr>
        <w:t>3、合同经甲乙双方盖章、签字后生效，合同签订地点为</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p>
    <w:p w14:paraId="4C671D83">
      <w:pPr>
        <w:adjustRightInd w:val="0"/>
        <w:snapToGrid w:val="0"/>
        <w:spacing w:line="358"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4、生效时间：</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年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日</w:t>
      </w:r>
    </w:p>
    <w:tbl>
      <w:tblPr>
        <w:tblStyle w:val="5"/>
        <w:tblW w:w="0" w:type="auto"/>
        <w:jc w:val="center"/>
        <w:tblLayout w:type="fixed"/>
        <w:tblCellMar>
          <w:top w:w="0" w:type="dxa"/>
          <w:left w:w="108" w:type="dxa"/>
          <w:bottom w:w="0" w:type="dxa"/>
          <w:right w:w="108" w:type="dxa"/>
        </w:tblCellMar>
      </w:tblPr>
      <w:tblGrid>
        <w:gridCol w:w="4643"/>
        <w:gridCol w:w="4643"/>
      </w:tblGrid>
      <w:tr w14:paraId="51D9315E">
        <w:tblPrEx>
          <w:tblCellMar>
            <w:top w:w="0" w:type="dxa"/>
            <w:left w:w="108" w:type="dxa"/>
            <w:bottom w:w="0" w:type="dxa"/>
            <w:right w:w="108" w:type="dxa"/>
          </w:tblCellMar>
        </w:tblPrEx>
        <w:trPr>
          <w:jc w:val="center"/>
        </w:trPr>
        <w:tc>
          <w:tcPr>
            <w:tcW w:w="4643" w:type="dxa"/>
            <w:noWrap w:val="0"/>
            <w:vAlign w:val="top"/>
          </w:tcPr>
          <w:p w14:paraId="1B32A000">
            <w:pPr>
              <w:widowControl/>
              <w:autoSpaceDE w:val="0"/>
              <w:autoSpaceDN w:val="0"/>
              <w:snapToGrid w:val="0"/>
              <w:spacing w:line="358"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甲方名称</w:t>
            </w:r>
            <w:r>
              <w:rPr>
                <w:rFonts w:hint="eastAsia" w:ascii="宋体" w:hAnsi="宋体" w:eastAsia="宋体" w:cs="宋体"/>
                <w:spacing w:val="-20"/>
                <w:kern w:val="0"/>
                <w:sz w:val="24"/>
                <w:szCs w:val="24"/>
                <w:highlight w:val="none"/>
              </w:rPr>
              <w:t>（盖章）</w:t>
            </w:r>
            <w:r>
              <w:rPr>
                <w:rFonts w:hint="eastAsia" w:ascii="宋体" w:hAnsi="宋体" w:eastAsia="宋体" w:cs="宋体"/>
                <w:kern w:val="0"/>
                <w:sz w:val="24"/>
                <w:szCs w:val="24"/>
                <w:highlight w:val="none"/>
              </w:rPr>
              <w:t>：</w:t>
            </w:r>
          </w:p>
          <w:p w14:paraId="29050FAD">
            <w:pPr>
              <w:widowControl/>
              <w:autoSpaceDE w:val="0"/>
              <w:autoSpaceDN w:val="0"/>
              <w:snapToGrid w:val="0"/>
              <w:spacing w:line="358"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地址：</w:t>
            </w:r>
          </w:p>
          <w:p w14:paraId="7C54B858">
            <w:pPr>
              <w:widowControl/>
              <w:autoSpaceDE w:val="0"/>
              <w:autoSpaceDN w:val="0"/>
              <w:snapToGrid w:val="0"/>
              <w:spacing w:line="358"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代表人（签字）：</w:t>
            </w:r>
          </w:p>
          <w:p w14:paraId="0ADDC560">
            <w:pPr>
              <w:widowControl/>
              <w:autoSpaceDE w:val="0"/>
              <w:autoSpaceDN w:val="0"/>
              <w:snapToGrid w:val="0"/>
              <w:spacing w:line="358"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电话：</w:t>
            </w:r>
          </w:p>
          <w:p w14:paraId="74CB217F">
            <w:pPr>
              <w:widowControl/>
              <w:autoSpaceDE w:val="0"/>
              <w:autoSpaceDN w:val="0"/>
              <w:snapToGrid w:val="0"/>
              <w:spacing w:line="358"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开户银行：</w:t>
            </w:r>
          </w:p>
          <w:p w14:paraId="584301FA">
            <w:pPr>
              <w:widowControl/>
              <w:autoSpaceDE w:val="0"/>
              <w:autoSpaceDN w:val="0"/>
              <w:snapToGrid w:val="0"/>
              <w:spacing w:line="358"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帐号：</w:t>
            </w:r>
          </w:p>
          <w:p w14:paraId="31A5C8EB">
            <w:pPr>
              <w:widowControl/>
              <w:autoSpaceDE w:val="0"/>
              <w:autoSpaceDN w:val="0"/>
              <w:snapToGrid w:val="0"/>
              <w:spacing w:line="358"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年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日</w:t>
            </w:r>
          </w:p>
        </w:tc>
        <w:tc>
          <w:tcPr>
            <w:tcW w:w="4643" w:type="dxa"/>
            <w:noWrap w:val="0"/>
            <w:vAlign w:val="top"/>
          </w:tcPr>
          <w:p w14:paraId="10BB8DAC">
            <w:pPr>
              <w:widowControl/>
              <w:autoSpaceDE w:val="0"/>
              <w:autoSpaceDN w:val="0"/>
              <w:snapToGrid w:val="0"/>
              <w:spacing w:line="358"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乙方名称</w:t>
            </w:r>
            <w:r>
              <w:rPr>
                <w:rFonts w:hint="eastAsia" w:ascii="宋体" w:hAnsi="宋体" w:eastAsia="宋体" w:cs="宋体"/>
                <w:spacing w:val="-20"/>
                <w:kern w:val="0"/>
                <w:sz w:val="24"/>
                <w:szCs w:val="24"/>
                <w:highlight w:val="none"/>
              </w:rPr>
              <w:t>（盖章）</w:t>
            </w:r>
            <w:r>
              <w:rPr>
                <w:rFonts w:hint="eastAsia" w:ascii="宋体" w:hAnsi="宋体" w:eastAsia="宋体" w:cs="宋体"/>
                <w:kern w:val="0"/>
                <w:sz w:val="24"/>
                <w:szCs w:val="24"/>
                <w:highlight w:val="none"/>
              </w:rPr>
              <w:t>:</w:t>
            </w:r>
          </w:p>
          <w:p w14:paraId="639A64B0">
            <w:pPr>
              <w:widowControl/>
              <w:autoSpaceDE w:val="0"/>
              <w:autoSpaceDN w:val="0"/>
              <w:snapToGrid w:val="0"/>
              <w:spacing w:line="358"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地址：</w:t>
            </w:r>
          </w:p>
          <w:p w14:paraId="0C261309">
            <w:pPr>
              <w:widowControl/>
              <w:autoSpaceDE w:val="0"/>
              <w:autoSpaceDN w:val="0"/>
              <w:snapToGrid w:val="0"/>
              <w:spacing w:line="358"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代表人（签字）：</w:t>
            </w:r>
          </w:p>
          <w:p w14:paraId="7BB48227">
            <w:pPr>
              <w:widowControl/>
              <w:autoSpaceDE w:val="0"/>
              <w:autoSpaceDN w:val="0"/>
              <w:snapToGrid w:val="0"/>
              <w:spacing w:line="358"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电话：</w:t>
            </w:r>
          </w:p>
          <w:p w14:paraId="59AFEAC4">
            <w:pPr>
              <w:widowControl/>
              <w:autoSpaceDE w:val="0"/>
              <w:autoSpaceDN w:val="0"/>
              <w:snapToGrid w:val="0"/>
              <w:spacing w:line="358"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开户银行：</w:t>
            </w:r>
          </w:p>
          <w:p w14:paraId="439A4CAE">
            <w:pPr>
              <w:widowControl/>
              <w:autoSpaceDE w:val="0"/>
              <w:autoSpaceDN w:val="0"/>
              <w:snapToGrid w:val="0"/>
              <w:spacing w:line="358"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帐号：</w:t>
            </w:r>
          </w:p>
          <w:p w14:paraId="17C7859A">
            <w:pPr>
              <w:widowControl/>
              <w:autoSpaceDE w:val="0"/>
              <w:autoSpaceDN w:val="0"/>
              <w:snapToGrid w:val="0"/>
              <w:spacing w:line="358"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年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日</w:t>
            </w:r>
          </w:p>
        </w:tc>
      </w:tr>
    </w:tbl>
    <w:p w14:paraId="335E5884"/>
    <w:p w14:paraId="12D30F75">
      <w:pPr>
        <w:pStyle w:val="4"/>
      </w:pPr>
    </w:p>
    <w:p w14:paraId="51782F13"/>
    <w:p w14:paraId="125B4BA5">
      <w:pPr>
        <w:pStyle w:val="4"/>
      </w:pPr>
    </w:p>
    <w:p w14:paraId="3C97C40E"/>
    <w:p w14:paraId="0EE99FF7">
      <w:pPr>
        <w:pStyle w:val="4"/>
      </w:pPr>
    </w:p>
    <w:p w14:paraId="30492A37"/>
    <w:p w14:paraId="50A69F3B">
      <w:pPr>
        <w:pStyle w:val="4"/>
      </w:pPr>
    </w:p>
    <w:p w14:paraId="74B61527"/>
    <w:p w14:paraId="55F604E2">
      <w:pPr>
        <w:pStyle w:val="4"/>
      </w:pPr>
    </w:p>
    <w:p w14:paraId="4EDB6D5D"/>
    <w:p w14:paraId="28DD85E0">
      <w:pPr>
        <w:pStyle w:val="4"/>
      </w:pPr>
    </w:p>
    <w:p w14:paraId="2BF5DB02"/>
    <w:p w14:paraId="35278A50">
      <w:pPr>
        <w:pStyle w:val="4"/>
      </w:pPr>
    </w:p>
    <w:p w14:paraId="1C0E5FBD"/>
    <w:p w14:paraId="10767BFA">
      <w:pPr>
        <w:pStyle w:val="4"/>
      </w:pPr>
    </w:p>
    <w:p w14:paraId="2B60EFFE"/>
    <w:p w14:paraId="7CBC3DD8">
      <w:pPr>
        <w:pStyle w:val="4"/>
      </w:pPr>
    </w:p>
    <w:p w14:paraId="650D1B96"/>
    <w:p w14:paraId="17F054B9">
      <w:pPr>
        <w:pStyle w:val="4"/>
      </w:pPr>
    </w:p>
    <w:p w14:paraId="2315F528"/>
    <w:p w14:paraId="76727536">
      <w:pPr>
        <w:pStyle w:val="4"/>
      </w:pPr>
    </w:p>
    <w:p w14:paraId="1CC8650C"/>
    <w:p w14:paraId="27687E31">
      <w:pPr>
        <w:pStyle w:val="4"/>
      </w:pPr>
    </w:p>
    <w:p w14:paraId="023D0EF3"/>
    <w:p w14:paraId="31351FA5">
      <w:pPr>
        <w:pStyle w:val="4"/>
      </w:pPr>
    </w:p>
    <w:p w14:paraId="04D50246">
      <w:pPr>
        <w:rPr>
          <w:rFonts w:hint="default"/>
          <w:sz w:val="32"/>
          <w:szCs w:val="32"/>
          <w:lang w:val="en-US" w:eastAsia="zh-CN"/>
        </w:rPr>
      </w:pPr>
      <w:r>
        <w:rPr>
          <w:rFonts w:hint="eastAsia"/>
          <w:sz w:val="32"/>
          <w:szCs w:val="32"/>
          <w:lang w:val="en-US" w:eastAsia="zh-CN"/>
        </w:rPr>
        <w:drawing>
          <wp:inline distT="0" distB="0" distL="114300" distR="114300">
            <wp:extent cx="2028825" cy="1990725"/>
            <wp:effectExtent l="0" t="0" r="9525" b="9525"/>
            <wp:docPr id="2" name="图片 2" descr="9034ea400250c163d523108448a93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9034ea400250c163d523108448a93af"/>
                    <pic:cNvPicPr>
                      <a:picLocks noChangeAspect="1"/>
                    </pic:cNvPicPr>
                  </pic:nvPicPr>
                  <pic:blipFill>
                    <a:blip r:embed="rId6"/>
                    <a:stretch>
                      <a:fillRect/>
                    </a:stretch>
                  </pic:blipFill>
                  <pic:spPr>
                    <a:xfrm>
                      <a:off x="0" y="0"/>
                      <a:ext cx="2028825" cy="1990725"/>
                    </a:xfrm>
                    <a:prstGeom prst="rect">
                      <a:avLst/>
                    </a:prstGeom>
                  </pic:spPr>
                </pic:pic>
              </a:graphicData>
            </a:graphic>
          </wp:inline>
        </w:drawing>
      </w:r>
      <w:r>
        <w:rPr>
          <w:rFonts w:hint="eastAsia"/>
          <w:sz w:val="32"/>
          <w:szCs w:val="32"/>
          <w:lang w:val="en-US" w:eastAsia="zh-CN"/>
        </w:rPr>
        <w:t xml:space="preserve">    </w:t>
      </w:r>
      <w:r>
        <w:rPr>
          <w:rFonts w:hint="eastAsia"/>
          <w:sz w:val="32"/>
          <w:szCs w:val="32"/>
          <w:lang w:val="en-US" w:eastAsia="zh-CN"/>
        </w:rPr>
        <w:drawing>
          <wp:inline distT="0" distB="0" distL="114300" distR="114300">
            <wp:extent cx="2257425" cy="2200275"/>
            <wp:effectExtent l="0" t="0" r="9525" b="9525"/>
            <wp:docPr id="4" name="图片 4" descr="90a8cfb36261b1b74e452fb166a069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90a8cfb36261b1b74e452fb166a069f"/>
                    <pic:cNvPicPr>
                      <a:picLocks noChangeAspect="1"/>
                    </pic:cNvPicPr>
                  </pic:nvPicPr>
                  <pic:blipFill>
                    <a:blip r:embed="rId7"/>
                    <a:stretch>
                      <a:fillRect/>
                    </a:stretch>
                  </pic:blipFill>
                  <pic:spPr>
                    <a:xfrm>
                      <a:off x="0" y="0"/>
                      <a:ext cx="2257425" cy="2200275"/>
                    </a:xfrm>
                    <a:prstGeom prst="rect">
                      <a:avLst/>
                    </a:prstGeom>
                  </pic:spPr>
                </pic:pic>
              </a:graphicData>
            </a:graphic>
          </wp:inline>
        </w:drawing>
      </w:r>
      <w:r>
        <w:rPr>
          <w:rFonts w:hint="eastAsia"/>
          <w:sz w:val="32"/>
          <w:szCs w:val="32"/>
          <w:lang w:val="en-US" w:eastAsia="zh-CN"/>
        </w:rPr>
        <w:t xml:space="preserve"> </w:t>
      </w:r>
    </w:p>
    <w:p w14:paraId="18CB6D7E">
      <w:pPr>
        <w:ind w:firstLine="640" w:firstLineChars="200"/>
        <w:rPr>
          <w:rFonts w:hint="eastAsia"/>
          <w:sz w:val="32"/>
          <w:szCs w:val="32"/>
          <w:lang w:val="en-US" w:eastAsia="zh-CN"/>
        </w:rPr>
      </w:pPr>
      <w:r>
        <w:rPr>
          <w:rFonts w:hint="eastAsia"/>
          <w:sz w:val="32"/>
          <w:szCs w:val="32"/>
          <w:lang w:val="en-US" w:eastAsia="zh-CN"/>
        </w:rPr>
        <w:t>红十字标志             中国红十字会会徽</w:t>
      </w:r>
    </w:p>
    <w:p w14:paraId="42675E1D">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备注：必须是白底红十字！</w:t>
      </w:r>
    </w:p>
    <w:p w14:paraId="026CD3FC">
      <w:pPr>
        <w:rPr>
          <w:rFonts w:hint="eastAsia" w:ascii="黑体" w:hAnsi="黑体" w:eastAsia="黑体" w:cs="黑体"/>
          <w:sz w:val="32"/>
          <w:szCs w:val="32"/>
          <w:lang w:val="en-US" w:eastAsia="zh-CN"/>
        </w:rPr>
      </w:pPr>
    </w:p>
    <w:p w14:paraId="45B9AF6D">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drawing>
          <wp:inline distT="0" distB="0" distL="114300" distR="114300">
            <wp:extent cx="5610225" cy="1659890"/>
            <wp:effectExtent l="0" t="0" r="9525" b="16510"/>
            <wp:docPr id="5" name="图片 5" descr="bacb329500c68da4738c8a09e8d08c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bacb329500c68da4738c8a09e8d08c7"/>
                    <pic:cNvPicPr>
                      <a:picLocks noChangeAspect="1"/>
                    </pic:cNvPicPr>
                  </pic:nvPicPr>
                  <pic:blipFill>
                    <a:blip r:embed="rId8"/>
                    <a:stretch>
                      <a:fillRect/>
                    </a:stretch>
                  </pic:blipFill>
                  <pic:spPr>
                    <a:xfrm>
                      <a:off x="0" y="0"/>
                      <a:ext cx="5610225" cy="1659890"/>
                    </a:xfrm>
                    <a:prstGeom prst="rect">
                      <a:avLst/>
                    </a:prstGeom>
                  </pic:spPr>
                </pic:pic>
              </a:graphicData>
            </a:graphic>
          </wp:inline>
        </w:drawing>
      </w:r>
    </w:p>
    <w:p w14:paraId="16CB7587">
      <w:pPr>
        <w:rPr>
          <w:rFonts w:hint="eastAsia" w:ascii="黑体" w:hAnsi="黑体" w:eastAsia="黑体" w:cs="黑体"/>
          <w:sz w:val="32"/>
          <w:szCs w:val="32"/>
          <w:lang w:val="en-US" w:eastAsia="zh-CN"/>
        </w:rPr>
      </w:pPr>
    </w:p>
    <w:p w14:paraId="6DE8049B">
      <w:pP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drawing>
          <wp:inline distT="0" distB="0" distL="114300" distR="114300">
            <wp:extent cx="1990090" cy="1990090"/>
            <wp:effectExtent l="0" t="0" r="10160" b="10160"/>
            <wp:docPr id="6" name="图片 6" descr="54125ac8bbe3cef15a5a8a9e46bc51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54125ac8bbe3cef15a5a8a9e46bc51d"/>
                    <pic:cNvPicPr>
                      <a:picLocks noChangeAspect="1"/>
                    </pic:cNvPicPr>
                  </pic:nvPicPr>
                  <pic:blipFill>
                    <a:blip r:embed="rId9"/>
                    <a:stretch>
                      <a:fillRect/>
                    </a:stretch>
                  </pic:blipFill>
                  <pic:spPr>
                    <a:xfrm>
                      <a:off x="0" y="0"/>
                      <a:ext cx="1990090" cy="1990090"/>
                    </a:xfrm>
                    <a:prstGeom prst="rect">
                      <a:avLst/>
                    </a:prstGeom>
                  </pic:spPr>
                </pic:pic>
              </a:graphicData>
            </a:graphic>
          </wp:inline>
        </w:drawing>
      </w:r>
      <w:r>
        <w:rPr>
          <w:rFonts w:hint="eastAsia" w:ascii="黑体" w:hAnsi="黑体" w:eastAsia="黑体" w:cs="黑体"/>
          <w:sz w:val="32"/>
          <w:szCs w:val="32"/>
          <w:lang w:val="en-US" w:eastAsia="zh-CN"/>
        </w:rPr>
        <w:t xml:space="preserve">  陕西省红十字会公众号二维码</w:t>
      </w:r>
    </w:p>
    <w:p w14:paraId="7FF8ECB9">
      <w:pP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背面：</w:t>
      </w:r>
    </w:p>
    <w:p w14:paraId="1944A857">
      <w:pPr>
        <w:rPr>
          <w:rFonts w:hint="default"/>
          <w:sz w:val="32"/>
          <w:szCs w:val="32"/>
          <w:lang w:val="en-US" w:eastAsia="zh-CN"/>
        </w:rPr>
      </w:pPr>
      <w:r>
        <w:rPr>
          <w:rFonts w:hint="default"/>
          <w:sz w:val="32"/>
          <w:szCs w:val="32"/>
          <w:lang w:val="en-US" w:eastAsia="zh-CN"/>
        </w:rPr>
        <w:drawing>
          <wp:inline distT="0" distB="0" distL="114300" distR="114300">
            <wp:extent cx="1409065" cy="1409065"/>
            <wp:effectExtent l="0" t="0" r="635" b="635"/>
            <wp:docPr id="3" name="图片 3" descr="省红十字会公众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省红十字会公众号"/>
                    <pic:cNvPicPr>
                      <a:picLocks noChangeAspect="1"/>
                    </pic:cNvPicPr>
                  </pic:nvPicPr>
                  <pic:blipFill>
                    <a:blip r:embed="rId10"/>
                    <a:stretch>
                      <a:fillRect/>
                    </a:stretch>
                  </pic:blipFill>
                  <pic:spPr>
                    <a:xfrm>
                      <a:off x="0" y="0"/>
                      <a:ext cx="1409065" cy="1409065"/>
                    </a:xfrm>
                    <a:prstGeom prst="rect">
                      <a:avLst/>
                    </a:prstGeom>
                  </pic:spPr>
                </pic:pic>
              </a:graphicData>
            </a:graphic>
          </wp:inline>
        </w:drawing>
      </w:r>
    </w:p>
    <w:p w14:paraId="28A5AAB9">
      <w:pPr>
        <w:rPr>
          <w:rFonts w:hint="default"/>
          <w:sz w:val="32"/>
          <w:szCs w:val="32"/>
          <w:lang w:val="en-US" w:eastAsia="zh-CN"/>
        </w:rPr>
      </w:pPr>
      <w:r>
        <w:rPr>
          <w:rFonts w:hint="eastAsia"/>
          <w:sz w:val="32"/>
          <w:szCs w:val="32"/>
          <w:lang w:val="en-US" w:eastAsia="zh-CN"/>
        </w:rPr>
        <w:t>陕西省红十字服务号</w:t>
      </w:r>
    </w:p>
    <w:p w14:paraId="5518E864">
      <w:pPr>
        <w:rPr>
          <w:rFonts w:hint="eastAsia"/>
          <w:sz w:val="32"/>
          <w:szCs w:val="32"/>
          <w:lang w:val="en-US" w:eastAsia="zh-CN"/>
        </w:rPr>
      </w:pPr>
      <w:r>
        <w:rPr>
          <w:rFonts w:hint="eastAsia"/>
          <w:sz w:val="32"/>
          <w:szCs w:val="32"/>
          <w:lang w:val="en-US" w:eastAsia="zh-CN"/>
        </w:rPr>
        <w:t>（红十字会员注册、造血干细胞捐献登记、捐赠途径）</w:t>
      </w:r>
    </w:p>
    <w:p w14:paraId="0157A8E6">
      <w:pPr>
        <w:rPr>
          <w:rFonts w:hint="eastAsia"/>
          <w:sz w:val="32"/>
          <w:szCs w:val="32"/>
          <w:lang w:val="en-US" w:eastAsia="zh-CN"/>
        </w:rPr>
      </w:pPr>
    </w:p>
    <w:p w14:paraId="5514ECA1">
      <w:pPr>
        <w:rPr>
          <w:rFonts w:hint="eastAsia"/>
          <w:sz w:val="32"/>
          <w:szCs w:val="32"/>
          <w:lang w:val="en-US" w:eastAsia="zh-CN"/>
        </w:rPr>
      </w:pPr>
    </w:p>
    <w:p w14:paraId="1AAC205A">
      <w:pPr>
        <w:rPr>
          <w:rFonts w:hint="eastAsia"/>
          <w:sz w:val="32"/>
          <w:szCs w:val="32"/>
          <w:lang w:val="en-US" w:eastAsia="zh-CN"/>
        </w:rPr>
      </w:pPr>
      <w:r>
        <w:rPr>
          <w:rFonts w:hint="eastAsia"/>
          <w:sz w:val="32"/>
          <w:szCs w:val="32"/>
          <w:lang w:val="en-US" w:eastAsia="zh-CN"/>
        </w:rPr>
        <w:t>红十字志愿者注册途径：</w:t>
      </w:r>
    </w:p>
    <w:p w14:paraId="77834617">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中国红十字志愿者网站（https://hszzyz.zhiyuanyun.com/）</w:t>
      </w:r>
      <w:r>
        <w:rPr>
          <w:rFonts w:hint="eastAsia" w:ascii="仿宋" w:hAnsi="仿宋" w:eastAsia="仿宋" w:cs="仿宋"/>
          <w:sz w:val="32"/>
          <w:szCs w:val="32"/>
          <w:lang w:val="en-US" w:eastAsia="zh-CN"/>
        </w:rPr>
        <w:br w:type="textWrapping"/>
      </w:r>
    </w:p>
    <w:p w14:paraId="6E178B1E">
      <w:pPr>
        <w:rPr>
          <w:rFonts w:hint="eastAsia" w:ascii="仿宋" w:hAnsi="仿宋" w:eastAsia="仿宋" w:cs="仿宋"/>
          <w:sz w:val="32"/>
          <w:szCs w:val="32"/>
          <w:lang w:val="en-US" w:eastAsia="zh-CN"/>
        </w:rPr>
      </w:pPr>
    </w:p>
    <w:p w14:paraId="782BCADE">
      <w:pPr>
        <w:rPr>
          <w:rFonts w:hint="eastAsia" w:ascii="仿宋" w:hAnsi="仿宋" w:eastAsia="仿宋" w:cs="仿宋"/>
          <w:sz w:val="32"/>
          <w:szCs w:val="32"/>
          <w:lang w:val="en-US" w:eastAsia="zh-CN"/>
        </w:rPr>
      </w:pPr>
    </w:p>
    <w:p w14:paraId="26B60B87">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drawing>
          <wp:inline distT="0" distB="0" distL="114300" distR="114300">
            <wp:extent cx="1171575" cy="1171575"/>
            <wp:effectExtent l="0" t="0" r="9525" b="9525"/>
            <wp:docPr id="1" name="图片 1" descr="微信图片_20240926154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40926154706"/>
                    <pic:cNvPicPr>
                      <a:picLocks noChangeAspect="1"/>
                    </pic:cNvPicPr>
                  </pic:nvPicPr>
                  <pic:blipFill>
                    <a:blip r:embed="rId11"/>
                    <a:stretch>
                      <a:fillRect/>
                    </a:stretch>
                  </pic:blipFill>
                  <pic:spPr>
                    <a:xfrm>
                      <a:off x="0" y="0"/>
                      <a:ext cx="1171575" cy="1171575"/>
                    </a:xfrm>
                    <a:prstGeom prst="rect">
                      <a:avLst/>
                    </a:prstGeom>
                  </pic:spPr>
                </pic:pic>
              </a:graphicData>
            </a:graphic>
          </wp:inline>
        </w:drawing>
      </w:r>
      <w:r>
        <w:rPr>
          <w:rFonts w:hint="eastAsia" w:ascii="仿宋" w:hAnsi="仿宋" w:eastAsia="仿宋" w:cs="仿宋"/>
          <w:sz w:val="32"/>
          <w:szCs w:val="32"/>
          <w:lang w:val="en-US" w:eastAsia="zh-CN"/>
        </w:rPr>
        <w:t xml:space="preserve"> </w:t>
      </w:r>
    </w:p>
    <w:p w14:paraId="1EC71E26">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人体器官捐献登记 </w:t>
      </w:r>
    </w:p>
    <w:p w14:paraId="3E12F627">
      <w:pPr>
        <w:rPr>
          <w:rFonts w:hint="default"/>
          <w:sz w:val="32"/>
          <w:szCs w:val="32"/>
          <w:lang w:val="en-US" w:eastAsia="zh-CN"/>
        </w:rPr>
      </w:pPr>
    </w:p>
    <w:p w14:paraId="010D7325">
      <w:pPr>
        <w:pStyle w:val="4"/>
      </w:pPr>
    </w:p>
    <w:p w14:paraId="52DE22DF">
      <w:pPr>
        <w:pStyle w:val="4"/>
      </w:pPr>
      <w:bookmarkStart w:id="5" w:name="_GoBack"/>
      <w:bookmarkEnd w:id="5"/>
    </w:p>
    <w:sectPr>
      <w:pgSz w:w="11906" w:h="16838"/>
      <w:pgMar w:top="2098" w:right="1474" w:bottom="1984" w:left="158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AC9F2B"/>
    <w:multiLevelType w:val="singleLevel"/>
    <w:tmpl w:val="AEAC9F2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1NWFkYTA1NDZkMzI3NGM4ODJkN2U4NzJkNzNkMWYifQ=="/>
  </w:docVars>
  <w:rsids>
    <w:rsidRoot w:val="4B3B7EA6"/>
    <w:rsid w:val="109E413F"/>
    <w:rsid w:val="4B3B7EA6"/>
    <w:rsid w:val="722E5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b/>
      <w:bCs/>
      <w:kern w:val="44"/>
      <w:sz w:val="30"/>
      <w:szCs w:val="44"/>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6.pn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2328</Words>
  <Characters>2365</Characters>
  <Lines>0</Lines>
  <Paragraphs>0</Paragraphs>
  <TotalTime>0</TotalTime>
  <ScaleCrop>false</ScaleCrop>
  <LinksUpToDate>false</LinksUpToDate>
  <CharactersWithSpaces>2534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2024-09-24T09:20:00Z</dcterms:created>
  <dc:creator>赵晨</dc:creator>
  <cp:lastModifiedBy>Administrator</cp:lastModifiedBy>
  <dcterms:modified xsi:type="dcterms:W3CDTF">2024-09-29T09:01:54Z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12D398B542C342ECA8BD7788CC3046C9_12</vt:lpwstr>
  </property>
</Properties>
</file>