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陕西省林草湿荒普查省级图斑调整优化——渭南市、安康市、商洛市省级图斑调整优化项目</w:t>
      </w:r>
    </w:p>
    <w:p>
      <w:pPr>
        <w:pStyle w:val="null3"/>
        <w:jc w:val="center"/>
        <w:outlineLvl w:val="2"/>
      </w:pPr>
      <w:r>
        <w:rPr>
          <w:sz w:val="28"/>
          <w:b/>
        </w:rPr>
        <w:t>采购项目编号：</w:t>
      </w:r>
      <w:r>
        <w:rPr>
          <w:sz w:val="28"/>
          <w:b/>
        </w:rPr>
        <w:t>SXXZ-ZB-2024021</w:t>
      </w:r>
      <w:r>
        <w:br/>
      </w:r>
      <w:r>
        <w:br/>
      </w:r>
      <w:r>
        <w:br/>
      </w:r>
    </w:p>
    <w:p>
      <w:pPr>
        <w:pStyle w:val="null3"/>
        <w:jc w:val="center"/>
        <w:outlineLvl w:val="2"/>
      </w:pPr>
      <w:r>
        <w:rPr>
          <w:sz w:val="28"/>
          <w:b/>
        </w:rPr>
        <w:t>陕西省林业调查规划院（陕西省森林资源监测中心）</w:t>
      </w:r>
    </w:p>
    <w:p>
      <w:pPr>
        <w:pStyle w:val="null3"/>
        <w:jc w:val="center"/>
        <w:outlineLvl w:val="2"/>
      </w:pPr>
      <w:r>
        <w:rPr>
          <w:sz w:val="28"/>
          <w:b/>
        </w:rPr>
        <w:t>陕西兴正工程造价咨询有限公司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陕西兴正工程造价咨询有限公司</w:t>
      </w:r>
      <w:r>
        <w:rPr/>
        <w:t>（以下简称“代理机构”）受</w:t>
      </w:r>
      <w:r>
        <w:rPr/>
        <w:t>陕西省林业调查规划院（陕西省森林资源监测中心）</w:t>
      </w:r>
      <w:r>
        <w:rPr/>
        <w:t>委托，拟对</w:t>
      </w:r>
      <w:r>
        <w:rPr/>
        <w:t>陕西省林草湿荒普查省级图斑调整优化——渭南市、安康市、商洛市省级图斑调整优化项目</w:t>
      </w:r>
      <w:r>
        <w:rPr/>
        <w:t>进行国内公开招标，兹邀请符合本次招标要求的供应商参加投标。</w:t>
      </w:r>
    </w:p>
    <w:p>
      <w:pPr>
        <w:pStyle w:val="null3"/>
        <w:outlineLvl w:val="2"/>
      </w:pPr>
      <w:r>
        <w:rPr>
          <w:sz w:val="28"/>
          <w:b/>
        </w:rPr>
        <w:t>一、采购项目编号：</w:t>
      </w:r>
      <w:r>
        <w:rPr>
          <w:sz w:val="28"/>
          <w:b/>
        </w:rPr>
        <w:t>SXXZ-ZB-2024021</w:t>
      </w:r>
    </w:p>
    <w:p>
      <w:pPr>
        <w:pStyle w:val="null3"/>
        <w:outlineLvl w:val="2"/>
      </w:pPr>
      <w:r>
        <w:rPr>
          <w:sz w:val="28"/>
          <w:b/>
        </w:rPr>
        <w:t>二、采购项目名称：</w:t>
      </w:r>
      <w:r>
        <w:rPr>
          <w:sz w:val="28"/>
          <w:b/>
        </w:rPr>
        <w:t>陕西省林草湿荒普查省级图斑调整优化——渭南市、安康市、商洛市省级图斑调整优化项目</w:t>
      </w:r>
    </w:p>
    <w:p>
      <w:pPr>
        <w:pStyle w:val="null3"/>
        <w:outlineLvl w:val="2"/>
      </w:pPr>
      <w:r>
        <w:rPr>
          <w:sz w:val="28"/>
          <w:b/>
        </w:rPr>
        <w:t>三、招标项目简介</w:t>
      </w:r>
    </w:p>
    <w:p>
      <w:pPr>
        <w:pStyle w:val="null3"/>
        <w:ind w:firstLine="480"/>
      </w:pPr>
      <w:r>
        <w:rPr/>
        <w:t>陕西省林草湿荒普查省级图斑调整优化——渭南市、安康市、商洛市省级图斑调整优化项目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投标人为具有独立承担民事责任能力的法人、其他组织或自然人。企业法人应提供合法有效的标识有统一社会信用代码的营业执照；事业法人应提供事业单位法人证书；其他组织应提供合法登记证明文件；</w:t>
      </w:r>
    </w:p>
    <w:p>
      <w:pPr>
        <w:pStyle w:val="null3"/>
      </w:pPr>
      <w:r>
        <w:rPr/>
        <w:t>2、企业资质：投标人应具备测绘乙级及以上资质或林业调查规划设计乙级及以上资质；项目负责人需具备相关专业中级（含中级）及以上职称；</w:t>
      </w:r>
    </w:p>
    <w:p>
      <w:pPr>
        <w:pStyle w:val="null3"/>
      </w:pPr>
      <w:r>
        <w:rPr/>
        <w:t>3、法定代表人授权委托书：法定代表人或负责人授权书（附法定代表人或负责人身份证复印件）及被授权人身份证；（法定代表人或负责人直接参加开标只须提供法定代表人或负责人身份证）；</w:t>
      </w:r>
    </w:p>
    <w:p>
      <w:pPr>
        <w:pStyle w:val="null3"/>
      </w:pPr>
      <w:r>
        <w:rPr/>
        <w:t>4、信用记录：投标人不得为“中国执行信息公开网”（http://zxgk.court.gov.cn/shixin/）中列入失信被执行人、不得为“信用中国”网站（www.creditchina.gov.cn）重大税收违法案件当事人和政府采购不良行为记录名单的投标人，不得为中国政府采购网（www.ccgp.gov.cn）政府采购严重违法失信行为记录名单中被财政部门禁止参加政府采购活动的投标人；</w:t>
      </w:r>
    </w:p>
    <w:p>
      <w:pPr>
        <w:pStyle w:val="null3"/>
      </w:pPr>
      <w:r>
        <w:rPr/>
        <w:t>5、控股管理关系：单位负责人为同一人或者存在控股、管理关系的不同单位不得同时参加投标；</w:t>
      </w:r>
    </w:p>
    <w:p>
      <w:pPr>
        <w:pStyle w:val="null3"/>
      </w:pPr>
      <w:r>
        <w:rPr/>
        <w:t>6、法律、行政法规规定的其他条件；：投标人需在项目电子化交易系统中按要求上传相应证明文件并进行电子签章。</w:t>
      </w:r>
    </w:p>
    <w:p>
      <w:pPr>
        <w:pStyle w:val="null3"/>
      </w:pPr>
      <w:r>
        <w:rPr/>
        <w:t>7、本项目不接受联合体 投标：本项目不接受联合体投标。（提供承诺或相关说明并加盖公章）。</w:t>
      </w:r>
    </w:p>
    <w:p>
      <w:pPr>
        <w:pStyle w:val="null3"/>
      </w:pPr>
      <w:r>
        <w:rPr/>
        <w:t>8、财务状况报告：须提供2022年度或2023年度经财务审计资质单位出具的财务报告（至少包括审计报告、资产负债表、利润表、现金流量表、所有者权益变动表及其附注，成立时间至提交投标文件截止时间不足一年的可提供成立后任意时段的资产负债表）；或在开标日期前三个月内其基本开户银行出具的资信证明,并提供基本存款账户信息；或财政部门认可的政府采购专业担保机构出具的投标担保函（以上三种形式的资料提供任何一种即可）；</w:t>
      </w:r>
    </w:p>
    <w:p>
      <w:pPr>
        <w:pStyle w:val="null3"/>
      </w:pPr>
      <w:r>
        <w:rPr/>
        <w:t>9、具备履行合同所必需的 设备和专业技术能力的证明：具备履行合同所必需的设备和专业技术能力的证明材料(由投标人根据项目需求提供说明材料或者承诺)；</w:t>
      </w:r>
    </w:p>
    <w:p>
      <w:pPr>
        <w:pStyle w:val="null3"/>
      </w:pPr>
      <w:r>
        <w:rPr/>
        <w:t>10、税收缴纳证明和社会保障资金缴纳证明：依法缴纳税收和社会保障资金的良好记录。依法缴纳税收的良好记录（提供截止至开标时间前6个月内任意一个月的纳税证明或完税证明,依法免税的单位应提供相关证明材料）；依法缴纳社会保障资金的良好记录（提供截止至开标时间前6个月内任意一个月的缴费凭据或社保机构开具的社会保险参保缴费情况证明，依法不需要缴纳社会保障资金的单位应提供相关证明材料）；</w:t>
      </w:r>
    </w:p>
    <w:p>
      <w:pPr>
        <w:pStyle w:val="null3"/>
      </w:pPr>
      <w:r>
        <w:rPr/>
        <w:t>11、书面声明：参加政府采购活动前3年内在经营活动中没有重大违法记录的书面声明；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陕西省林业调查规划院（陕西省森林资源监测中心）</w:t>
      </w:r>
    </w:p>
    <w:p>
      <w:pPr>
        <w:pStyle w:val="null3"/>
      </w:pPr>
      <w:r>
        <w:rPr/>
        <w:t xml:space="preserve"> 地址： </w:t>
      </w:r>
      <w:r>
        <w:rPr/>
        <w:t>西安市西关正街233号</w:t>
      </w:r>
    </w:p>
    <w:p>
      <w:pPr>
        <w:pStyle w:val="null3"/>
      </w:pPr>
      <w:r>
        <w:rPr/>
        <w:t xml:space="preserve"> 邮编： </w:t>
      </w:r>
      <w:r>
        <w:rPr/>
        <w:t>/</w:t>
      </w:r>
    </w:p>
    <w:p>
      <w:pPr>
        <w:pStyle w:val="null3"/>
      </w:pPr>
      <w:r>
        <w:rPr/>
        <w:t xml:space="preserve"> 联系人： </w:t>
      </w:r>
      <w:r>
        <w:rPr/>
        <w:t>李吉鹏</w:t>
      </w:r>
    </w:p>
    <w:p>
      <w:pPr>
        <w:pStyle w:val="null3"/>
      </w:pPr>
      <w:r>
        <w:rPr/>
        <w:t xml:space="preserve"> 联系电话： </w:t>
      </w:r>
      <w:r>
        <w:rPr/>
        <w:t>029-84233312</w:t>
      </w:r>
    </w:p>
    <w:p>
      <w:pPr>
        <w:pStyle w:val="null3"/>
        <w:outlineLvl w:val="2"/>
      </w:pPr>
      <w:r>
        <w:rPr>
          <w:sz w:val="28"/>
          <w:b/>
        </w:rPr>
        <w:t>代理机构：</w:t>
      </w:r>
      <w:r>
        <w:rPr>
          <w:sz w:val="28"/>
          <w:b/>
        </w:rPr>
        <w:t>陕西兴正工程造价咨询有限公司</w:t>
      </w:r>
    </w:p>
    <w:p>
      <w:pPr>
        <w:pStyle w:val="null3"/>
      </w:pPr>
      <w:r>
        <w:rPr/>
        <w:t xml:space="preserve"> 地址： </w:t>
      </w:r>
      <w:r>
        <w:rPr/>
        <w:t>陕西省西安市未央区西安经济技术开发区文景北路16号白桦林国际B座1602室</w:t>
      </w:r>
    </w:p>
    <w:p>
      <w:pPr>
        <w:pStyle w:val="null3"/>
      </w:pPr>
      <w:r>
        <w:rPr/>
        <w:t xml:space="preserve"> 邮编： </w:t>
      </w:r>
      <w:r>
        <w:rPr/>
        <w:t>710000</w:t>
      </w:r>
    </w:p>
    <w:p>
      <w:pPr>
        <w:pStyle w:val="null3"/>
      </w:pPr>
      <w:r>
        <w:rPr/>
        <w:t xml:space="preserve"> 联系人： </w:t>
      </w:r>
      <w:r>
        <w:rPr/>
        <w:t>王雪娟</w:t>
      </w:r>
    </w:p>
    <w:p>
      <w:pPr>
        <w:pStyle w:val="null3"/>
      </w:pPr>
      <w:r>
        <w:rPr/>
        <w:t xml:space="preserve"> 联系电话： </w:t>
      </w:r>
      <w:r>
        <w:rPr/>
        <w:t>029-86111316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采购包1：737,434.00元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代理服务费收费标准：由中标单位在领取中标通知书时，一次性支付采购代理机构。 招标代理服务费：依据《国家计委关于印发&lt;招标代理服务收费管理 暂行办法&gt;的通知》(计价格〔2002〕1980号)、《国家发展改革委员会办公厅关于招标代理服务收费有关问题的通知》（发改办价格〔2003〕857号）计取。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陕西省林业调查规划院（陕西省森林资源监测中心）</w:t>
      </w:r>
      <w:r>
        <w:rPr/>
        <w:t>和</w:t>
      </w:r>
      <w:r>
        <w:rPr/>
        <w:t>陕西兴正工程造价咨询有限公司</w:t>
      </w:r>
      <w:r>
        <w:rPr/>
        <w:t>享有。对招标文件中供应商参加本次政府采购活动应当具备的条件，招标项目技术、服务、商务及其他要求，评标细则及标准由</w:t>
      </w:r>
      <w:r>
        <w:rPr/>
        <w:t>陕西省林业调查规划院（陕西省森林资源监测中心）</w:t>
      </w:r>
      <w:r>
        <w:rPr/>
        <w:t>负责解释。除上述招标文件内容，其他内容由</w:t>
      </w:r>
      <w:r>
        <w:rPr/>
        <w:t>陕西兴正工程造价咨询有限公司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陕西省林业调查规划院（陕西省森林资源监测中心）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陕西兴正工程造价咨询有限公司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符合国家行业验收合格标准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陕西兴正工程造价咨询有限公司</w:t>
      </w:r>
      <w:r>
        <w:rPr/>
        <w:t xml:space="preserve"> 负责答复；供应商对除采购需求外的采购文件的询问、质疑由</w:t>
      </w:r>
      <w:r>
        <w:rPr/>
        <w:t>陕西兴正工程造价咨询有限公司</w:t>
      </w:r>
      <w:r>
        <w:rPr/>
        <w:t xml:space="preserve"> 负责答复；供应商对采购过程、采购结果的询问、质疑由 </w:t>
      </w:r>
      <w:r>
        <w:rPr/>
        <w:t>陕西兴正工程造价咨询有限公司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联系人：王雪娟</w:t>
      </w:r>
    </w:p>
    <w:p>
      <w:pPr>
        <w:pStyle w:val="null3"/>
      </w:pPr>
      <w:r>
        <w:rPr/>
        <w:t>联系电话：029-86111316</w:t>
      </w:r>
    </w:p>
    <w:p>
      <w:pPr>
        <w:pStyle w:val="null3"/>
      </w:pPr>
      <w:r>
        <w:rPr/>
        <w:t>地址：陕西省西安市经济技术开发区文景北路16号白桦林国际B座1602室陕西兴正工程造价咨询有限公司</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陕西省林草湿荒普查省级图斑调整优化——渭南市、安康市、商洛市省级图斑调整优化项目招标项目。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737,434.00</w:t>
      </w:r>
    </w:p>
    <w:p>
      <w:pPr>
        <w:pStyle w:val="null3"/>
      </w:pPr>
      <w:r>
        <w:rPr/>
        <w:t>采购包最高限价（元）: 737,434.00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项目服务</w:t>
            </w:r>
          </w:p>
        </w:tc>
        <w:tc>
          <w:tcPr>
            <w:tcW w:type="dxa" w:w="831"/>
          </w:tcPr>
          <w:p>
            <w:pPr>
              <w:pStyle w:val="null3"/>
              <w:jc w:val="right"/>
            </w:pPr>
            <w:r>
              <w:rPr/>
              <w:t>1.00</w:t>
            </w:r>
          </w:p>
        </w:tc>
        <w:tc>
          <w:tcPr>
            <w:tcW w:type="dxa" w:w="831"/>
          </w:tcPr>
          <w:p>
            <w:pPr>
              <w:pStyle w:val="null3"/>
              <w:jc w:val="right"/>
            </w:pPr>
            <w:r>
              <w:rPr/>
              <w:t>737,434.00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标的名称：项目服务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一、项目目标 完成渭南市、安康市、商洛市林草湿荒普查省级图斑调整优化任务。 二、工作内容及要求 1. 资料准备 利用渭南市、安康市、商洛市2023年国土变更调查数据库、2023年国土变更调查影像和2023年林草生态综合监测成果，做好图斑调整优化准备工作。 2. 调整优化 在不突破国土变更调查数据库中二级地类图斑边界的基础上，对渭南市、安康市、商洛市在地类对接数据融合过程中产生的非林地图斑，与国士变更调查成果中非林地图斑边界进行对接优化，合并由于分割产生的非林地碎小图斑，优化林草湿荒普查基础数据库，满足林草湿荒普查技术要求。 3. 成果汇交 参照国家下发的不一致图斑矢量数据内容，汇交渭南市、安康市、商洛市林草湿荒普查省级图斑调整优化成果。 三、数据保密 1. 投标人应严格遵守国家关于安全保密的法律法规，确保数据的安全。 2. 投标人应保证调整优化成果的准确性。 3. 投标人应严格遵守采购方的保密管理规定，确保内网工作环境安全运行。 四、人员配备 1. 为保证项目进度，投标人应承诺投入本项目的工作人员数量充足，能够保证项目顺利实施。 2. 投标单位应具备乙级或以上林业调查规划设计资质或测绘资质。 五、项目时间 合同期限：合同签订之日起至林草湿荒普查省级图斑调整优化</w:t>
            </w:r>
            <w:r>
              <w:br/>
            </w:r>
            <w:r>
              <w:rPr/>
              <w:t xml:space="preserve"> 任务完成后1个月内，具体按照采购人要求。 六、工作成果 1. 渭南市、安康市、商洛市林草湿荒普查省级图斑调整优化矢量数据成果 2. 渭南市、安康市、商洛市林草湿荒普查省级图斑调整优化数据统计成果</w:t>
            </w:r>
          </w:p>
        </w:tc>
      </w:tr>
    </w:tbl>
    <w:p>
      <w:pPr>
        <w:pStyle w:val="null3"/>
        <w:outlineLvl w:val="3"/>
      </w:pPr>
      <w:r>
        <w:rPr>
          <w:sz w:val="24"/>
          <w:b/>
        </w:rPr>
        <w:t>3.2.3人员配置要求</w:t>
      </w:r>
    </w:p>
    <w:p>
      <w:pPr>
        <w:pStyle w:val="null3"/>
      </w:pPr>
      <w:r>
        <w:rPr/>
        <w:t>采购包1：</w:t>
      </w:r>
    </w:p>
    <w:p>
      <w:pPr>
        <w:pStyle w:val="null3"/>
      </w:pPr>
      <w:r>
        <w:rPr/>
        <w:t>为保证项目进度，投标人应承诺投入本项目的工作人员数量充足，能够保证项目顺利实施。</w:t>
      </w:r>
    </w:p>
    <w:p>
      <w:pPr>
        <w:pStyle w:val="null3"/>
        <w:outlineLvl w:val="3"/>
      </w:pPr>
      <w:r>
        <w:rPr>
          <w:sz w:val="24"/>
          <w:b/>
        </w:rPr>
        <w:t>3.2.4设施设备配置要求</w:t>
      </w:r>
    </w:p>
    <w:p>
      <w:pPr>
        <w:pStyle w:val="null3"/>
      </w:pPr>
      <w:r>
        <w:rPr/>
        <w:t>采购包1：</w:t>
      </w:r>
    </w:p>
    <w:p>
      <w:pPr>
        <w:pStyle w:val="null3"/>
      </w:pPr>
      <w:r>
        <w:rPr/>
        <w:t>/</w:t>
      </w:r>
    </w:p>
    <w:p>
      <w:pPr>
        <w:pStyle w:val="null3"/>
        <w:outlineLvl w:val="3"/>
      </w:pPr>
      <w:r>
        <w:rPr>
          <w:sz w:val="24"/>
          <w:b/>
        </w:rPr>
        <w:t>3.2.5其他要求</w:t>
      </w:r>
    </w:p>
    <w:p>
      <w:pPr>
        <w:pStyle w:val="null3"/>
      </w:pPr>
      <w:r>
        <w:rPr/>
        <w:t>采购包1：</w:t>
      </w:r>
    </w:p>
    <w:p>
      <w:pPr>
        <w:pStyle w:val="null3"/>
      </w:pPr>
      <w:r>
        <w:rPr/>
        <w:t>一、交货时间、服务期： 1、合同期限：合同签订之日起至林草湿荒普查省级图斑调整优化任务完成后1个月内，具体按照采购人要求。 2、交货地点：招标人指定地点。 3、质量要求：合格 二、项目目标： 完成渭南市、安康市、商洛市林草湿荒普查省级图斑调整优化任务。 三、工作内容及要求： 1、资料准备；利用渭南市、安康市、商洛市2023年国土变更调查数据库、2023年国土变更调查影像和2023年林草生态综合监测成果，做好图斑调整优化准备工作。 2、调整优化；在不突破国土变更调查数据库中二级地类图斑边界的基础上，对渭南市、安康市、商洛市在地类对接数据融合过程中产生的非林地图斑，与国士变更调查成果中非林地图斑边界进行对接优化，合并由于分割产生的非林地碎小图斑，优化林草湿荒普查基础数据库，满足林草湿荒普查技术要求。 3、成果汇交；参照国家下发的不一致图斑矢量数据内容，汇交渭南市、安康市、商洛市林草湿荒普查省级图斑调整优化成果。 四、数据保密： 1、投标人应严格遵守国家关于安全保密的法律法规，确保数据的安全。 2、投标人应保证调整优化成果的准确性。 3、投标人应严格遵守采购方的保密管理规定，确保内网工作环境安全运行。 五、工作成果： 1、渭南市、安康市、商洛市林草湿荒普查省级图斑调整优化矢量数据成果 。 2、渭南市、安康市、商洛市林草湿荒普查省级图斑调整优化数据统计成果。 六、人员配备： 1、为保证项目进度，投标人应承诺投入本项目的工作人员数量充足，能够保证项目顺利实施。 七、付款方式： 本合同总金额共计： 元。 1、付款条件说明：合同生效后，达到付款条件起7日内，支付至合同总金额的60.00%。 2、付款条件说明：成交供应商提交所有成果报告且验收合格后达到付款条件起7日内支付至合同总金额的100.00%。 八、质量保证： 1、在服务范围内按工作内容和要求制定详细的方案，方案科学、合理、可靠。 2、人员配备合理。有针对本项目的专项服务小组，项目负责人、工作人员分工明确（应有具体成员名单，包括姓名、工作职责、联系方式等） 3、有各类突发事件的应急预案和措施24小时到场，有明确具体的承诺。 4、供应商所拟派的工作人员，若在服务期间发生任何伤害，采购人概不负责，由供应商自行处理。 九、考核验收： 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2、服务商向采购人提供服务过程中的所有资料,以便采购人日后管理和维护。 3、验收依据 3.1招标文件、投标文件、澄清表（函）； 3.2本合同及附件文本； 3.3国家相应的标准、规范。 十、服务成果： 1、服务资料； 2、服务结果； 服务单位应按期提交完整的服务成果，成果所有权属于陕西省林业调查规划院（陕西省森林资源监测中心），未经同意不得擅自对外发表或出版。 3、服务承诺：响应单位应遵照国家规范规定的技术服务内容及要求作出明确承诺。 十、合同实施： 1、中标人应在合同签订后7个日历日内安排人员（项目组成人员简历表所列）与使用单位就此项目等一系列工作进行安排、部署。 2、若未能完成合同规定的义务，由此对采购人造成的延误和一切损失，将由中标人的履约保证金弥补采购人的损失。 十一、违约责任： 按《中华人民共和国政府采购法》、《中华人民共和国民法典》中的相关条款执行。 未按合同要求提供产品质量不能满足技术要求，采购人有权终止合同，并对供方违约行为进行追究，同时按《招投标法》的有关规定进行处罚。 未按合同或招标文件要求的或者质量不能满足采购人要求的，采购单位有权终止合同，甚至对供应商违约行为进行追究。 投标单位的投标文件为签订正式书面合同书不可分割的部分，投标响应应履行相应的责任。 注：商务要求为实质性要求，不得负偏离。</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合同签订之日起至林草湿荒普查省级图斑调整优化任务完成后1个月内，具体按照采购人要求。</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对标合同条款内容，通过专家组审核后交付甲方验收合格通过的技术服务。</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合同生效后</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成交供应商提交所有成果报告且验收合格后</w:t>
      </w:r>
      <w:r>
        <w:rPr/>
        <w:t xml:space="preserve"> ，达到付款条件起 </w:t>
      </w:r>
      <w:r>
        <w:rPr/>
        <w:t>7</w:t>
      </w:r>
      <w:r>
        <w:rPr/>
        <w:t xml:space="preserve"> 日内，支付合同总金额的 </w:t>
      </w:r>
      <w:r>
        <w:rPr/>
        <w:t>40.00</w:t>
      </w:r>
      <w:r>
        <w:rPr/>
        <w:t>%。</w:t>
      </w:r>
    </w:p>
    <w:p>
      <w:pPr>
        <w:pStyle w:val="null3"/>
        <w:outlineLvl w:val="3"/>
      </w:pPr>
      <w:r>
        <w:rPr>
          <w:sz w:val="24"/>
          <w:b/>
        </w:rPr>
        <w:t>3.3.6违约责任与解决争议的方法</w:t>
      </w:r>
    </w:p>
    <w:p>
      <w:pPr>
        <w:pStyle w:val="null3"/>
      </w:pPr>
      <w:r>
        <w:rPr/>
        <w:t>采购包1：</w:t>
      </w:r>
    </w:p>
    <w:p>
      <w:pPr>
        <w:pStyle w:val="null3"/>
      </w:pPr>
      <w:r>
        <w:rPr/>
        <w:t>按《中华人民共和国政府采购法》《中华人民共和国民法典》中的相关条款执行。</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服务内容及服务邀请应答表 投标函 残疾人福利性单位声明函 中小企业声明函 商务应答表 服务方案 标的清单 投标文件封面 投标人应提交的相关资格证明材料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开标一览表 服务内容及服务邀请应答表 投标函 中小企业声明函 残疾人福利性单位声明函 商务应答表 服务方案 标的清单 投标文件封面 投标人应提交的相关资格证明材料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投标人为具有独立承担民事责任能力的法人、其他组织或自然人。企业法人应提供合法有效的标识有统一社会信用代码的营业执照；事业法人应提供事业单位法人证书；其他组织应提供合法登记证明文件；</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投标人应具备测绘乙级及以上资质或林业调查规划设计乙级及以上资质；项目负责人需具备相关专业中级（含中级）及以上职称；</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法定代表人授权委托书</w:t>
            </w:r>
          </w:p>
        </w:tc>
        <w:tc>
          <w:tcPr>
            <w:tcW w:type="dxa" w:w="3322"/>
          </w:tcPr>
          <w:p>
            <w:pPr>
              <w:pStyle w:val="null3"/>
            </w:pPr>
            <w:r>
              <w:rPr/>
              <w:t>法定代表人或负责人授权书（附法定代表人或负责人身份证复印件）及被授权人身份证；（法定代表人或负责人直接参加开标只须提供法定代表人或负责人身份证）；</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投标人不得为“中国执行信息公开网”（http://zxgk.court.gov.cn/shixin/）中列入失信被执行人、不得为“信用中国”网站（www.creditchina.gov.cn）重大税收违法案件当事人和政府采购不良行为记录名单的投标人，不得为中国政府采购网（www.ccgp.gov.cn）政府采购严重违法失信行为记录名单中被财政部门禁止参加政府采购活动的投标人；</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控股管理关系</w:t>
            </w:r>
          </w:p>
        </w:tc>
        <w:tc>
          <w:tcPr>
            <w:tcW w:type="dxa" w:w="3322"/>
          </w:tcPr>
          <w:p>
            <w:pPr>
              <w:pStyle w:val="null3"/>
            </w:pPr>
            <w:r>
              <w:rPr/>
              <w:t>单位负责人为同一人或者存在控股、管理关系的不同单位不得同时参加投标；</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法律、行政法规规定的其他条件；</w:t>
            </w:r>
          </w:p>
        </w:tc>
        <w:tc>
          <w:tcPr>
            <w:tcW w:type="dxa" w:w="3322"/>
          </w:tcPr>
          <w:p>
            <w:pPr>
              <w:pStyle w:val="null3"/>
            </w:pPr>
            <w:r>
              <w:rPr/>
              <w:t>投标人需在项目电子化交易系统中按要求上传相应证明文件并进行电子签章。</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7</w:t>
            </w:r>
          </w:p>
        </w:tc>
        <w:tc>
          <w:tcPr>
            <w:tcW w:type="dxa" w:w="2492"/>
          </w:tcPr>
          <w:p>
            <w:pPr>
              <w:pStyle w:val="null3"/>
            </w:pPr>
            <w:r>
              <w:rPr/>
              <w:t>本项目不接受联合体 投标</w:t>
            </w:r>
          </w:p>
        </w:tc>
        <w:tc>
          <w:tcPr>
            <w:tcW w:type="dxa" w:w="3322"/>
          </w:tcPr>
          <w:p>
            <w:pPr>
              <w:pStyle w:val="null3"/>
            </w:pPr>
            <w:r>
              <w:rPr/>
              <w:t>本项目不接受联合体投标。（提供承诺或相关说明并加盖公章）。</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8</w:t>
            </w:r>
          </w:p>
        </w:tc>
        <w:tc>
          <w:tcPr>
            <w:tcW w:type="dxa" w:w="2492"/>
          </w:tcPr>
          <w:p>
            <w:pPr>
              <w:pStyle w:val="null3"/>
            </w:pPr>
            <w:r>
              <w:rPr/>
              <w:t>财务状况报告</w:t>
            </w:r>
          </w:p>
        </w:tc>
        <w:tc>
          <w:tcPr>
            <w:tcW w:type="dxa" w:w="3322"/>
          </w:tcPr>
          <w:p>
            <w:pPr>
              <w:pStyle w:val="null3"/>
            </w:pPr>
            <w:r>
              <w:rPr/>
              <w:t>须提供2022年度或2023年度经财务审计资质单位出具的财务报告（至少包括审计报告、资产负债表、利润表、现金流量表、所有者权益变动表及其附注，成立时间至提交投标文件截止时间不足一年的可提供成立后任意时段的资产负债表）；或在开标日期前三个月内其基本开户银行出具的资信证明,并提供基本存款账户信息；或财政部门认可的政府采购专业担保机构出具的投标担保函（以上三种形式的资料提供任何一种即可）；</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9</w:t>
            </w:r>
          </w:p>
        </w:tc>
        <w:tc>
          <w:tcPr>
            <w:tcW w:type="dxa" w:w="2492"/>
          </w:tcPr>
          <w:p>
            <w:pPr>
              <w:pStyle w:val="null3"/>
            </w:pPr>
            <w:r>
              <w:rPr/>
              <w:t>具备履行合同所必需的 设备和专业技术能力的证明</w:t>
            </w:r>
          </w:p>
        </w:tc>
        <w:tc>
          <w:tcPr>
            <w:tcW w:type="dxa" w:w="3322"/>
          </w:tcPr>
          <w:p>
            <w:pPr>
              <w:pStyle w:val="null3"/>
            </w:pPr>
            <w:r>
              <w:rPr/>
              <w:t>具备履行合同所必需的设备和专业技术能力的证明材料(由投标人根据项目需求提供说明材料或者承诺)；</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10</w:t>
            </w:r>
          </w:p>
        </w:tc>
        <w:tc>
          <w:tcPr>
            <w:tcW w:type="dxa" w:w="2492"/>
          </w:tcPr>
          <w:p>
            <w:pPr>
              <w:pStyle w:val="null3"/>
            </w:pPr>
            <w:r>
              <w:rPr/>
              <w:t>税收缴纳证明和社会保障资金缴纳证明</w:t>
            </w:r>
          </w:p>
        </w:tc>
        <w:tc>
          <w:tcPr>
            <w:tcW w:type="dxa" w:w="3322"/>
          </w:tcPr>
          <w:p>
            <w:pPr>
              <w:pStyle w:val="null3"/>
            </w:pPr>
            <w:r>
              <w:rPr/>
              <w:t>依法缴纳税收和社会保障资金的良好记录。依法缴纳税收的良好记录（提供截止至开标时间前6个月内任意一个月的纳税证明或完税证明,依法免税的单位应提供相关证明材料）；依法缴纳社会保障资金的良好记录（提供截止至开标时间前6个月内任意一个月的缴费凭据或社保机构开具的社会保险参保缴费情况证明，依法不需要缴纳社会保障资金的单位应提供相关证明材料）；</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11</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本项目为非专门面向中小企业采购</w:t>
            </w:r>
          </w:p>
        </w:tc>
        <w:tc>
          <w:tcPr>
            <w:tcW w:type="dxa" w:w="3322"/>
          </w:tcPr>
          <w:p>
            <w:pPr>
              <w:pStyle w:val="null3"/>
            </w:pPr>
            <w:r>
              <w:rPr/>
              <w:t>本项目为非专门面向中小企业采购</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与营业执照一致</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投标文件是否按照招标文件要求的格式编写，内容是否有重大缺漏项</w:t>
            </w:r>
          </w:p>
        </w:tc>
        <w:tc>
          <w:tcPr>
            <w:tcW w:type="dxa" w:w="1661"/>
          </w:tcPr>
          <w:p>
            <w:pPr>
              <w:pStyle w:val="null3"/>
            </w:pPr>
            <w:r>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投标文件签字盖章</w:t>
            </w:r>
          </w:p>
        </w:tc>
        <w:tc>
          <w:tcPr>
            <w:tcW w:type="dxa" w:w="3322"/>
          </w:tcPr>
          <w:p>
            <w:pPr>
              <w:pStyle w:val="null3"/>
            </w:pPr>
            <w:r>
              <w:rPr/>
              <w:t>投标文件的签署、加盖印章是否合格、有效</w:t>
            </w:r>
          </w:p>
        </w:tc>
        <w:tc>
          <w:tcPr>
            <w:tcW w:type="dxa" w:w="1661"/>
          </w:tcPr>
          <w:p>
            <w:pPr>
              <w:pStyle w:val="null3"/>
            </w:pPr>
            <w:r>
              <w:rPr/>
              <w:t>投标文件封面</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投标人提交的响应文件中只有一个有效报价</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有效报价</w:t>
            </w:r>
          </w:p>
        </w:tc>
        <w:tc>
          <w:tcPr>
            <w:tcW w:type="dxa" w:w="3322"/>
          </w:tcPr>
          <w:p>
            <w:pPr>
              <w:pStyle w:val="null3"/>
            </w:pPr>
            <w:r>
              <w:rPr/>
              <w:t>投标报价是否超过招标最高限价</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是否符合招标文件的要求</w:t>
            </w:r>
          </w:p>
        </w:tc>
        <w:tc>
          <w:tcPr>
            <w:tcW w:type="dxa" w:w="1661"/>
          </w:tcPr>
          <w:p>
            <w:pPr>
              <w:pStyle w:val="null3"/>
            </w:pPr>
            <w:r>
              <w:rPr/>
              <w:t>投标文件封面</w:t>
            </w:r>
          </w:p>
        </w:tc>
      </w:tr>
      <w:tr>
        <w:tc>
          <w:tcPr>
            <w:tcW w:type="dxa" w:w="831"/>
          </w:tcPr>
          <w:p>
            <w:pPr>
              <w:pStyle w:val="null3"/>
            </w:pPr>
            <w:r>
              <w:rPr/>
              <w:t>8</w:t>
            </w:r>
          </w:p>
        </w:tc>
        <w:tc>
          <w:tcPr>
            <w:tcW w:type="dxa" w:w="2492"/>
          </w:tcPr>
          <w:p>
            <w:pPr>
              <w:pStyle w:val="null3"/>
            </w:pPr>
            <w:r>
              <w:rPr/>
              <w:t>合同期限</w:t>
            </w:r>
          </w:p>
        </w:tc>
        <w:tc>
          <w:tcPr>
            <w:tcW w:type="dxa" w:w="3322"/>
          </w:tcPr>
          <w:p>
            <w:pPr>
              <w:pStyle w:val="null3"/>
            </w:pPr>
            <w:r>
              <w:rPr/>
              <w:t>是否符合招标文件的要求</w:t>
            </w:r>
          </w:p>
        </w:tc>
        <w:tc>
          <w:tcPr>
            <w:tcW w:type="dxa" w:w="1661"/>
          </w:tcPr>
          <w:p>
            <w:pPr>
              <w:pStyle w:val="null3"/>
            </w:pPr>
            <w:r>
              <w:rPr/>
              <w:t>投标文件封面</w:t>
            </w:r>
          </w:p>
        </w:tc>
      </w:tr>
      <w:tr>
        <w:tc>
          <w:tcPr>
            <w:tcW w:type="dxa" w:w="831"/>
          </w:tcPr>
          <w:p>
            <w:pPr>
              <w:pStyle w:val="null3"/>
            </w:pPr>
            <w:r>
              <w:rPr/>
              <w:t>9</w:t>
            </w:r>
          </w:p>
        </w:tc>
        <w:tc>
          <w:tcPr>
            <w:tcW w:type="dxa" w:w="2492"/>
          </w:tcPr>
          <w:p>
            <w:pPr>
              <w:pStyle w:val="null3"/>
            </w:pPr>
            <w:r>
              <w:rPr/>
              <w:t>质量要求</w:t>
            </w:r>
          </w:p>
        </w:tc>
        <w:tc>
          <w:tcPr>
            <w:tcW w:type="dxa" w:w="3322"/>
          </w:tcPr>
          <w:p>
            <w:pPr>
              <w:pStyle w:val="null3"/>
            </w:pPr>
            <w:r>
              <w:rPr/>
              <w:t>是否符合招标文件的要求</w:t>
            </w:r>
          </w:p>
        </w:tc>
        <w:tc>
          <w:tcPr>
            <w:tcW w:type="dxa" w:w="1661"/>
          </w:tcPr>
          <w:p>
            <w:pPr>
              <w:pStyle w:val="null3"/>
            </w:pPr>
            <w:r>
              <w:rPr/>
              <w:t>投标文件封面</w:t>
            </w:r>
          </w:p>
        </w:tc>
      </w:tr>
      <w:tr>
        <w:tc>
          <w:tcPr>
            <w:tcW w:type="dxa" w:w="831"/>
          </w:tcPr>
          <w:p>
            <w:pPr>
              <w:pStyle w:val="null3"/>
            </w:pPr>
            <w:r>
              <w:rPr/>
              <w:t>10</w:t>
            </w:r>
          </w:p>
        </w:tc>
        <w:tc>
          <w:tcPr>
            <w:tcW w:type="dxa" w:w="2492"/>
          </w:tcPr>
          <w:p>
            <w:pPr>
              <w:pStyle w:val="null3"/>
            </w:pPr>
            <w:r>
              <w:rPr/>
              <w:t>投标文件的响应内容</w:t>
            </w:r>
          </w:p>
        </w:tc>
        <w:tc>
          <w:tcPr>
            <w:tcW w:type="dxa" w:w="3322"/>
          </w:tcPr>
          <w:p>
            <w:pPr>
              <w:pStyle w:val="null3"/>
            </w:pPr>
            <w:r>
              <w:rPr/>
              <w:t>投标文件响应内容是否符合国家法律法规，是否实质性响应了招标文件技术要求的全部条款、条件和规格 要求；</w:t>
            </w:r>
          </w:p>
        </w:tc>
        <w:tc>
          <w:tcPr>
            <w:tcW w:type="dxa" w:w="1661"/>
          </w:tcPr>
          <w:p>
            <w:pPr>
              <w:pStyle w:val="null3"/>
            </w:pPr>
            <w:r>
              <w:rPr/>
              <w:t>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方案包含但不限于以下内容：（1）资料准备；（2）调整优化；（3）成果汇交： 1、对项目的了解程度：根据投标人对本项目采购及服务需求的理解程度、准确性。根据响应程度计［0~5]分，未提供不得分。 2、项目重难点分析：对项目工作重点、难点认识准确，描述清晰，能对重难点提出针对性的措施，措施具体可行。根据响应程度计［0~5]分，未提供不得分。 3、实施方案：根据文件内容及要求做出具体响应内容、列出具体服务方案，思路清晰，内容全面完整，满足项目的需求，服务方案细致具体可操作性强贴近项目情况得［14-20]分； 投标人根据文件内容及要求做出部分响应，具有服务方案可操作性一般得［7-14）分； 投标人对文件内容做出部分响应，服务方案不具备可操作性得［0-7）； 未响应文件要求或未提供服务方案得0分。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方案内容满足采购需求、内容详细，质量目标及控制措施完整，符合实际，针对性强，能够完全体现出项目质量保障措施，切实可行，控制措施合理，得［6～10]分； 方案内容满足采购需求，能够体现出项目质量保障措施，控制措施基本可行的得［4～6）分； 方案内容思路清楚，质量控制方案可行，能体现出项目质量措施，控制措施有瑕疵，得［2～4）分； 方案内容简单，技术方案不够完善，控制措施有明显欠缺，得［0～2）分；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项目进度保证措施</w:t>
            </w:r>
          </w:p>
        </w:tc>
        <w:tc>
          <w:tcPr>
            <w:tcW w:type="dxa" w:w="2492"/>
          </w:tcPr>
          <w:p>
            <w:pPr>
              <w:pStyle w:val="null3"/>
            </w:pPr>
            <w:r>
              <w:rPr/>
              <w:t>根据投标人所提供的项目进度保证措施的合理性进行综合比较评分。 进度保证措施内容详细、合理，得［6～10]分； 进度保证措施内容基本合理，得［3～6）分； 进度保证措施内容不完善，内容欠缺，得［0～3）分；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风险管理措施方案</w:t>
            </w:r>
          </w:p>
        </w:tc>
        <w:tc>
          <w:tcPr>
            <w:tcW w:type="dxa" w:w="2492"/>
          </w:tcPr>
          <w:p>
            <w:pPr>
              <w:pStyle w:val="null3"/>
            </w:pPr>
            <w:r>
              <w:rPr/>
              <w:t>根据投标人提供的风险管理措施方案内容的完整性进行综合比较评分。方案内容详细、合理，得［6～10]分； 方案内容基本合理，得［3～6）分； 方案内容不完善，内容欠缺，得［0～3）分；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数据管理措施方案</w:t>
            </w:r>
          </w:p>
        </w:tc>
        <w:tc>
          <w:tcPr>
            <w:tcW w:type="dxa" w:w="2492"/>
          </w:tcPr>
          <w:p>
            <w:pPr>
              <w:pStyle w:val="null3"/>
            </w:pPr>
            <w:r>
              <w:rPr/>
              <w:t>对项目需求完全理解，数据安全管理体系制度健全，项目数据管理措施完整得当，符合国家要求和项目需要，可以完全实现数据快速交付，并提供详细、可行的技术方案的得［6～10］分； 对项目需求基本理解、基本实现数据的快速交付，有相关保密制度，项目保密措施基本完整，技术方案较详细、基本可行的得［3～6）分； 对项目需求初步理解、提供技术方案有缺项或与本项目不相适应的得［0～3）分；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项目团队成员专业搭配合理，具备本项目采购内容的专业技术知识以及项目建设经验，提供完整的项目团队信息和分工信息，项目负责人信息明确，组织结构完整,由专家进行横向综合比较评分。 项目团队成员专业搭配合理，具备测绘遥感类相关的专业技术知识以及项目建设经验，提供完整的项目团队信息和分工信息，项目负责人信息明确，组织结构完整，由专家进行横向综合比较评分。［0-4］分 注：：需要提供项目负责人身份证、职称证复印件以及投标截止时间前六个月内任意一个月本单位为其缴纳社保的证明，或劳动合同或聘用合同复印件。</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提供的售后服务的及时性和保障措施的方案进行评价。 方案的可靠性、可信度、合理性高的得［6～10］分； 方案的可靠性、可信度、合理性良好的得［3～6）分； 方案的可靠性、可信度、合理性一般的得［0～3）分；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投标人提供2021年1月1日以来类似项目业绩（以合同签订日期为准），每份合格业绩合同计1分，满分3分；备注：须提供完整合同业绩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2、每提供一份对应合格业绩的服务好评（以被服务单位加盖公章的好评证明材料为计分依据，格式自拟），得1分，满分3分。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采用低价优先法计算，即满足招标文件要求且报价最低的投标报价为评标基准价，其价格分为满分。 报价得分＝（评标基准价/投标报价）×10 注： 1、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 2、符合磋商文件规定的小微企业、监狱企业、残疾人福利企业优惠条件的投标人，用扣除后的价格参与评审。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本项目授权评标委员会直接确认中标供应商，确认后代理机构在陕西省政府采购网上发布中标公告，同时向中标供应商发出中标通知书。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