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color w:val="FF0000"/>
          <w:sz w:val="24"/>
        </w:rPr>
        <w:t xml:space="preserve"> </w:t>
      </w:r>
    </w:p>
    <w:p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971"/>
        <w:gridCol w:w="1263"/>
        <w:gridCol w:w="1033"/>
        <w:gridCol w:w="1033"/>
        <w:gridCol w:w="1033"/>
        <w:gridCol w:w="797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8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</w:t>
            </w:r>
          </w:p>
          <w:p>
            <w:pPr>
              <w:kinsoku w:val="0"/>
              <w:spacing w:line="500" w:lineRule="exact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Times New Roman"/>
                <w:sz w:val="24"/>
              </w:rPr>
              <w:t>表内报价内容以元为单位，最多保留小数点后两位。</w:t>
            </w:r>
          </w:p>
          <w:p>
            <w:pPr>
              <w:kinsoku w:val="0"/>
              <w:spacing w:line="500" w:lineRule="exact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2、车辆报价包含但不限于:裸车车价、车辆购置税、保险(交强险+商业险)、车辆上牌期间检测费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牌照费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车辆办理临时牌照费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运费等相关费用。</w:t>
            </w:r>
            <w:bookmarkStart w:id="0" w:name="_GoBack"/>
            <w:bookmarkEnd w:id="0"/>
          </w:p>
        </w:tc>
      </w:tr>
    </w:tbl>
    <w:p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注：本表中的“投标报价”与“开标一览表”中的“投标报价”一致,各子项分别报价。</w:t>
      </w:r>
    </w:p>
    <w:p>
      <w:pPr>
        <w:pStyle w:val="3"/>
        <w:rPr>
          <w:rFonts w:hint="eastAsia" w:hAnsi="宋体"/>
          <w:sz w:val="24"/>
          <w:szCs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</w:t>
      </w:r>
    </w:p>
    <w:p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47941187"/>
    <w:rsid w:val="041339C4"/>
    <w:rsid w:val="47941187"/>
    <w:rsid w:val="7DE4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Plain Text"/>
    <w:basedOn w:val="1"/>
    <w:autoRedefine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2024-03-15T01:18:00Z</dcterms:created>
  <dc:creator>浅井音颜★</dc:creator>
  <cp:lastModifiedBy>浅井音颜★</cp:lastModifiedBy>
  <dcterms:modified xsi:type="dcterms:W3CDTF">2024-03-18T09:10:12Z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6CA29ECF7DD34BF1A29C16D37A036E84_11</vt:lpwstr>
  </property>
</Properties>
</file>