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版本号：240929001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西咸院区救护车采购项目</w:t>
      </w:r>
    </w:p>
    <w:p>
      <w:pPr>
        <w:pStyle w:val="null3"/>
        <w:jc w:val="center"/>
        <w:outlineLvl w:val="2"/>
      </w:pPr>
      <w:r>
        <w:rPr>
          <w:sz w:val="28"/>
          <w:b/>
        </w:rPr>
        <w:t>采购项目编号：</w:t>
      </w:r>
      <w:r>
        <w:rPr>
          <w:sz w:val="28"/>
          <w:b/>
        </w:rPr>
        <w:t>KY2024-1-315</w:t>
      </w:r>
      <w:r>
        <w:br/>
      </w:r>
      <w:r>
        <w:br/>
      </w:r>
      <w:r>
        <w:br/>
      </w:r>
    </w:p>
    <w:p>
      <w:pPr>
        <w:pStyle w:val="null3"/>
        <w:jc w:val="center"/>
        <w:outlineLvl w:val="2"/>
      </w:pPr>
      <w:r>
        <w:rPr>
          <w:sz w:val="28"/>
          <w:b/>
        </w:rPr>
        <w:t>陕西省人民医院</w:t>
      </w:r>
    </w:p>
    <w:p>
      <w:pPr>
        <w:pStyle w:val="null3"/>
        <w:jc w:val="center"/>
        <w:outlineLvl w:val="2"/>
      </w:pPr>
      <w:r>
        <w:rPr>
          <w:sz w:val="28"/>
          <w:b/>
        </w:rPr>
        <w:t>陕西开源招标有限公司</w:t>
      </w:r>
      <w:r>
        <w:rPr>
          <w:sz w:val="28"/>
          <w:b/>
        </w:rPr>
        <w:t>共同编制</w:t>
      </w:r>
    </w:p>
    <w:p>
      <w:pPr>
        <w:pStyle w:val="null3"/>
        <w:jc w:val="center"/>
        <w:outlineLvl w:val="2"/>
      </w:pPr>
      <w:r>
        <w:rPr>
          <w:sz w:val="28"/>
          <w:b/>
        </w:rPr>
        <w:t>2024年09月29日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陕西开源招标有限公司</w:t>
      </w:r>
      <w:r>
        <w:rPr/>
        <w:t>（以下简称“代理机构”）受</w:t>
      </w:r>
      <w:r>
        <w:rPr/>
        <w:t>陕西省人民医院</w:t>
      </w:r>
      <w:r>
        <w:rPr/>
        <w:t>委托，拟对</w:t>
      </w:r>
      <w:r>
        <w:rPr/>
        <w:t>西咸院区救护车采购项目</w:t>
      </w:r>
      <w:r>
        <w:rPr/>
        <w:t>进行国内公开招标，兹邀请符合本次招标要求的供应商参加投标。</w:t>
      </w:r>
    </w:p>
    <w:p>
      <w:pPr>
        <w:pStyle w:val="null3"/>
        <w:outlineLvl w:val="2"/>
      </w:pPr>
      <w:r>
        <w:rPr>
          <w:sz w:val="28"/>
          <w:b/>
        </w:rPr>
        <w:t>一、采购项目编号：</w:t>
      </w:r>
      <w:r>
        <w:rPr>
          <w:sz w:val="28"/>
          <w:b/>
        </w:rPr>
        <w:t>KY2024-1-315</w:t>
      </w:r>
    </w:p>
    <w:p>
      <w:pPr>
        <w:pStyle w:val="null3"/>
        <w:outlineLvl w:val="2"/>
      </w:pPr>
      <w:r>
        <w:rPr>
          <w:sz w:val="28"/>
          <w:b/>
        </w:rPr>
        <w:t>二、采购项目名称：</w:t>
      </w:r>
      <w:r>
        <w:rPr>
          <w:sz w:val="28"/>
          <w:b/>
        </w:rPr>
        <w:t>西咸院区救护车采购项目</w:t>
      </w:r>
    </w:p>
    <w:p>
      <w:pPr>
        <w:pStyle w:val="null3"/>
        <w:outlineLvl w:val="2"/>
      </w:pPr>
      <w:r>
        <w:rPr>
          <w:sz w:val="28"/>
          <w:b/>
        </w:rPr>
        <w:t>三、招标项目简介</w:t>
      </w:r>
    </w:p>
    <w:p>
      <w:pPr>
        <w:pStyle w:val="null3"/>
        <w:ind w:firstLine="480"/>
      </w:pPr>
      <w:r>
        <w:rPr/>
        <w:t>陕西省人民医院西咸院区救护车采购，采购数量：5辆，具体内容详见招标文件第三章。</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t>2、财务状况报告：提供2022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t>3、税收缴纳证明：提供2023年1月至今已缴纳的至少一个月的纳税证明或完税证明（时间以税款所属日期为准、税种须包含增值税或企业所得税），依法免税的单位应提供相关证明材料。</w:t>
      </w:r>
    </w:p>
    <w:p>
      <w:pPr>
        <w:pStyle w:val="null3"/>
      </w:pPr>
      <w:r>
        <w:rPr/>
        <w:t>4、社会保障资金缴纳证明：提供2023年1月至今已缴存的至少一个月的社会保障资金缴存单据或社保机构开具的社会保险参保缴费情况证明，依法不需要缴纳社会保障资金的单位应提供相关证明材料。</w:t>
      </w:r>
    </w:p>
    <w:p>
      <w:pPr>
        <w:pStyle w:val="null3"/>
      </w:pPr>
      <w:r>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t>6、承诺函：提供具有履行合同所必需的设备和专业技术能力的承诺函。</w:t>
      </w:r>
    </w:p>
    <w:p>
      <w:pPr>
        <w:pStyle w:val="null3"/>
      </w:pPr>
      <w:r>
        <w:rPr/>
        <w:t>7、法定代表人授权书：法定代表人授权书及被授权人身份证明。（法定代表人直接投标只须提供其身份证明）</w:t>
      </w:r>
    </w:p>
    <w:p>
      <w:pPr>
        <w:pStyle w:val="null3"/>
      </w:pPr>
      <w:r>
        <w:rPr/>
        <w:t>8、特定资质：所投车辆及生产厂家须在工信部发布的《道路机动车辆生产企业及产品公告》内并提供截图。</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陕西省人民医院</w:t>
      </w:r>
    </w:p>
    <w:p>
      <w:pPr>
        <w:pStyle w:val="null3"/>
      </w:pPr>
      <w:r>
        <w:rPr/>
        <w:t xml:space="preserve"> 地址： </w:t>
      </w:r>
      <w:r>
        <w:rPr/>
        <w:t>西安市友谊西路256号</w:t>
      </w:r>
    </w:p>
    <w:p>
      <w:pPr>
        <w:pStyle w:val="null3"/>
      </w:pPr>
      <w:r>
        <w:rPr/>
        <w:t xml:space="preserve"> 邮编： </w:t>
      </w:r>
      <w:r>
        <w:rPr/>
        <w:t>710068</w:t>
      </w:r>
    </w:p>
    <w:p>
      <w:pPr>
        <w:pStyle w:val="null3"/>
      </w:pPr>
      <w:r>
        <w:rPr/>
        <w:t xml:space="preserve"> 联系人： </w:t>
      </w:r>
      <w:r>
        <w:rPr/>
        <w:t>种老师</w:t>
      </w:r>
    </w:p>
    <w:p>
      <w:pPr>
        <w:pStyle w:val="null3"/>
      </w:pPr>
      <w:r>
        <w:rPr/>
        <w:t xml:space="preserve"> 联系电话： </w:t>
      </w:r>
      <w:r>
        <w:rPr/>
        <w:t>029-85251331-3458</w:t>
      </w:r>
    </w:p>
    <w:p>
      <w:pPr>
        <w:pStyle w:val="null3"/>
        <w:outlineLvl w:val="2"/>
      </w:pPr>
      <w:r>
        <w:rPr>
          <w:sz w:val="28"/>
          <w:b/>
        </w:rPr>
        <w:t>代理机构：</w:t>
      </w:r>
      <w:r>
        <w:rPr>
          <w:sz w:val="28"/>
          <w:b/>
        </w:rPr>
        <w:t>陕西开源招标有限公司</w:t>
      </w:r>
    </w:p>
    <w:p>
      <w:pPr>
        <w:pStyle w:val="null3"/>
      </w:pPr>
      <w:r>
        <w:rPr/>
        <w:t xml:space="preserve"> 地址： </w:t>
      </w:r>
      <w:r>
        <w:rPr/>
        <w:t>西安市雁展路1111号莱安中心T6-15层</w:t>
      </w:r>
    </w:p>
    <w:p>
      <w:pPr>
        <w:pStyle w:val="null3"/>
      </w:pPr>
      <w:r>
        <w:rPr/>
        <w:t xml:space="preserve"> 邮编： </w:t>
      </w:r>
      <w:r>
        <w:rPr/>
        <w:t>710000</w:t>
      </w:r>
    </w:p>
    <w:p>
      <w:pPr>
        <w:pStyle w:val="null3"/>
      </w:pPr>
      <w:r>
        <w:rPr/>
        <w:t xml:space="preserve"> 联系人： </w:t>
      </w:r>
      <w:r>
        <w:rPr/>
        <w:t>尚娇、牛佩文、刘金柯、卢韶华</w:t>
      </w:r>
    </w:p>
    <w:p>
      <w:pPr>
        <w:pStyle w:val="null3"/>
      </w:pPr>
      <w:r>
        <w:rPr/>
        <w:t xml:space="preserve"> 联系电话： </w:t>
      </w:r>
      <w:r>
        <w:rPr/>
        <w:t>029-81206622-821</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采购包1：1,750,000.00元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如有</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如有</w:t>
            </w:r>
            <w:r>
              <w:rPr/>
              <w:t>产品属于节能产品政府采购品目清单中应优先采购的产品范围，本项目采购的</w:t>
            </w:r>
            <w:r>
              <w:rPr/>
              <w:t>如有</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采购包1保证金金额：30,000.00元</w:t>
            </w:r>
          </w:p>
          <w:p>
            <w:pPr>
              <w:pStyle w:val="null3"/>
            </w:pPr>
            <w:r>
              <w:rPr/>
              <w:t>缴交渠道：电子保函,转账、支票、汇票等（需通过实体账户、户名及开户行信息）</w:t>
            </w:r>
          </w:p>
          <w:p>
            <w:pPr>
              <w:pStyle w:val="null3"/>
            </w:pPr>
            <w:r>
              <w:rPr/>
              <w:t>开户名称：陕西开源招标有限公司</w:t>
            </w:r>
          </w:p>
          <w:p>
            <w:pPr>
              <w:pStyle w:val="null3"/>
            </w:pPr>
            <w:r>
              <w:rPr/>
              <w:t>开户银行：交通银行西安甜水井街支行</w:t>
            </w:r>
          </w:p>
          <w:p>
            <w:pPr>
              <w:pStyle w:val="null3"/>
            </w:pPr>
            <w:r>
              <w:rPr/>
              <w:t>银行账号：86113010750181501003492</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中标人应依据中标金额向采购代理机构交纳中标服务费，交费金额参照国家计委颁布的《招标代理服务收费管理暂行办法》（计价格[2002]1980号）规定的招标代理服务收费标准，100万以下按规定收取，101万-500万按下浮20%收取，501万-1000万按下浮25%收取，1000万以上按下浮30%收取。 2、本项目中标服务费按货物计取。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陕西省人民医院</w:t>
      </w:r>
      <w:r>
        <w:rPr/>
        <w:t>和</w:t>
      </w:r>
      <w:r>
        <w:rPr/>
        <w:t>陕西开源招标有限公司</w:t>
      </w:r>
      <w:r>
        <w:rPr/>
        <w:t>享有。对招标文件中供应商参加本次政府采购活动应当具备的条件，招标项目技术、服务、商务及其他要求，评标细则及标准由</w:t>
      </w:r>
      <w:r>
        <w:rPr/>
        <w:t>陕西省人民医院</w:t>
      </w:r>
      <w:r>
        <w:rPr/>
        <w:t>负责解释。除上述招标文件内容，其他内容由</w:t>
      </w:r>
      <w:r>
        <w:rPr/>
        <w:t>陕西开源招标有限公司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陕西省人民医院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陕西开源招标有限公司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按照国家标准、招标文件、投标文件及合同约定执行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陕西开源招标有限公司</w:t>
      </w:r>
      <w:r>
        <w:rPr/>
        <w:t xml:space="preserve"> 负责答复；供应商对除采购需求外的采购文件的询问、质疑由</w:t>
      </w:r>
      <w:r>
        <w:rPr/>
        <w:t>陕西开源招标有限公司</w:t>
      </w:r>
      <w:r>
        <w:rPr/>
        <w:t xml:space="preserve"> 负责答复；供应商对采购过程、采购结果的询问、质疑由 </w:t>
      </w:r>
      <w:r>
        <w:rPr/>
        <w:t>陕西开源招标有限公司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联系人：尚娇、牛佩文、刘金柯、卢韶华</w:t>
      </w:r>
    </w:p>
    <w:p>
      <w:pPr>
        <w:pStyle w:val="null3"/>
      </w:pPr>
      <w:r>
        <w:rPr/>
        <w:t>联系电话：029-81206622-821</w:t>
      </w:r>
    </w:p>
    <w:p>
      <w:pPr>
        <w:pStyle w:val="null3"/>
      </w:pPr>
      <w:r>
        <w:rPr/>
        <w:t>地址：西安市雁展路1111号莱安中心T6-15层</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陕西省人民医院西咸院区救护车采购，采购数量：5辆，具体内容详见技术要求。</w:t>
      </w:r>
    </w:p>
    <w:p>
      <w:pPr>
        <w:pStyle w:val="null3"/>
        <w:outlineLvl w:val="2"/>
      </w:pPr>
      <w:r>
        <w:rPr>
          <w:sz w:val="28"/>
          <w:b/>
        </w:rPr>
        <w:t>3.2采购内容</w:t>
      </w:r>
    </w:p>
    <w:p>
      <w:pPr>
        <w:pStyle w:val="null3"/>
      </w:pPr>
      <w:r>
        <w:rPr/>
        <w:t>采购包1：</w:t>
      </w:r>
    </w:p>
    <w:p>
      <w:pPr>
        <w:pStyle w:val="null3"/>
      </w:pPr>
      <w:r>
        <w:rPr/>
        <w:t>采购包预算金额（元）: 1,750,000.00</w:t>
      </w:r>
    </w:p>
    <w:p>
      <w:pPr>
        <w:pStyle w:val="null3"/>
      </w:pPr>
      <w:r>
        <w:rPr/>
        <w:t>采购包最高限价（元）: 1,750,000.00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西咸院区救护车</w:t>
            </w:r>
          </w:p>
        </w:tc>
        <w:tc>
          <w:tcPr>
            <w:tcW w:type="dxa" w:w="831"/>
          </w:tcPr>
          <w:p>
            <w:pPr>
              <w:pStyle w:val="null3"/>
              <w:jc w:val="right"/>
            </w:pPr>
            <w:r>
              <w:rPr/>
              <w:t>1.00</w:t>
            </w:r>
          </w:p>
        </w:tc>
        <w:tc>
          <w:tcPr>
            <w:tcW w:type="dxa" w:w="831"/>
          </w:tcPr>
          <w:p>
            <w:pPr>
              <w:pStyle w:val="null3"/>
              <w:jc w:val="right"/>
            </w:pPr>
            <w:r>
              <w:rPr/>
              <w:t>1,750,000.00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标的名称：西咸院区救护车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sz w:val="24"/>
                <w:b/>
              </w:rPr>
              <w:t>一、采购内容</w:t>
            </w:r>
          </w:p>
          <w:p>
            <w:pPr>
              <w:pStyle w:val="null3"/>
              <w:jc w:val="both"/>
            </w:pPr>
            <w:r>
              <w:rPr>
                <w:rFonts w:ascii="宋体" w:hAnsi="宋体" w:cs="宋体" w:eastAsia="宋体"/>
                <w:sz w:val="21"/>
              </w:rPr>
              <w:t>陕西省人民医院西咸院区救护车采购，采购数量：</w:t>
            </w:r>
            <w:r>
              <w:rPr>
                <w:rFonts w:ascii="宋体" w:hAnsi="宋体" w:cs="宋体" w:eastAsia="宋体"/>
                <w:sz w:val="21"/>
              </w:rPr>
              <w:t>5辆</w:t>
            </w:r>
          </w:p>
        </w:tc>
      </w:tr>
      <w:tr>
        <w:tc>
          <w:tcPr>
            <w:tcW w:type="dxa" w:w="2769"/>
          </w:tcPr>
          <w:p/>
        </w:tc>
        <w:tc>
          <w:tcPr>
            <w:tcW w:type="dxa" w:w="2769"/>
          </w:tcPr>
          <w:p>
            <w:pPr>
              <w:pStyle w:val="null3"/>
            </w:pPr>
            <w:r>
              <w:rPr/>
              <w:t>2</w:t>
            </w:r>
          </w:p>
        </w:tc>
        <w:tc>
          <w:tcPr>
            <w:tcW w:type="dxa" w:w="2769"/>
          </w:tcPr>
          <w:p>
            <w:pPr>
              <w:pStyle w:val="null3"/>
            </w:pPr>
            <w:r>
              <w:rPr>
                <w:rFonts w:ascii="宋体" w:hAnsi="宋体" w:cs="宋体" w:eastAsia="宋体"/>
                <w:sz w:val="24"/>
                <w:b/>
              </w:rPr>
              <w:t>二、技术参数</w:t>
            </w:r>
          </w:p>
          <w:tbl>
            <w:tblPr>
              <w:tblInd w:type="dxa" w:w="225"/>
              <w:tblBorders>
                <w:top w:val="none" w:color="000000" w:sz="4"/>
                <w:left w:val="none" w:color="000000" w:sz="4"/>
                <w:bottom w:val="none" w:color="000000" w:sz="4"/>
                <w:right w:val="none" w:color="000000" w:sz="4"/>
                <w:insideH w:val="none"/>
                <w:insideV w:val="none"/>
              </w:tblBorders>
            </w:tblPr>
            <w:tblGrid>
              <w:gridCol w:w="230"/>
              <w:gridCol w:w="566"/>
              <w:gridCol w:w="1757"/>
            </w:tblGrid>
            <w:tr>
              <w:tc>
                <w:tcPr>
                  <w:tcW w:type="dxa" w:w="2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宋体" w:hAnsi="宋体" w:cs="宋体" w:eastAsia="宋体"/>
                      <w:sz w:val="24"/>
                      <w:b/>
                    </w:rPr>
                    <w:t>序号</w:t>
                  </w:r>
                </w:p>
              </w:tc>
              <w:tc>
                <w:tcPr>
                  <w:tcW w:type="dxa" w:w="56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宋体" w:hAnsi="宋体" w:cs="宋体" w:eastAsia="宋体"/>
                      <w:sz w:val="24"/>
                      <w:b/>
                    </w:rPr>
                    <w:t>货物（设备）名称</w:t>
                  </w:r>
                </w:p>
              </w:tc>
              <w:tc>
                <w:tcPr>
                  <w:tcW w:type="dxa" w:w="175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宋体" w:hAnsi="宋体" w:cs="宋体" w:eastAsia="宋体"/>
                      <w:sz w:val="24"/>
                      <w:b/>
                    </w:rPr>
                    <w:t>详细配置及技术标准</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b/>
                    </w:rPr>
                    <w:t>一</w:t>
                  </w:r>
                </w:p>
              </w:tc>
              <w:tc>
                <w:tcPr>
                  <w:tcW w:type="dxa" w:w="2323"/>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b/>
                    </w:rPr>
                    <w:t>基础车型技术参数</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1</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外形</w:t>
                  </w:r>
                  <w:r>
                    <w:rPr>
                      <w:rFonts w:ascii="宋体" w:hAnsi="宋体" w:cs="宋体" w:eastAsia="宋体"/>
                      <w:sz w:val="24"/>
                    </w:rPr>
                    <w:t>尺寸</w:t>
                  </w:r>
                  <w:r>
                    <w:rPr>
                      <w:rFonts w:ascii="宋体" w:hAnsi="宋体" w:cs="宋体" w:eastAsia="宋体"/>
                      <w:sz w:val="24"/>
                    </w:rPr>
                    <w:t>mm</w:t>
                  </w:r>
                </w:p>
              </w:tc>
              <w:tc>
                <w:tcPr>
                  <w:tcW w:type="dxa" w:w="175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5400mm×2000mm×2400mm （±200mm）</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2</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舱内尺寸</w:t>
                  </w:r>
                  <w:r>
                    <w:rPr>
                      <w:rFonts w:ascii="宋体" w:hAnsi="宋体" w:cs="宋体" w:eastAsia="宋体"/>
                      <w:sz w:val="24"/>
                    </w:rPr>
                    <w:t>mm</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2800 mm×1750 mm×1700 mm（±200mm）</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★3</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轴距</w:t>
                  </w:r>
                  <w:r>
                    <w:rPr>
                      <w:rFonts w:ascii="宋体" w:hAnsi="宋体" w:cs="宋体" w:eastAsia="宋体"/>
                      <w:sz w:val="24"/>
                    </w:rPr>
                    <w:t>mm</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≥3300mm</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4</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接近角</w:t>
                  </w:r>
                  <w:r>
                    <w:rPr>
                      <w:rFonts w:ascii="宋体" w:hAnsi="宋体" w:cs="宋体" w:eastAsia="宋体"/>
                      <w:sz w:val="24"/>
                    </w:rPr>
                    <w:t>/离去角(°)</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≥19°/25°</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5</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燃油</w:t>
                  </w:r>
                  <w:r>
                    <w:rPr>
                      <w:rFonts w:ascii="宋体" w:hAnsi="宋体" w:cs="宋体" w:eastAsia="宋体"/>
                      <w:sz w:val="24"/>
                    </w:rPr>
                    <w:t>及</w:t>
                  </w:r>
                  <w:r>
                    <w:rPr>
                      <w:rFonts w:ascii="宋体" w:hAnsi="宋体" w:cs="宋体" w:eastAsia="宋体"/>
                      <w:sz w:val="24"/>
                    </w:rPr>
                    <w:t>排放</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汽油</w:t>
                  </w:r>
                  <w:r>
                    <w:rPr>
                      <w:rFonts w:ascii="宋体" w:hAnsi="宋体" w:cs="宋体" w:eastAsia="宋体"/>
                      <w:sz w:val="24"/>
                    </w:rPr>
                    <w:t>、</w:t>
                  </w:r>
                  <w:r>
                    <w:rPr>
                      <w:rFonts w:ascii="宋体" w:hAnsi="宋体" w:cs="宋体" w:eastAsia="宋体"/>
                      <w:sz w:val="24"/>
                    </w:rPr>
                    <w:t>国六</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6</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改装要求</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车尾加装后踏板</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7</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发动机排量（</w:t>
                  </w:r>
                  <w:r>
                    <w:rPr>
                      <w:rFonts w:ascii="宋体" w:hAnsi="宋体" w:cs="宋体" w:eastAsia="宋体"/>
                      <w:sz w:val="24"/>
                    </w:rPr>
                    <w:t>ml）</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≥1900ml</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8</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额定功率（</w:t>
                  </w:r>
                  <w:r>
                    <w:rPr>
                      <w:rFonts w:ascii="宋体" w:hAnsi="宋体" w:cs="宋体" w:eastAsia="宋体"/>
                      <w:sz w:val="24"/>
                    </w:rPr>
                    <w:t>kw）</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≥160kw</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9</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最大扭矩（</w:t>
                  </w:r>
                  <w:r>
                    <w:rPr>
                      <w:rFonts w:ascii="宋体" w:hAnsi="宋体" w:cs="宋体" w:eastAsia="宋体"/>
                      <w:sz w:val="24"/>
                    </w:rPr>
                    <w:t>Nm）</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≥300N.m</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10</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车辆总质量</w:t>
                  </w:r>
                  <w:r>
                    <w:rPr>
                      <w:rFonts w:ascii="宋体" w:hAnsi="宋体" w:cs="宋体" w:eastAsia="宋体"/>
                      <w:sz w:val="24"/>
                    </w:rPr>
                    <w:t>kg</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≥3300kg</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★11</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额定载客</w:t>
                  </w:r>
                </w:p>
                <w:p>
                  <w:pPr>
                    <w:pStyle w:val="null3"/>
                    <w:ind w:left="105"/>
                  </w:pPr>
                  <w:r>
                    <w:rPr>
                      <w:rFonts w:ascii="宋体" w:hAnsi="宋体" w:cs="宋体" w:eastAsia="宋体"/>
                      <w:sz w:val="24"/>
                    </w:rPr>
                    <w:t>（含驾驶员）</w:t>
                  </w:r>
                  <w:r>
                    <w:rPr>
                      <w:rFonts w:ascii="宋体" w:hAnsi="宋体" w:cs="宋体" w:eastAsia="宋体"/>
                      <w:sz w:val="24"/>
                    </w:rPr>
                    <w:t>（人）</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8 人</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12</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变速器</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自动变速箱</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13</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制动器（前轮</w:t>
                  </w:r>
                  <w:r>
                    <w:rPr>
                      <w:rFonts w:ascii="宋体" w:hAnsi="宋体" w:cs="宋体" w:eastAsia="宋体"/>
                      <w:sz w:val="24"/>
                    </w:rPr>
                    <w:t>/后轮）</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盘式</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14</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空调系统</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冷暖空调</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15</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悬架系统</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前：麦弗逊式独立悬架，后：非独立悬架。</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16</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倒车影视系统</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倒车影像</w:t>
                  </w:r>
                  <w:r>
                    <w:rPr>
                      <w:rFonts w:ascii="宋体" w:hAnsi="宋体" w:cs="宋体" w:eastAsia="宋体"/>
                      <w:sz w:val="24"/>
                    </w:rPr>
                    <w:t>+倒车雷达</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b/>
                    </w:rPr>
                    <w:t>二</w:t>
                  </w:r>
                </w:p>
              </w:tc>
              <w:tc>
                <w:tcPr>
                  <w:tcW w:type="dxa" w:w="2323"/>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b/>
                    </w:rPr>
                    <w:t>标准配置</w:t>
                  </w:r>
                  <w:r>
                    <w:rPr>
                      <w:rFonts w:ascii="宋体" w:hAnsi="宋体" w:cs="宋体" w:eastAsia="宋体"/>
                      <w:sz w:val="24"/>
                      <w:b/>
                    </w:rPr>
                    <w:t xml:space="preserve">  </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rPr>
                    <w:t>1</w:t>
                  </w:r>
                  <w:r>
                    <w:rPr>
                      <w:rFonts w:ascii="宋体" w:hAnsi="宋体" w:cs="宋体" w:eastAsia="宋体"/>
                      <w:sz w:val="24"/>
                    </w:rPr>
                    <w:t>7</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24"/>
                    </w:rPr>
                    <w:t>医疗内饰</w:t>
                  </w:r>
                </w:p>
              </w:tc>
              <w:tc>
                <w:tcPr>
                  <w:tcW w:type="dxa" w:w="175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药品器械柜、中隔墙、氧气瓶柜、柜式座椅、集成内顶采用</w:t>
                  </w:r>
                  <w:r>
                    <w:rPr>
                      <w:rFonts w:ascii="宋体" w:hAnsi="宋体" w:cs="宋体" w:eastAsia="宋体"/>
                      <w:sz w:val="24"/>
                    </w:rPr>
                    <w:t>ABS 复合材料、整体模具成型工艺。</w:t>
                  </w:r>
                </w:p>
                <w:p>
                  <w:pPr>
                    <w:pStyle w:val="null3"/>
                    <w:ind w:left="105"/>
                  </w:pPr>
                  <w:r>
                    <w:rPr>
                      <w:rFonts w:ascii="宋体" w:hAnsi="宋体" w:cs="宋体" w:eastAsia="宋体"/>
                      <w:sz w:val="24"/>
                    </w:rPr>
                    <w:t>地板采用高密度</w:t>
                  </w:r>
                  <w:r>
                    <w:rPr>
                      <w:rFonts w:ascii="宋体" w:hAnsi="宋体" w:cs="宋体" w:eastAsia="宋体"/>
                      <w:sz w:val="24"/>
                    </w:rPr>
                    <w:t>PVC 材质。</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rPr>
                    <w:t>18</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24"/>
                    </w:rPr>
                    <w:t>担架系统</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24"/>
                    </w:rPr>
                    <w:t>自动上车担架一副；铲式担架一副。</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rPr>
                    <w:t>19</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24"/>
                    </w:rPr>
                    <w:t>供电系统</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配备车载智能逆变</w:t>
                  </w:r>
                  <w:r>
                    <w:rPr>
                      <w:rFonts w:ascii="宋体" w:hAnsi="宋体" w:cs="宋体" w:eastAsia="宋体"/>
                      <w:sz w:val="24"/>
                    </w:rPr>
                    <w:t>/充电一体，最大输出功率：1000W/220V；</w:t>
                  </w:r>
                </w:p>
                <w:p>
                  <w:pPr>
                    <w:pStyle w:val="null3"/>
                    <w:ind w:left="105"/>
                  </w:pPr>
                  <w:r>
                    <w:rPr>
                      <w:rFonts w:ascii="宋体" w:hAnsi="宋体" w:cs="宋体" w:eastAsia="宋体"/>
                      <w:sz w:val="24"/>
                    </w:rPr>
                    <w:t>配备车载专用锂电不间断电源</w:t>
                  </w:r>
                  <w:r>
                    <w:rPr>
                      <w:rFonts w:ascii="宋体" w:hAnsi="宋体" w:cs="宋体" w:eastAsia="宋体"/>
                      <w:sz w:val="24"/>
                    </w:rPr>
                    <w:t>≥1000W；</w:t>
                  </w:r>
                </w:p>
                <w:p>
                  <w:pPr>
                    <w:pStyle w:val="null3"/>
                    <w:ind w:left="105"/>
                  </w:pPr>
                  <w:r>
                    <w:rPr>
                      <w:rFonts w:ascii="宋体" w:hAnsi="宋体" w:cs="宋体" w:eastAsia="宋体"/>
                      <w:sz w:val="24"/>
                    </w:rPr>
                    <w:t>在相应的位置安置</w:t>
                  </w:r>
                  <w:r>
                    <w:rPr>
                      <w:rFonts w:ascii="宋体" w:hAnsi="宋体" w:cs="宋体" w:eastAsia="宋体"/>
                      <w:sz w:val="24"/>
                    </w:rPr>
                    <w:t>12V 电源插座4个、220V 电源插座4个；</w:t>
                  </w:r>
                </w:p>
                <w:p>
                  <w:pPr>
                    <w:pStyle w:val="null3"/>
                    <w:ind w:left="105"/>
                  </w:pPr>
                  <w:r>
                    <w:rPr>
                      <w:rFonts w:ascii="宋体" w:hAnsi="宋体" w:cs="宋体" w:eastAsia="宋体"/>
                      <w:sz w:val="24"/>
                    </w:rPr>
                    <w:t>设有电源总开关。</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rPr>
                    <w:t>20</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24"/>
                    </w:rPr>
                    <w:t>控制系统</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集成电路控制系统，触摸开关，液晶显示屏，电瓶电量、工作灯状态、换气状态等相关用电设备的工作状态能够在液晶屏上显示。</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宋体" w:hAnsi="宋体" w:cs="宋体" w:eastAsia="宋体"/>
                      <w:sz w:val="24"/>
                    </w:rPr>
                    <w:t>21</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安全系统</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警示系统</w:t>
                  </w:r>
                  <w:r>
                    <w:rPr>
                      <w:rFonts w:ascii="宋体" w:hAnsi="宋体" w:cs="宋体" w:eastAsia="宋体"/>
                      <w:sz w:val="24"/>
                    </w:rPr>
                    <w:t>：</w:t>
                  </w:r>
                  <w:r>
                    <w:rPr>
                      <w:rFonts w:ascii="宋体" w:hAnsi="宋体" w:cs="宋体" w:eastAsia="宋体"/>
                      <w:sz w:val="24"/>
                    </w:rPr>
                    <w:t>由驾驶室控制，多键组合式（单音）警报控制器</w:t>
                  </w:r>
                  <w:r>
                    <w:rPr>
                      <w:rFonts w:ascii="宋体" w:hAnsi="宋体" w:cs="宋体" w:eastAsia="宋体"/>
                      <w:sz w:val="24"/>
                    </w:rPr>
                    <w:t>（</w:t>
                  </w:r>
                  <w:r>
                    <w:rPr>
                      <w:rFonts w:ascii="宋体" w:hAnsi="宋体" w:cs="宋体" w:eastAsia="宋体"/>
                      <w:sz w:val="24"/>
                    </w:rPr>
                    <w:t>100瓦）</w:t>
                  </w:r>
                  <w:r>
                    <w:rPr>
                      <w:rFonts w:ascii="宋体" w:hAnsi="宋体" w:cs="宋体" w:eastAsia="宋体"/>
                      <w:sz w:val="24"/>
                    </w:rPr>
                    <w:t>，麦克风。</w:t>
                  </w:r>
                </w:p>
                <w:p>
                  <w:pPr>
                    <w:pStyle w:val="null3"/>
                    <w:ind w:left="105"/>
                  </w:pPr>
                  <w:r>
                    <w:rPr>
                      <w:rFonts w:ascii="宋体" w:hAnsi="宋体" w:cs="宋体" w:eastAsia="宋体"/>
                      <w:sz w:val="24"/>
                    </w:rPr>
                    <w:t>LED警灯</w:t>
                  </w:r>
                </w:p>
                <w:p>
                  <w:pPr>
                    <w:pStyle w:val="null3"/>
                    <w:ind w:left="105"/>
                  </w:pPr>
                  <w:r>
                    <w:rPr>
                      <w:rFonts w:ascii="宋体" w:hAnsi="宋体" w:cs="宋体" w:eastAsia="宋体"/>
                      <w:sz w:val="24"/>
                    </w:rPr>
                    <w:t>安全扶手：</w:t>
                  </w:r>
                  <w:r>
                    <w:rPr>
                      <w:rFonts w:ascii="宋体" w:hAnsi="宋体" w:cs="宋体" w:eastAsia="宋体"/>
                      <w:sz w:val="24"/>
                    </w:rPr>
                    <w:t>全方位扶手设计，包括中门上车扶手，尾门上车扶手，顶部扶手。</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宋体" w:hAnsi="宋体" w:cs="宋体" w:eastAsia="宋体"/>
                      <w:sz w:val="24"/>
                    </w:rPr>
                    <w:t>22</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供氧系统</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 xml:space="preserve"> </w:t>
                  </w:r>
                  <w:r>
                    <w:rPr>
                      <w:rFonts w:ascii="宋体" w:hAnsi="宋体" w:cs="宋体" w:eastAsia="宋体"/>
                      <w:sz w:val="24"/>
                    </w:rPr>
                    <w:t>管道：隐藏式封闭管道；</w:t>
                  </w:r>
                </w:p>
                <w:p>
                  <w:pPr>
                    <w:pStyle w:val="null3"/>
                    <w:ind w:left="105"/>
                  </w:pPr>
                  <w:r>
                    <w:rPr>
                      <w:rFonts w:ascii="宋体" w:hAnsi="宋体" w:cs="宋体" w:eastAsia="宋体"/>
                      <w:sz w:val="24"/>
                    </w:rPr>
                    <w:t>氧气终端：带快速接口，即插即用，预留呼吸机用气接口。带呼吸机转换接头；</w:t>
                  </w:r>
                </w:p>
                <w:p>
                  <w:pPr>
                    <w:pStyle w:val="null3"/>
                    <w:ind w:left="105"/>
                  </w:pPr>
                  <w:r>
                    <w:rPr>
                      <w:rFonts w:ascii="宋体" w:hAnsi="宋体" w:cs="宋体" w:eastAsia="宋体"/>
                      <w:sz w:val="24"/>
                    </w:rPr>
                    <w:t>氧气瓶：</w:t>
                  </w:r>
                  <w:r>
                    <w:rPr>
                      <w:rFonts w:ascii="宋体" w:hAnsi="宋体" w:cs="宋体" w:eastAsia="宋体"/>
                      <w:sz w:val="24"/>
                    </w:rPr>
                    <w:t>10升钢制自动切换氧气瓶2只，带固定装置</w:t>
                  </w:r>
                  <w:r>
                    <w:rPr>
                      <w:rFonts w:ascii="宋体" w:hAnsi="宋体" w:cs="宋体" w:eastAsia="宋体"/>
                      <w:sz w:val="24"/>
                    </w:rPr>
                    <w:t>。</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rPr>
                    <w:t>23</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24"/>
                    </w:rPr>
                    <w:t>车内</w:t>
                  </w:r>
                  <w:r>
                    <w:rPr>
                      <w:rFonts w:ascii="宋体" w:hAnsi="宋体" w:cs="宋体" w:eastAsia="宋体"/>
                      <w:sz w:val="24"/>
                    </w:rPr>
                    <w:t>座椅及担架</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1)座椅供7人乘坐(配有安全带及靠背)：驾驶员1人、副驾驶员1人、医生1人、护士1人(座椅可折叠)、担架工2人、家属1人</w:t>
                  </w:r>
                  <w:r>
                    <w:rPr>
                      <w:rFonts w:ascii="宋体" w:hAnsi="宋体" w:cs="宋体" w:eastAsia="宋体"/>
                      <w:sz w:val="24"/>
                    </w:rPr>
                    <w:t>；</w:t>
                  </w:r>
                </w:p>
                <w:p>
                  <w:pPr>
                    <w:pStyle w:val="null3"/>
                    <w:ind w:left="105"/>
                  </w:pPr>
                  <w:r>
                    <w:rPr>
                      <w:rFonts w:ascii="宋体" w:hAnsi="宋体" w:cs="宋体" w:eastAsia="宋体"/>
                      <w:sz w:val="24"/>
                    </w:rPr>
                    <w:t>2)担架供1人平躺(配有安全带)</w:t>
                  </w:r>
                  <w:r>
                    <w:rPr>
                      <w:rFonts w:ascii="宋体" w:hAnsi="宋体" w:cs="宋体" w:eastAsia="宋体"/>
                      <w:sz w:val="24"/>
                    </w:rPr>
                    <w:t>：</w:t>
                  </w:r>
                  <w:r>
                    <w:rPr>
                      <w:rFonts w:ascii="宋体" w:hAnsi="宋体" w:cs="宋体" w:eastAsia="宋体"/>
                      <w:sz w:val="24"/>
                    </w:rPr>
                    <w:t>病人</w:t>
                  </w:r>
                  <w:r>
                    <w:rPr>
                      <w:rFonts w:ascii="宋体" w:hAnsi="宋体" w:cs="宋体" w:eastAsia="宋体"/>
                      <w:sz w:val="24"/>
                    </w:rPr>
                    <w:t>1人。</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宋体" w:hAnsi="宋体" w:cs="宋体" w:eastAsia="宋体"/>
                      <w:sz w:val="24"/>
                    </w:rPr>
                    <w:t>24</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杀菌系统</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配有长条型紫外线消毒灯，杀菌有效空间</w:t>
                  </w:r>
                  <w:r>
                    <w:rPr>
                      <w:rFonts w:ascii="宋体" w:hAnsi="宋体" w:cs="宋体" w:eastAsia="宋体"/>
                      <w:sz w:val="24"/>
                    </w:rPr>
                    <w:t>≥ 10m³，并具有延时启动功能，定时控制。</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rPr>
                    <w:t>25</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24"/>
                    </w:rPr>
                    <w:t>输液架</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输液固定系统在担架车上方安装</w:t>
                  </w:r>
                  <w:r>
                    <w:rPr>
                      <w:rFonts w:ascii="宋体" w:hAnsi="宋体" w:cs="宋体" w:eastAsia="宋体"/>
                      <w:sz w:val="24"/>
                    </w:rPr>
                    <w:t>1组输液架，输液挂钩能同时满足3袋以上的输液需要</w:t>
                  </w:r>
                  <w:r>
                    <w:rPr>
                      <w:rFonts w:ascii="宋体" w:hAnsi="宋体" w:cs="宋体" w:eastAsia="宋体"/>
                      <w:sz w:val="24"/>
                    </w:rPr>
                    <w:t>。</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rPr>
                    <w:t>26</w:t>
                  </w:r>
                </w:p>
              </w:tc>
              <w:tc>
                <w:tcPr>
                  <w:tcW w:type="dxa" w:w="5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24"/>
                    </w:rPr>
                    <w:t>照明系统</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医疗舱内配有</w:t>
                  </w:r>
                  <w:r>
                    <w:rPr>
                      <w:rFonts w:ascii="宋体" w:hAnsi="宋体" w:cs="宋体" w:eastAsia="宋体"/>
                      <w:sz w:val="24"/>
                    </w:rPr>
                    <w:t>2 条 LED 平板光带，在病人区域最高照度 ≥500lx，灯光可根据实际情况调节亮度；</w:t>
                  </w:r>
                </w:p>
                <w:p>
                  <w:pPr>
                    <w:pStyle w:val="null3"/>
                    <w:ind w:left="105"/>
                  </w:pPr>
                  <w:r>
                    <w:rPr>
                      <w:rFonts w:ascii="宋体" w:hAnsi="宋体" w:cs="宋体" w:eastAsia="宋体"/>
                      <w:sz w:val="24"/>
                    </w:rPr>
                    <w:t>医疗舱内配有专用射灯</w:t>
                  </w:r>
                  <w:r>
                    <w:rPr>
                      <w:rFonts w:ascii="宋体" w:hAnsi="宋体" w:cs="宋体" w:eastAsia="宋体"/>
                      <w:sz w:val="24"/>
                    </w:rPr>
                    <w:t>4 组，位于车体尾部两侧，采用 LED 照明系统，可独立控制。</w:t>
                  </w:r>
                </w:p>
              </w:tc>
            </w:tr>
            <w:tr>
              <w:tc>
                <w:tcPr>
                  <w:tcW w:type="dxa" w:w="23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ind w:left="105"/>
                    <w:jc w:val="center"/>
                  </w:pPr>
                  <w:r>
                    <w:rPr>
                      <w:rFonts w:ascii="宋体" w:hAnsi="宋体" w:cs="宋体" w:eastAsia="宋体"/>
                      <w:sz w:val="24"/>
                    </w:rPr>
                    <w:t>27</w:t>
                  </w:r>
                </w:p>
              </w:tc>
              <w:tc>
                <w:tcPr>
                  <w:tcW w:type="dxa" w:w="566"/>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其他</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宋体" w:hAnsi="宋体" w:cs="宋体" w:eastAsia="宋体"/>
                      <w:sz w:val="24"/>
                    </w:rPr>
                    <w:t>灭火器</w:t>
                  </w:r>
                  <w:r>
                    <w:rPr>
                      <w:rFonts w:ascii="宋体" w:hAnsi="宋体" w:cs="宋体" w:eastAsia="宋体"/>
                      <w:sz w:val="24"/>
                    </w:rPr>
                    <w:t>：</w:t>
                  </w:r>
                  <w:r>
                    <w:rPr>
                      <w:rFonts w:ascii="宋体" w:hAnsi="宋体" w:cs="宋体" w:eastAsia="宋体"/>
                      <w:sz w:val="24"/>
                    </w:rPr>
                    <w:t>驾驶舱和医疗舱内各配备</w:t>
                  </w:r>
                  <w:r>
                    <w:rPr>
                      <w:rFonts w:ascii="宋体" w:hAnsi="宋体" w:cs="宋体" w:eastAsia="宋体"/>
                      <w:sz w:val="24"/>
                    </w:rPr>
                    <w:t>1 个干粉式灭火器。</w:t>
                  </w:r>
                </w:p>
                <w:p>
                  <w:pPr>
                    <w:pStyle w:val="null3"/>
                    <w:ind w:left="105"/>
                  </w:pPr>
                  <w:r>
                    <w:rPr>
                      <w:rFonts w:ascii="宋体" w:hAnsi="宋体" w:cs="宋体" w:eastAsia="宋体"/>
                      <w:sz w:val="24"/>
                    </w:rPr>
                    <w:t>污物桶</w:t>
                  </w:r>
                  <w:r>
                    <w:rPr>
                      <w:rFonts w:ascii="宋体" w:hAnsi="宋体" w:cs="宋体" w:eastAsia="宋体"/>
                      <w:sz w:val="24"/>
                    </w:rPr>
                    <w:t>：</w:t>
                  </w:r>
                  <w:r>
                    <w:rPr>
                      <w:rFonts w:ascii="宋体" w:hAnsi="宋体" w:cs="宋体" w:eastAsia="宋体"/>
                      <w:sz w:val="24"/>
                    </w:rPr>
                    <w:t>可清洗、消毒的污物桶</w:t>
                  </w:r>
                  <w:r>
                    <w:rPr>
                      <w:rFonts w:ascii="宋体" w:hAnsi="宋体" w:cs="宋体" w:eastAsia="宋体"/>
                      <w:sz w:val="24"/>
                    </w:rPr>
                    <w:t>1个。</w:t>
                  </w:r>
                </w:p>
              </w:tc>
            </w:tr>
          </w:tbl>
          <w:p/>
        </w:tc>
      </w:tr>
      <w:tr>
        <w:tc>
          <w:tcPr>
            <w:tcW w:type="dxa" w:w="2769"/>
          </w:tcPr>
          <w:p/>
        </w:tc>
        <w:tc>
          <w:tcPr>
            <w:tcW w:type="dxa" w:w="2769"/>
          </w:tcPr>
          <w:p>
            <w:pPr>
              <w:pStyle w:val="null3"/>
            </w:pPr>
            <w:r>
              <w:rPr/>
              <w:t>3</w:t>
            </w:r>
          </w:p>
        </w:tc>
        <w:tc>
          <w:tcPr>
            <w:tcW w:type="dxa" w:w="2769"/>
          </w:tcPr>
          <w:p>
            <w:pPr>
              <w:pStyle w:val="null3"/>
              <w:jc w:val="both"/>
            </w:pPr>
            <w:r>
              <w:rPr>
                <w:rFonts w:ascii="宋体" w:hAnsi="宋体" w:cs="宋体" w:eastAsia="宋体"/>
                <w:sz w:val="24"/>
                <w:b/>
              </w:rPr>
              <w:t>三、报价说明</w:t>
            </w:r>
          </w:p>
          <w:p>
            <w:pPr>
              <w:pStyle w:val="null3"/>
              <w:jc w:val="both"/>
            </w:pPr>
            <w:r>
              <w:rPr>
                <w:rFonts w:ascii="宋体" w:hAnsi="宋体" w:cs="宋体" w:eastAsia="宋体"/>
                <w:sz w:val="24"/>
                <w:b/>
              </w:rPr>
              <w:t>车辆报价包含但不限于</w:t>
            </w:r>
            <w:r>
              <w:rPr>
                <w:rFonts w:ascii="宋体" w:hAnsi="宋体" w:cs="宋体" w:eastAsia="宋体"/>
                <w:sz w:val="24"/>
                <w:b/>
              </w:rPr>
              <w:t>:裸车车价、车辆购置税、保险(交强险+商业险)、车辆上牌期间检测费、牌照费、车辆办理临时牌照费、运费等相关费用。</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交货期：合同签订后20日历日内</w:t>
      </w:r>
    </w:p>
    <w:p>
      <w:pPr>
        <w:pStyle w:val="null3"/>
        <w:outlineLvl w:val="3"/>
      </w:pPr>
      <w:r>
        <w:rPr>
          <w:sz w:val="24"/>
          <w:b/>
        </w:rPr>
        <w:t>3.4.2交货地点</w:t>
      </w:r>
    </w:p>
    <w:p>
      <w:pPr>
        <w:pStyle w:val="null3"/>
      </w:pPr>
      <w:r>
        <w:rPr/>
        <w:t>采购包1：</w:t>
      </w:r>
    </w:p>
    <w:p>
      <w:pPr>
        <w:pStyle w:val="null3"/>
      </w:pPr>
      <w:r>
        <w:rPr/>
        <w:t>交货地点：陕西省人民医院指定地点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经甲方验收合格后</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按照国家标准、招标文件、投标文件及合同约定执行</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质保期：整车一年，担架五年</w:t>
      </w:r>
    </w:p>
    <w:p>
      <w:pPr>
        <w:pStyle w:val="null3"/>
        <w:outlineLvl w:val="3"/>
      </w:pPr>
      <w:r>
        <w:rPr>
          <w:sz w:val="24"/>
          <w:b/>
        </w:rPr>
        <w:t>3.4.8违约责任与解决争议的方法</w:t>
      </w:r>
    </w:p>
    <w:p>
      <w:pPr>
        <w:pStyle w:val="null3"/>
      </w:pPr>
      <w:r>
        <w:rPr/>
        <w:t>采购包1：</w:t>
      </w:r>
    </w:p>
    <w:p>
      <w:pPr>
        <w:pStyle w:val="null3"/>
      </w:pPr>
      <w:r>
        <w:rPr/>
        <w:t>按招标文件、投标文件及合同约定执行</w:t>
      </w:r>
    </w:p>
    <w:p>
      <w:pPr>
        <w:pStyle w:val="null3"/>
        <w:jc w:val="left"/>
        <w:outlineLvl w:val="2"/>
      </w:pPr>
      <w:r>
        <w:rPr>
          <w:sz w:val="28"/>
          <w:b/>
        </w:rPr>
        <w:t>3.5其他要求</w:t>
      </w:r>
    </w:p>
    <w:p>
      <w:pPr>
        <w:pStyle w:val="null3"/>
      </w:pPr>
      <w:r>
        <w:rPr/>
        <w:t>1、供应商需要在线提交所有通过电子化交易平台实施的政府采购项目的响应文件，同时，线下提交响应文件正本 壹 份、副本 贰 份（双面打印，自行编辑页码及目录）、电子版 壹 份（U盘一套标明供应商名称，单独密封）。 2、线下纸质文件递交截止时间：同在线递交电子响应文件截止时间一致；线下纸质文件递交地点：西安市雁展路1111号莱安中心T6-15层。（如需邮寄，建议顺丰速运，并将单位名称、联系人、电话及运单号发至809502949@qq.com邮箱）。</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投标人资格证明文件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投标人资格证明文件</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投标人资格证明文件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2022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t>投标人资格证明文件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提供2023年1月至今已缴纳的至少一个月的纳税证明或完税证明（时间以税款所属日期为准、税种须包含增值税或企业所得税），依法免税的单位应提供相关证明材料。</w:t>
            </w:r>
          </w:p>
        </w:tc>
        <w:tc>
          <w:tcPr>
            <w:tcW w:type="dxa" w:w="1661"/>
          </w:tcPr>
          <w:p>
            <w:pPr>
              <w:pStyle w:val="null3"/>
            </w:pPr>
            <w:r>
              <w:rPr/>
              <w:t>投标人资格证明文件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提供2023年1月至今已缴存的至少一个月的社会保障资金缴存单据或社保机构开具的社会保险参保缴费情况证明，依法不需要缴纳社会保障资金的单位应提供相关证明材料。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投标人资格证明文件</w:t>
            </w:r>
          </w:p>
        </w:tc>
      </w:tr>
      <w:tr>
        <w:tc>
          <w:tcPr>
            <w:tcW w:type="dxa" w:w="831"/>
          </w:tcPr>
          <w:p>
            <w:pPr>
              <w:pStyle w:val="null3"/>
            </w:pPr>
            <w:r>
              <w:rPr/>
              <w:t>5</w:t>
            </w:r>
          </w:p>
        </w:tc>
        <w:tc>
          <w:tcPr>
            <w:tcW w:type="dxa" w:w="2492"/>
          </w:tcPr>
          <w:p>
            <w:pPr>
              <w:pStyle w:val="null3"/>
            </w:pPr>
            <w:r>
              <w:rPr/>
              <w:t>书面声明</w:t>
            </w:r>
          </w:p>
        </w:tc>
        <w:tc>
          <w:tcPr>
            <w:tcW w:type="dxa" w:w="3322"/>
          </w:tcPr>
          <w:p>
            <w:pPr>
              <w:pStyle w:val="null3"/>
            </w:pPr>
            <w:r>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t>投标人资格证明文件</w:t>
            </w:r>
          </w:p>
        </w:tc>
      </w:tr>
      <w:tr>
        <w:tc>
          <w:tcPr>
            <w:tcW w:type="dxa" w:w="831"/>
          </w:tcPr>
          <w:p>
            <w:pPr>
              <w:pStyle w:val="null3"/>
            </w:pPr>
            <w:r>
              <w:rPr/>
              <w:t>6</w:t>
            </w:r>
          </w:p>
        </w:tc>
        <w:tc>
          <w:tcPr>
            <w:tcW w:type="dxa" w:w="2492"/>
          </w:tcPr>
          <w:p>
            <w:pPr>
              <w:pStyle w:val="null3"/>
            </w:pPr>
            <w:r>
              <w:rPr/>
              <w:t>承诺函</w:t>
            </w:r>
          </w:p>
        </w:tc>
        <w:tc>
          <w:tcPr>
            <w:tcW w:type="dxa" w:w="3322"/>
          </w:tcPr>
          <w:p>
            <w:pPr>
              <w:pStyle w:val="null3"/>
            </w:pPr>
            <w:r>
              <w:rPr/>
              <w:t>提供具有履行合同所必需的设备和专业技术能力的承诺函。</w:t>
            </w:r>
          </w:p>
        </w:tc>
        <w:tc>
          <w:tcPr>
            <w:tcW w:type="dxa" w:w="1661"/>
          </w:tcPr>
          <w:p>
            <w:pPr>
              <w:pStyle w:val="null3"/>
            </w:pPr>
            <w:r>
              <w:rPr/>
              <w:t>投标人资格证明文件</w:t>
            </w:r>
          </w:p>
        </w:tc>
      </w:tr>
      <w:tr>
        <w:tc>
          <w:tcPr>
            <w:tcW w:type="dxa" w:w="831"/>
          </w:tcPr>
          <w:p>
            <w:pPr>
              <w:pStyle w:val="null3"/>
            </w:pPr>
            <w:r>
              <w:rPr/>
              <w:t>7</w:t>
            </w:r>
          </w:p>
        </w:tc>
        <w:tc>
          <w:tcPr>
            <w:tcW w:type="dxa" w:w="2492"/>
          </w:tcPr>
          <w:p>
            <w:pPr>
              <w:pStyle w:val="null3"/>
            </w:pPr>
            <w:r>
              <w:rPr/>
              <w:t>法定代表人授权书</w:t>
            </w:r>
          </w:p>
        </w:tc>
        <w:tc>
          <w:tcPr>
            <w:tcW w:type="dxa" w:w="3322"/>
          </w:tcPr>
          <w:p>
            <w:pPr>
              <w:pStyle w:val="null3"/>
            </w:pPr>
            <w:r>
              <w:rPr/>
              <w:t>法定代表人授权书及被授权人身份证明。（法定代表人直接投标只须提供其身份证明）</w:t>
            </w:r>
          </w:p>
        </w:tc>
        <w:tc>
          <w:tcPr>
            <w:tcW w:type="dxa" w:w="1661"/>
          </w:tcPr>
          <w:p>
            <w:pPr>
              <w:pStyle w:val="null3"/>
            </w:pPr>
            <w:r>
              <w:rPr/>
              <w:t>投标人资格证明文件</w:t>
            </w:r>
          </w:p>
        </w:tc>
      </w:tr>
      <w:tr>
        <w:tc>
          <w:tcPr>
            <w:tcW w:type="dxa" w:w="831"/>
          </w:tcPr>
          <w:p>
            <w:pPr>
              <w:pStyle w:val="null3"/>
            </w:pPr>
            <w:r>
              <w:rPr/>
              <w:t>8</w:t>
            </w:r>
          </w:p>
        </w:tc>
        <w:tc>
          <w:tcPr>
            <w:tcW w:type="dxa" w:w="2492"/>
          </w:tcPr>
          <w:p>
            <w:pPr>
              <w:pStyle w:val="null3"/>
            </w:pPr>
            <w:r>
              <w:rPr/>
              <w:t>特定资质</w:t>
            </w:r>
          </w:p>
        </w:tc>
        <w:tc>
          <w:tcPr>
            <w:tcW w:type="dxa" w:w="3322"/>
          </w:tcPr>
          <w:p>
            <w:pPr>
              <w:pStyle w:val="null3"/>
            </w:pPr>
            <w:r>
              <w:rPr/>
              <w:t>所投车辆及生产厂家须在工信部发布的《道路机动车辆生产企业及产品公告》内并提供截图。</w:t>
            </w:r>
          </w:p>
        </w:tc>
        <w:tc>
          <w:tcPr>
            <w:tcW w:type="dxa" w:w="1661"/>
          </w:tcPr>
          <w:p>
            <w:pPr>
              <w:pStyle w:val="null3"/>
            </w:pPr>
            <w:r>
              <w:rPr/>
              <w:t>投标人资格证明文件</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分项报价表 标的清单 报价表</w:t>
            </w:r>
          </w:p>
        </w:tc>
      </w:tr>
      <w:tr>
        <w:tc>
          <w:tcPr>
            <w:tcW w:type="dxa" w:w="831"/>
          </w:tcPr>
          <w:p>
            <w:pPr>
              <w:pStyle w:val="null3"/>
            </w:pPr>
            <w:r>
              <w:rPr/>
              <w:t>2</w:t>
            </w:r>
          </w:p>
        </w:tc>
        <w:tc>
          <w:tcPr>
            <w:tcW w:type="dxa" w:w="2492"/>
          </w:tcPr>
          <w:p>
            <w:pPr>
              <w:pStyle w:val="null3"/>
            </w:pPr>
            <w:r>
              <w:rPr/>
              <w:t>投标人名称</w:t>
            </w:r>
          </w:p>
        </w:tc>
        <w:tc>
          <w:tcPr>
            <w:tcW w:type="dxa" w:w="3322"/>
          </w:tcPr>
          <w:p>
            <w:pPr>
              <w:pStyle w:val="null3"/>
            </w:pPr>
            <w:r>
              <w:rPr/>
              <w:t>投标人名称与营业执照、资质证书一致</w:t>
            </w:r>
          </w:p>
        </w:tc>
        <w:tc>
          <w:tcPr>
            <w:tcW w:type="dxa" w:w="1661"/>
          </w:tcPr>
          <w:p>
            <w:pPr>
              <w:pStyle w:val="null3"/>
            </w:pPr>
            <w:r>
              <w:rPr/>
              <w:t>分项报价表 中小企业声明函 保证金交纳凭证 投标人承诺书 报价表 投标人资格证明文件 商务条款响应说明 投标函 残疾人福利性单位声明函 标的清单 投标文件封面 监狱企业的证明文件 技术指标偏差表</w:t>
            </w:r>
          </w:p>
        </w:tc>
      </w:tr>
      <w:tr>
        <w:tc>
          <w:tcPr>
            <w:tcW w:type="dxa" w:w="831"/>
          </w:tcPr>
          <w:p>
            <w:pPr>
              <w:pStyle w:val="null3"/>
            </w:pPr>
            <w:r>
              <w:rPr/>
              <w:t>3</w:t>
            </w:r>
          </w:p>
        </w:tc>
        <w:tc>
          <w:tcPr>
            <w:tcW w:type="dxa" w:w="2492"/>
          </w:tcPr>
          <w:p>
            <w:pPr>
              <w:pStyle w:val="null3"/>
            </w:pPr>
            <w:r>
              <w:rPr/>
              <w:t>投标文件的签署、盖章</w:t>
            </w:r>
          </w:p>
        </w:tc>
        <w:tc>
          <w:tcPr>
            <w:tcW w:type="dxa" w:w="3322"/>
          </w:tcPr>
          <w:p>
            <w:pPr>
              <w:pStyle w:val="null3"/>
            </w:pPr>
            <w:r>
              <w:rPr/>
              <w:t>投标文件按招标文件要求的数量、计量单位、报价货币及签字盖章</w:t>
            </w:r>
          </w:p>
        </w:tc>
        <w:tc>
          <w:tcPr>
            <w:tcW w:type="dxa" w:w="1661"/>
          </w:tcPr>
          <w:p>
            <w:pPr>
              <w:pStyle w:val="null3"/>
            </w:pPr>
            <w:r>
              <w:rPr/>
              <w:t>分项报价表 中小企业声明函 保证金交纳凭证 投标人承诺书 报价表 投标人资格证明文件 商务条款响应说明 投标函 残疾人福利性单位声明函 标的清单 投标文件封面 监狱企业的证明文件 技术指标偏差表</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投标有效期达到招标文件要求</w:t>
            </w:r>
          </w:p>
        </w:tc>
        <w:tc>
          <w:tcPr>
            <w:tcW w:type="dxa" w:w="1661"/>
          </w:tcPr>
          <w:p>
            <w:pPr>
              <w:pStyle w:val="null3"/>
            </w:pPr>
            <w:r>
              <w:rPr/>
              <w:t>投标函</w:t>
            </w:r>
          </w:p>
        </w:tc>
      </w:tr>
      <w:tr>
        <w:tc>
          <w:tcPr>
            <w:tcW w:type="dxa" w:w="831"/>
          </w:tcPr>
          <w:p>
            <w:pPr>
              <w:pStyle w:val="null3"/>
            </w:pPr>
            <w:r>
              <w:rPr/>
              <w:t>5</w:t>
            </w:r>
          </w:p>
        </w:tc>
        <w:tc>
          <w:tcPr>
            <w:tcW w:type="dxa" w:w="2492"/>
          </w:tcPr>
          <w:p>
            <w:pPr>
              <w:pStyle w:val="null3"/>
            </w:pPr>
            <w:r>
              <w:rPr/>
              <w:t>备案要求</w:t>
            </w:r>
          </w:p>
        </w:tc>
        <w:tc>
          <w:tcPr>
            <w:tcW w:type="dxa" w:w="3322"/>
          </w:tcPr>
          <w:p>
            <w:pPr>
              <w:pStyle w:val="null3"/>
            </w:pPr>
            <w:r>
              <w:rPr/>
              <w:t>所投产品规格型号、技术参数等信息须与工信部备案信息一致，提供道路机动车辆生产企业及产品信息查询截图及公告参数页。</w:t>
            </w:r>
          </w:p>
        </w:tc>
        <w:tc>
          <w:tcPr>
            <w:tcW w:type="dxa" w:w="1661"/>
          </w:tcPr>
          <w:p>
            <w:pPr>
              <w:pStyle w:val="null3"/>
            </w:pPr>
            <w:r>
              <w:rPr/>
              <w:t>投标人资格证明文件 投标方案说明</w:t>
            </w:r>
          </w:p>
        </w:tc>
      </w:tr>
      <w:tr>
        <w:tc>
          <w:tcPr>
            <w:tcW w:type="dxa" w:w="831"/>
          </w:tcPr>
          <w:p>
            <w:pPr>
              <w:pStyle w:val="null3"/>
            </w:pPr>
            <w:r>
              <w:rPr/>
              <w:t>6</w:t>
            </w:r>
          </w:p>
        </w:tc>
        <w:tc>
          <w:tcPr>
            <w:tcW w:type="dxa" w:w="2492"/>
          </w:tcPr>
          <w:p>
            <w:pPr>
              <w:pStyle w:val="null3"/>
            </w:pPr>
            <w:r>
              <w:rPr/>
              <w:t>其他实质性要求</w:t>
            </w:r>
          </w:p>
        </w:tc>
        <w:tc>
          <w:tcPr>
            <w:tcW w:type="dxa" w:w="3322"/>
          </w:tcPr>
          <w:p>
            <w:pPr>
              <w:pStyle w:val="null3"/>
            </w:pPr>
            <w:r>
              <w:rPr/>
              <w:t>符合法律、法规和招标文件中规定的其他实质性要求</w:t>
            </w:r>
          </w:p>
        </w:tc>
        <w:tc>
          <w:tcPr>
            <w:tcW w:type="dxa" w:w="1661"/>
          </w:tcPr>
          <w:p>
            <w:pPr>
              <w:pStyle w:val="null3"/>
            </w:pPr>
            <w:r>
              <w:rPr/>
              <w:t>商务条款响应说明 技术指标偏差表</w:t>
            </w:r>
          </w:p>
        </w:tc>
      </w:tr>
      <w:tr>
        <w:tc>
          <w:tcPr>
            <w:tcW w:type="dxa" w:w="831"/>
          </w:tcPr>
          <w:p>
            <w:pPr>
              <w:pStyle w:val="null3"/>
            </w:pPr>
            <w:r>
              <w:rPr/>
              <w:t>7</w:t>
            </w:r>
          </w:p>
        </w:tc>
        <w:tc>
          <w:tcPr>
            <w:tcW w:type="dxa" w:w="2492"/>
          </w:tcPr>
          <w:p>
            <w:pPr>
              <w:pStyle w:val="null3"/>
            </w:pPr>
            <w:r>
              <w:rPr/>
              <w:t>投标保证金</w:t>
            </w:r>
          </w:p>
        </w:tc>
        <w:tc>
          <w:tcPr>
            <w:tcW w:type="dxa" w:w="3322"/>
          </w:tcPr>
          <w:p>
            <w:pPr>
              <w:pStyle w:val="null3"/>
            </w:pPr>
            <w:r>
              <w:rPr/>
              <w:t>保证金交纳符合招标文件要求</w:t>
            </w:r>
          </w:p>
        </w:tc>
        <w:tc>
          <w:tcPr>
            <w:tcW w:type="dxa" w:w="1661"/>
          </w:tcPr>
          <w:p>
            <w:pPr>
              <w:pStyle w:val="null3"/>
            </w:pPr>
            <w:r>
              <w:rPr/>
              <w:t>保证金交纳凭证</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根据投标产品技术参数、性能的满足程度赋分（非★项参数共25项），技术指标和性能完全满足招标文件要求计25分，每负偏离一项扣1分，扣完为止。 备注：应逐条对应技术参数进行应答，并提供充足的佐证材料（包括但不限于检验报告、产品彩页、产品说明书、官网功能截图等），予以证明参数的技术响应性。★项参数为实质性参数，不允许负偏离。</w:t>
            </w:r>
          </w:p>
        </w:tc>
        <w:tc>
          <w:tcPr>
            <w:tcW w:type="dxa" w:w="831"/>
          </w:tcPr>
          <w:p>
            <w:pPr>
              <w:pStyle w:val="null3"/>
              <w:jc w:val="right"/>
            </w:pPr>
            <w:r>
              <w:rPr/>
              <w:t>25.0000</w:t>
            </w:r>
          </w:p>
        </w:tc>
        <w:tc>
          <w:tcPr>
            <w:tcW w:type="dxa" w:w="831"/>
          </w:tcPr>
          <w:p>
            <w:pPr>
              <w:pStyle w:val="null3"/>
            </w:pPr>
            <w:r>
              <w:rPr/>
              <w:t>客观</w:t>
            </w:r>
          </w:p>
        </w:tc>
        <w:tc>
          <w:tcPr>
            <w:tcW w:type="dxa" w:w="1661"/>
          </w:tcPr>
          <w:p>
            <w:pPr>
              <w:pStyle w:val="null3"/>
            </w:pPr>
            <w:r>
              <w:rPr/>
              <w:t>投标方案说明</w:t>
            </w:r>
          </w:p>
        </w:tc>
      </w:tr>
      <w:tr>
        <w:tc>
          <w:tcPr>
            <w:tcW w:type="dxa" w:w="831"/>
            <w:vMerge/>
          </w:tcPr>
          <w:p/>
        </w:tc>
        <w:tc>
          <w:tcPr>
            <w:tcW w:type="dxa" w:w="1661"/>
          </w:tcPr>
          <w:p>
            <w:pPr>
              <w:pStyle w:val="null3"/>
            </w:pPr>
            <w:r>
              <w:rPr/>
              <w:t>改装方案</w:t>
            </w:r>
          </w:p>
        </w:tc>
        <w:tc>
          <w:tcPr>
            <w:tcW w:type="dxa" w:w="2492"/>
          </w:tcPr>
          <w:p>
            <w:pPr>
              <w:pStyle w:val="null3"/>
            </w:pPr>
            <w:r>
              <w:rPr/>
              <w:t>一、评审内容 投标人针对本项目编制完善的救护车改装方案，内容包含：①改装内容②改装方法（工艺）③改装材料等方面。 二、评审标准 1、完整性：方案必须全面，对评审内容中的各项要求有详细描述； 2、可实施性：切合本项目实际情况，提出步骤清晰、合理的方案； 3、针对性：方案能够紧扣项目实际情况，内容科学合理。 三、赋分标准（满分4.5分） ①改装内容：每完全满足一个评审标准得0.5分，满分1.5分； ②改装方法（工艺）：每完全满足一个评审标准得0.5分，满分1.5分； ③改装材料：每完全满足一个评审标准得0.5分，满分1.5分。</w:t>
            </w:r>
          </w:p>
        </w:tc>
        <w:tc>
          <w:tcPr>
            <w:tcW w:type="dxa" w:w="831"/>
          </w:tcPr>
          <w:p>
            <w:pPr>
              <w:pStyle w:val="null3"/>
              <w:jc w:val="right"/>
            </w:pPr>
            <w:r>
              <w:rPr/>
              <w:t>4.5000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车内设施配置</w:t>
            </w:r>
          </w:p>
        </w:tc>
        <w:tc>
          <w:tcPr>
            <w:tcW w:type="dxa" w:w="2492"/>
          </w:tcPr>
          <w:p>
            <w:pPr>
              <w:pStyle w:val="null3"/>
            </w:pPr>
            <w:r>
              <w:rPr/>
              <w:t>一、评审内容 投标人提供车内设施配置情况，内容包含：①产品介绍、型号（规格）、质量、详细配置②车内设施配置安全性。 二、评审标准 1、完整性：方案必须全面，对评审内容中的各项要求有详细描述； 2、可实施性：切合本项目实际情况，提出步骤清晰、合理的方案； 3、针对性：方案能够紧扣项目实际情况，内容科学合理。 三、赋分标准（满分3分） ①产品介绍、型号（规格）、详细配置：每完全满足一个评审标准得0.5分，满分1.5分； ②车内设施配置安全性：每完全满足一个评审标准得0.5分，满分1.5分。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项目实施计划</w:t>
            </w:r>
          </w:p>
        </w:tc>
        <w:tc>
          <w:tcPr>
            <w:tcW w:type="dxa" w:w="2492"/>
          </w:tcPr>
          <w:p>
            <w:pPr>
              <w:pStyle w:val="null3"/>
            </w:pPr>
            <w:r>
              <w:rPr/>
              <w:t>一、评审内容 投标人针对本项目编制完善的实施计划，内容包含：①供货组织安排②实施步骤、进度计划③验收方案等方面。 二、评审标准 1、完整性：方案必须全面，对评审内容中的各项要求有详细描述； 2、可实施性：切合本项目实际情况，提出步骤清晰、合理的方案； 3、针对性：方案能够紧扣项目实际情况，内容科学合理。 三、赋分标准（满分4.5分） ①供货组织安排：每完全满足一个评审标准得0.5分，满分1.5分； ②实施步骤、进度计划：每完全满足一个评审标准得0.5分，满分1.5分； ③验收方案：每完全满足一个评审标准得0.5分，满分1.5分。</w:t>
            </w:r>
          </w:p>
        </w:tc>
        <w:tc>
          <w:tcPr>
            <w:tcW w:type="dxa" w:w="831"/>
          </w:tcPr>
          <w:p>
            <w:pPr>
              <w:pStyle w:val="null3"/>
              <w:jc w:val="right"/>
            </w:pPr>
            <w:r>
              <w:rPr/>
              <w:t>4.5000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人员安排</w:t>
            </w:r>
          </w:p>
        </w:tc>
        <w:tc>
          <w:tcPr>
            <w:tcW w:type="dxa" w:w="2492"/>
          </w:tcPr>
          <w:p>
            <w:pPr>
              <w:pStyle w:val="null3"/>
            </w:pPr>
            <w:r>
              <w:rPr/>
              <w:t>1、评审内容 投标人针对本项目具有合理的人员安排和管理责任制度，方案包含：①人员安排：具有详细方案，分工合理②管理责任制度：具有员工日常管理办法，责任明确。 二、评审标准 1、完整性：方案须全面，对评审内容中的各项要求有详细描述及说明； 2、可实施性：切合本项目实际情况，实施步骤清晰、合理； 3、针对性：方案能够紧扣项目实际情况，内容科学合理。 三、赋分标准(满分 6分) ①人员安排：每完全满足一个评审标准得1分，满分3分； ②管理责任制度:每完全满足一个评审标准得1分，满分3分。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质量保证措施</w:t>
            </w:r>
          </w:p>
        </w:tc>
        <w:tc>
          <w:tcPr>
            <w:tcW w:type="dxa" w:w="2492"/>
          </w:tcPr>
          <w:p>
            <w:pPr>
              <w:pStyle w:val="null3"/>
            </w:pPr>
            <w:r>
              <w:rPr/>
              <w:t>一、评审内容 投标人编制完善的质量保证措施，内容包含：①确保车辆安装的技术组织措施②确保车辆检测的技术组织措施③确保车辆调试的技术组织措施。 二、评审标准 1、完整性：方案须全面，对评审内容中的各项要求有详细描述及说明； 2、可实施性：切合本项目实际情况，实施步骤清晰、合理； 3、针对性：方案能够紧扣项目实际情况，内容科学合理。 三、赋分标准（满分4.5分） ①确保车辆安装的技术组织措施：每完全满足一个评审标准得0.5分，满分1.5分； ②确保车辆检测的技术组织措施：每完全满足一个评审标准得0.5分，满分1.5分； ③确保车辆调试的技术组织措施：每完全满足一个评审标准得0.5分，满分1.5分。</w:t>
            </w:r>
          </w:p>
        </w:tc>
        <w:tc>
          <w:tcPr>
            <w:tcW w:type="dxa" w:w="831"/>
          </w:tcPr>
          <w:p>
            <w:pPr>
              <w:pStyle w:val="null3"/>
              <w:jc w:val="right"/>
            </w:pPr>
            <w:r>
              <w:rPr/>
              <w:t>4.5000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车辆综合情况</w:t>
            </w:r>
          </w:p>
        </w:tc>
        <w:tc>
          <w:tcPr>
            <w:tcW w:type="dxa" w:w="2492"/>
          </w:tcPr>
          <w:p>
            <w:pPr>
              <w:pStyle w:val="null3"/>
            </w:pPr>
            <w:r>
              <w:rPr/>
              <w:t>1、根据投标车辆整体综合控制系统及相关技术响应情况，车辆自动化程度高，操作简便灵活，使用安全，能达到实用、先进、稳定、耐用的要求的，计2分；基本满足以上需求的计1分；不能满足以上需求的不计分。 2、投标车辆的关键部件采用先进工艺或特殊工艺加工、选用材料质量优良，配件耐久性好，维修率低的，计2分；基本满足以上需求的计1分；不能满足以上需求的不计分。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产品货源渠道</w:t>
            </w:r>
          </w:p>
        </w:tc>
        <w:tc>
          <w:tcPr>
            <w:tcW w:type="dxa" w:w="2492"/>
          </w:tcPr>
          <w:p>
            <w:pPr>
              <w:pStyle w:val="null3"/>
            </w:pPr>
            <w:r>
              <w:rPr/>
              <w:t>产品货源渠道正常，有质量保证，确保无假货、水货、翻新货，技术资料齐全，无产权纠纷，提供产品货源渠道证明材料（包括但不限于销售协议、代理协议、原厂授权等），计2分；未提供产品货源渠道或产品货源渠道内容不全的计0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投标方案说明</w:t>
            </w:r>
          </w:p>
        </w:tc>
      </w:tr>
      <w:tr>
        <w:tc>
          <w:tcPr>
            <w:tcW w:type="dxa" w:w="831"/>
            <w:vMerge/>
          </w:tcPr>
          <w:p/>
        </w:tc>
        <w:tc>
          <w:tcPr>
            <w:tcW w:type="dxa" w:w="1661"/>
          </w:tcPr>
          <w:p>
            <w:pPr>
              <w:pStyle w:val="null3"/>
            </w:pPr>
            <w:r>
              <w:rPr/>
              <w:t>本地化服务</w:t>
            </w:r>
          </w:p>
        </w:tc>
        <w:tc>
          <w:tcPr>
            <w:tcW w:type="dxa" w:w="2492"/>
          </w:tcPr>
          <w:p>
            <w:pPr>
              <w:pStyle w:val="null3"/>
            </w:pPr>
            <w:r>
              <w:rPr/>
              <w:t>在项目实施所在地有相应的售后服务能力及技术支持（提供证明材料），计2分。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投标方案说明</w:t>
            </w:r>
          </w:p>
        </w:tc>
      </w:tr>
      <w:tr>
        <w:tc>
          <w:tcPr>
            <w:tcW w:type="dxa" w:w="831"/>
            <w:vMerge/>
          </w:tcPr>
          <w:p/>
        </w:tc>
        <w:tc>
          <w:tcPr>
            <w:tcW w:type="dxa" w:w="1661"/>
          </w:tcPr>
          <w:p>
            <w:pPr>
              <w:pStyle w:val="null3"/>
            </w:pPr>
            <w:r>
              <w:rPr/>
              <w:t>售后服务</w:t>
            </w:r>
          </w:p>
        </w:tc>
        <w:tc>
          <w:tcPr>
            <w:tcW w:type="dxa" w:w="2492"/>
          </w:tcPr>
          <w:p>
            <w:pPr>
              <w:pStyle w:val="null3"/>
            </w:pPr>
            <w:r>
              <w:rPr/>
              <w:t>一、评审内容 投标人具有完善的售后服务方案，内容包含：①售后服务承诺②备品配件及设备发生故障后的补救措施③维修服务响应时限等方面。 二、评审标准 1、完整性：方案须全面，对评审内容中的各项要求有详细描述及说明； 2、可实施性：切合本项目实际情况，实施步骤清晰、合理； 3、针对性：方案能够紧扣项目实际情况，内容科学合理。 三、赋分标准（满分4.5分） ①售后服务承诺：每完全满足一个评审标准得0.5分，满分1.5分； ②备品配件及设备发生故障后的补救措施：每完全满足一个评审标准得0.5分，满分1.5分； ③维修服务响应时限：每完全满足一个评审标准得0.5分，满分1.5 分。</w:t>
            </w:r>
          </w:p>
        </w:tc>
        <w:tc>
          <w:tcPr>
            <w:tcW w:type="dxa" w:w="831"/>
          </w:tcPr>
          <w:p>
            <w:pPr>
              <w:pStyle w:val="null3"/>
              <w:jc w:val="right"/>
            </w:pPr>
            <w:r>
              <w:rPr/>
              <w:t>4.5000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培训措施</w:t>
            </w:r>
          </w:p>
        </w:tc>
        <w:tc>
          <w:tcPr>
            <w:tcW w:type="dxa" w:w="2492"/>
          </w:tcPr>
          <w:p>
            <w:pPr>
              <w:pStyle w:val="null3"/>
            </w:pPr>
            <w:r>
              <w:rPr/>
              <w:t>一、评审内容 投标人编制完善的培训措施，内容包含：①培训目标②培训组织方式。 二、评审标准 1、完整性：方案须全面，对评审内容中的各项要求有详细描述及说明； 2、可实施性：切合本项目实际情况，实施步骤清晰、合理； 3、针对性：方案能够紧扣项目实际情况，内容科学合理。 三、赋分标准（满分3分） ①培训目标：每完全满足一个评审标准得0.5分，满分1.5分； ②培训组织方式：每完全满足一个评审标准得0.5分，满分1.5分。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业绩</w:t>
            </w:r>
          </w:p>
        </w:tc>
        <w:tc>
          <w:tcPr>
            <w:tcW w:type="dxa" w:w="2492"/>
          </w:tcPr>
          <w:p>
            <w:pPr>
              <w:pStyle w:val="null3"/>
            </w:pPr>
            <w:r>
              <w:rPr/>
              <w:t>提供投标人的2021年1月1日至今（以合同签订日期为准）同类项目的业绩合同，每份计1分，满分5分。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投标方案说明</w:t>
            </w:r>
          </w:p>
        </w:tc>
      </w:tr>
      <w:tr>
        <w:tc>
          <w:tcPr>
            <w:tcW w:type="dxa" w:w="831"/>
            <w:vMerge/>
          </w:tcPr>
          <w:p/>
        </w:tc>
        <w:tc>
          <w:tcPr>
            <w:tcW w:type="dxa" w:w="1661"/>
          </w:tcPr>
          <w:p>
            <w:pPr>
              <w:pStyle w:val="null3"/>
            </w:pPr>
            <w:r>
              <w:rPr/>
              <w:t>节能环保</w:t>
            </w:r>
          </w:p>
        </w:tc>
        <w:tc>
          <w:tcPr>
            <w:tcW w:type="dxa" w:w="2492"/>
          </w:tcPr>
          <w:p>
            <w:pPr>
              <w:pStyle w:val="null3"/>
            </w:pPr>
            <w:r>
              <w:rPr/>
              <w:t>投标人投标产品中每有一项为节能产品经国家认证的计0.5分，每有一项为环境标志产品经国家认证的计0.5分，投标人投标产品中每有一项产品同时为节能产品和环境标志产品计1分，最多计2分。（以经国家确定的认证机构出具的、处于有效期内的节能产品、环境标志产品认证证书为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投标方案说明</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p>
            <w:pPr>
              <w:pStyle w:val="null3"/>
            </w:pPr>
            <w:r>
              <w:rPr/>
              <w:t>报价表</w:t>
            </w:r>
          </w:p>
          <w:p>
            <w:pPr>
              <w:pStyle w:val="null3"/>
            </w:pPr>
            <w:r>
              <w:rPr/>
              <w:t>分项报价表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（1）根据《关于进一步加大政府采购支持中小企业力度的通知》财库〔2022〕19号相关规定，对小型和微型企业的价格给予10%的扣除，用扣除后的价格参与评审。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t>开标一览表 分项报价表 中小企业声明函 残疾人福利性单位声明函 标的清单 报价表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详见附件：报价表</w:t>
      </w:r>
    </w:p>
    <w:p>
      <w:pPr>
        <w:pStyle w:val="null3"/>
        <w:ind w:firstLine="960"/>
      </w:pPr>
      <w:r>
        <w:rPr/>
        <w:t>详见附件：分项报价表</w:t>
      </w:r>
    </w:p>
    <w:p>
      <w:pPr>
        <w:pStyle w:val="null3"/>
        <w:ind w:firstLine="960"/>
      </w:pPr>
      <w:r>
        <w:rPr/>
        <w:t>详见附件：技术指标偏差表</w:t>
      </w:r>
    </w:p>
    <w:p>
      <w:pPr>
        <w:pStyle w:val="null3"/>
        <w:ind w:firstLine="960"/>
      </w:pPr>
      <w:r>
        <w:rPr/>
        <w:t>详见附件：商务条款响应说明</w:t>
      </w:r>
    </w:p>
    <w:p>
      <w:pPr>
        <w:pStyle w:val="null3"/>
        <w:ind w:firstLine="960"/>
      </w:pPr>
      <w:r>
        <w:rPr/>
        <w:t>详见附件：投标人资格证明文件</w:t>
      </w:r>
    </w:p>
    <w:p>
      <w:pPr>
        <w:pStyle w:val="null3"/>
        <w:ind w:firstLine="960"/>
      </w:pPr>
      <w:r>
        <w:rPr/>
        <w:t>详见附件：投标方案说明</w:t>
      </w:r>
    </w:p>
    <w:p>
      <w:pPr>
        <w:pStyle w:val="null3"/>
        <w:ind w:firstLine="960"/>
      </w:pPr>
      <w:r>
        <w:rPr/>
        <w:t>详见附件：投标人承诺书</w:t>
      </w:r>
    </w:p>
    <w:p>
      <w:pPr>
        <w:pStyle w:val="null3"/>
        <w:ind w:firstLine="960"/>
      </w:pPr>
      <w:r>
        <w:rPr/>
        <w:t>详见附件：保证金交纳凭证</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详见附件：合同范本（仅供参考）.docx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