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版本号：241031003</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PACS系统、体检系统、心电系统等服务期存储空间扩容项目</w:t>
      </w:r>
    </w:p>
    <w:p>
      <w:pPr>
        <w:pStyle w:val="null3"/>
        <w:jc w:val="center"/>
        <w:outlineLvl w:val="2"/>
      </w:pPr>
      <w:r>
        <w:rPr>
          <w:sz w:val="28"/>
          <w:b/>
        </w:rPr>
        <w:t>采购项目编号：</w:t>
      </w:r>
      <w:r>
        <w:rPr>
          <w:sz w:val="28"/>
          <w:b/>
        </w:rPr>
        <w:t>ZX2024-09-24</w:t>
      </w:r>
      <w:r>
        <w:br/>
      </w:r>
      <w:r>
        <w:br/>
      </w:r>
      <w:r>
        <w:br/>
      </w:r>
    </w:p>
    <w:p>
      <w:pPr>
        <w:pStyle w:val="null3"/>
        <w:jc w:val="center"/>
        <w:outlineLvl w:val="2"/>
      </w:pPr>
      <w:r>
        <w:rPr>
          <w:sz w:val="28"/>
          <w:b/>
        </w:rPr>
        <w:t>西安医学院第一附属医院</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2024年09月27日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西安医学院第一附属医院</w:t>
      </w:r>
      <w:r>
        <w:rPr/>
        <w:t>委托，拟对</w:t>
      </w:r>
      <w:r>
        <w:rPr/>
        <w:t>PACS系统、体检系统、心电系统等服务期存储空间扩容项目</w:t>
      </w:r>
      <w:r>
        <w:rPr/>
        <w:t>进行国内公开招标，兹邀请符合本次招标要求的供应商参加投标。</w:t>
      </w:r>
    </w:p>
    <w:p>
      <w:pPr>
        <w:pStyle w:val="null3"/>
        <w:outlineLvl w:val="2"/>
      </w:pPr>
      <w:r>
        <w:rPr>
          <w:sz w:val="28"/>
          <w:b/>
        </w:rPr>
        <w:t>一、采购项目编号：</w:t>
      </w:r>
      <w:r>
        <w:rPr>
          <w:sz w:val="28"/>
          <w:b/>
        </w:rPr>
        <w:t>ZX2024-09-24</w:t>
      </w:r>
    </w:p>
    <w:p>
      <w:pPr>
        <w:pStyle w:val="null3"/>
        <w:outlineLvl w:val="2"/>
      </w:pPr>
      <w:r>
        <w:rPr>
          <w:sz w:val="28"/>
          <w:b/>
        </w:rPr>
        <w:t>二、采购项目名称：</w:t>
      </w:r>
      <w:r>
        <w:rPr>
          <w:sz w:val="28"/>
          <w:b/>
        </w:rPr>
        <w:t>PACS系统、体检系统、心电系统等服务期存储空间扩容项目</w:t>
      </w:r>
    </w:p>
    <w:p>
      <w:pPr>
        <w:pStyle w:val="null3"/>
        <w:outlineLvl w:val="2"/>
      </w:pPr>
      <w:r>
        <w:rPr>
          <w:sz w:val="28"/>
          <w:b/>
        </w:rPr>
        <w:t>三、招标项目简介</w:t>
      </w:r>
    </w:p>
    <w:p>
      <w:pPr>
        <w:pStyle w:val="null3"/>
        <w:ind w:firstLine="480"/>
      </w:pPr>
      <w:r>
        <w:rPr/>
        <w:t>PACS系统、体检系统、心电系统等服务器存储空间扩容项目，1项，具体内容详见采购文件。</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1、本项目不接受联合体投：本项目不接受联合体投标，不允许分包。投标人应提供《非联合体不分包投标声明》；</w:t>
      </w:r>
    </w:p>
    <w:p>
      <w:pPr>
        <w:pStyle w:val="null3"/>
      </w:pPr>
      <w:r>
        <w:rPr/>
        <w:t>2、法定代表人授权委托书：法定代表人参加投标的，须出示身份证；法定代表人授权他人参加投标的，须提供法定代表人授权委托书。</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西安医学院第一附属医院</w:t>
      </w:r>
    </w:p>
    <w:p>
      <w:pPr>
        <w:pStyle w:val="null3"/>
      </w:pPr>
      <w:r>
        <w:rPr/>
        <w:t xml:space="preserve"> 地址： </w:t>
      </w:r>
      <w:r>
        <w:rPr/>
        <w:t>西安市莲湖区丰镐西路48号</w:t>
      </w:r>
    </w:p>
    <w:p>
      <w:pPr>
        <w:pStyle w:val="null3"/>
      </w:pPr>
      <w:r>
        <w:rPr/>
        <w:t xml:space="preserve"> 邮编： </w:t>
      </w:r>
      <w:r>
        <w:rPr/>
        <w:t xml:space="preserve"> 710000</w:t>
      </w:r>
    </w:p>
    <w:p>
      <w:pPr>
        <w:pStyle w:val="null3"/>
      </w:pPr>
      <w:r>
        <w:rPr/>
        <w:t xml:space="preserve"> 联系人： </w:t>
      </w:r>
      <w:r>
        <w:rPr/>
        <w:t>杨老师</w:t>
      </w:r>
    </w:p>
    <w:p>
      <w:pPr>
        <w:pStyle w:val="null3"/>
      </w:pPr>
      <w:r>
        <w:rPr/>
        <w:t xml:space="preserve"> 联系电话： </w:t>
      </w:r>
      <w:r>
        <w:rPr/>
        <w:t>029-84277525</w:t>
      </w:r>
    </w:p>
    <w:p>
      <w:pPr>
        <w:pStyle w:val="null3"/>
        <w:outlineLvl w:val="2"/>
      </w:pPr>
      <w:r>
        <w:rPr>
          <w:sz w:val="28"/>
          <w:b/>
        </w:rPr>
        <w:t>代理机构：</w:t>
      </w:r>
      <w:r>
        <w:rPr>
          <w:sz w:val="28"/>
          <w:b/>
        </w:rPr>
        <w:t>陕西正信招标有限公司</w:t>
      </w:r>
    </w:p>
    <w:p>
      <w:pPr>
        <w:pStyle w:val="null3"/>
      </w:pPr>
      <w:r>
        <w:rPr/>
        <w:t xml:space="preserve"> 地址： </w:t>
      </w:r>
      <w:r>
        <w:rPr/>
        <w:t>陕西省西安市红缨路南口6号均明拍卖广场4层</w:t>
      </w:r>
    </w:p>
    <w:p>
      <w:pPr>
        <w:pStyle w:val="null3"/>
      </w:pPr>
      <w:r>
        <w:rPr/>
        <w:t xml:space="preserve"> 邮编： </w:t>
      </w:r>
      <w:r>
        <w:rPr/>
        <w:t>710000</w:t>
      </w:r>
    </w:p>
    <w:p>
      <w:pPr>
        <w:pStyle w:val="null3"/>
      </w:pPr>
      <w:r>
        <w:rPr/>
        <w:t xml:space="preserve"> 联系人： </w:t>
      </w:r>
      <w:r>
        <w:rPr/>
        <w:t>柯敏 马演 王宇轩 蔡丹</w:t>
      </w:r>
    </w:p>
    <w:p>
      <w:pPr>
        <w:pStyle w:val="null3"/>
      </w:pPr>
      <w:r>
        <w:rPr/>
        <w:t xml:space="preserve"> 联系电话： </w:t>
      </w:r>
      <w:r>
        <w:rPr/>
        <w:t>029-88411508转8014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采购包1：2,100,000.00元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采购包1保证金金额：41,009.24元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代理服务费收费标准：代理服务费收费标准：参照国家计委计价格[2002]1980号及发改办价格[2003]857号通知规定，由中标人支付代理服务费。 备注：转账时请备注：240924项目服务费。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西安医学院第一附属医院</w:t>
      </w:r>
      <w:r>
        <w:rPr/>
        <w:t>和</w:t>
      </w:r>
      <w:r>
        <w:rPr/>
        <w:t>陕西正信招标有限公司</w:t>
      </w:r>
      <w:r>
        <w:rPr/>
        <w:t>享有。对招标文件中供应商参加本次政府采购活动应当具备的条件，招标项目技术、服务、商务及其他要求，评标细则及标准由</w:t>
      </w:r>
      <w:r>
        <w:rPr/>
        <w:t>西安医学院第一附属医院</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西安医学院第一附属医院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（一）验收标准 1、包装：符合出厂规范及符合《商品包装政府采购需求标准（试行）》、《快递包装政府采购需求标准（试行）》,包装完整无破损，防雨、防潮等各种符号标识清楚，进口设备应具有原产国标识且标识清楚。 2、安装：符合本合同项下产品的全部相关国家安全技术标准及甲方要求。 3、产品： （1）必须为原装、全新、合格产品，渠道合法 （2）符合供方与需方签订的合同 （3）符合招、投标文件的技术要求 （4）符合产品原样本技术数据 （5）符合国家有关技术规范要求和安全、环保、节能等强制性标准, 验收的手续及费用由投标单位自行办理和承担，招标单位提供相关辅助。 （6）产品单证齐全（质量合格证、装箱清单、操作手册和维修手册等，如为进口产品，交货前须提供原产地证明、原厂生产检验合格证和海关手续等）</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联系人：马演 柯敏</w:t>
      </w:r>
    </w:p>
    <w:p>
      <w:pPr>
        <w:pStyle w:val="null3"/>
      </w:pPr>
      <w:r>
        <w:rPr/>
        <w:t>联系电话：029-88411508转8014</w:t>
      </w:r>
    </w:p>
    <w:p>
      <w:pPr>
        <w:pStyle w:val="null3"/>
      </w:pPr>
      <w:r>
        <w:rPr/>
        <w:t>地址：陕西省西安市红缨路南口6号均明拍卖广场4层</w:t>
      </w:r>
    </w:p>
    <w:p>
      <w:pPr>
        <w:pStyle w:val="null3"/>
      </w:pPr>
      <w:r>
        <w:rPr/>
        <w:t>邮编：71000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PACS系统、体检系统、心电系统等服务器存储空间扩容，1项，具体内容详见技术要求。</w:t>
      </w:r>
    </w:p>
    <w:p>
      <w:pPr>
        <w:pStyle w:val="null3"/>
        <w:outlineLvl w:val="2"/>
      </w:pPr>
      <w:r>
        <w:rPr>
          <w:sz w:val="28"/>
          <w:b/>
        </w:rPr>
        <w:t>3.2采购内容</w:t>
      </w:r>
    </w:p>
    <w:p>
      <w:pPr>
        <w:pStyle w:val="null3"/>
      </w:pPr>
      <w:r>
        <w:rPr/>
        <w:t>采购包1：</w:t>
      </w:r>
    </w:p>
    <w:p>
      <w:pPr>
        <w:pStyle w:val="null3"/>
      </w:pPr>
      <w:r>
        <w:rPr/>
        <w:t>采购包预算金额（元）: 2,100,000.00</w:t>
      </w:r>
    </w:p>
    <w:p>
      <w:pPr>
        <w:pStyle w:val="null3"/>
      </w:pPr>
      <w:r>
        <w:rPr/>
        <w:t>采购包最高限价（元）: 2,100,000.00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一项</w:t>
            </w:r>
          </w:p>
        </w:tc>
        <w:tc>
          <w:tcPr>
            <w:tcW w:type="dxa" w:w="831"/>
          </w:tcPr>
          <w:p>
            <w:pPr>
              <w:pStyle w:val="null3"/>
              <w:jc w:val="right"/>
            </w:pPr>
            <w:r>
              <w:rPr/>
              <w:t>1.00</w:t>
            </w:r>
          </w:p>
        </w:tc>
        <w:tc>
          <w:tcPr>
            <w:tcW w:type="dxa" w:w="831"/>
          </w:tcPr>
          <w:p>
            <w:pPr>
              <w:pStyle w:val="null3"/>
              <w:jc w:val="right"/>
            </w:pPr>
            <w:r>
              <w:rPr/>
              <w:t>2,100,000.00</w:t>
            </w:r>
          </w:p>
        </w:tc>
        <w:tc>
          <w:tcPr>
            <w:tcW w:type="dxa" w:w="831"/>
          </w:tcPr>
          <w:p>
            <w:pPr>
              <w:pStyle w:val="null3"/>
            </w:pPr>
            <w:r>
              <w:rPr/>
              <w:t>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标的名称：一项</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b/>
              </w:rPr>
              <w:t>一、</w:t>
            </w:r>
            <w:r>
              <w:rPr>
                <w:rFonts w:ascii="宋体" w:hAnsi="宋体" w:cs="宋体" w:eastAsia="宋体"/>
                <w:sz w:val="24"/>
                <w:b/>
              </w:rPr>
              <w:t>项目概述</w:t>
            </w:r>
          </w:p>
          <w:p>
            <w:pPr>
              <w:pStyle w:val="null3"/>
              <w:jc w:val="both"/>
            </w:pPr>
            <w:r>
              <w:rPr>
                <w:rFonts w:ascii="宋体" w:hAnsi="宋体" w:cs="宋体" w:eastAsia="宋体"/>
                <w:sz w:val="24"/>
              </w:rPr>
              <w:t>不作为打分项，供投标人投标参考。</w:t>
            </w:r>
          </w:p>
          <w:tbl>
            <w:tblPr>
              <w:tblInd w:type="dxa" w:w="135"/>
              <w:tblBorders>
                <w:top w:val="none" w:color="000000" w:sz="4"/>
                <w:left w:val="none" w:color="000000" w:sz="4"/>
                <w:bottom w:val="none" w:color="000000" w:sz="4"/>
                <w:right w:val="none" w:color="000000" w:sz="4"/>
                <w:insideH w:val="none"/>
                <w:insideV w:val="none"/>
              </w:tblBorders>
            </w:tblPr>
            <w:tblGrid>
              <w:gridCol w:w="321"/>
              <w:gridCol w:w="468"/>
              <w:gridCol w:w="1756"/>
            </w:tblGrid>
            <w:tr>
              <w:tc>
                <w:tcPr>
                  <w:tcW w:type="dxa" w:w="321"/>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255"/>
                    <w:jc w:val="center"/>
                  </w:pPr>
                  <w:r>
                    <w:rPr>
                      <w:rFonts w:ascii="宋体" w:hAnsi="宋体" w:cs="宋体" w:eastAsia="宋体"/>
                      <w:sz w:val="24"/>
                      <w:b/>
                    </w:rPr>
                    <w:t>序号</w:t>
                  </w:r>
                </w:p>
              </w:tc>
              <w:tc>
                <w:tcPr>
                  <w:tcW w:type="dxa" w:w="468"/>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450"/>
                    <w:jc w:val="center"/>
                  </w:pPr>
                  <w:r>
                    <w:rPr>
                      <w:rFonts w:ascii="宋体" w:hAnsi="宋体" w:cs="宋体" w:eastAsia="宋体"/>
                      <w:sz w:val="24"/>
                      <w:b/>
                    </w:rPr>
                    <w:t>内容</w:t>
                  </w:r>
                </w:p>
              </w:tc>
              <w:tc>
                <w:tcPr>
                  <w:tcW w:type="dxa" w:w="1756"/>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3195"/>
                  </w:pPr>
                  <w:r>
                    <w:rPr>
                      <w:rFonts w:ascii="宋体" w:hAnsi="宋体" w:cs="宋体" w:eastAsia="宋体"/>
                      <w:sz w:val="24"/>
                      <w:b/>
                    </w:rPr>
                    <w:t>说明</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w:t>
                  </w:r>
                </w:p>
              </w:tc>
              <w:tc>
                <w:tcPr>
                  <w:tcW w:type="dxa" w:w="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项目背景</w:t>
                  </w:r>
                </w:p>
              </w:tc>
              <w:tc>
                <w:tcPr>
                  <w:tcW w:type="dxa" w:w="1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105"/>
                  </w:pPr>
                  <w:r>
                    <w:rPr>
                      <w:rFonts w:ascii="宋体" w:hAnsi="宋体" w:cs="宋体" w:eastAsia="宋体"/>
                      <w:sz w:val="24"/>
                    </w:rPr>
                    <w:t>（</w:t>
                  </w:r>
                  <w:r>
                    <w:rPr>
                      <w:rFonts w:ascii="宋体" w:hAnsi="宋体" w:cs="宋体" w:eastAsia="宋体"/>
                      <w:sz w:val="24"/>
                    </w:rPr>
                    <w:t>1）、西安医学院第一附属医院HIS等核心业务系统存储采用两台FAS8200存储通过MCC-IP技术双活技术部署，当任何一台存储发生故障无法提供服务时，另一台存储可无缝接管业务系统，前端业务运行不受影响。</w:t>
                  </w:r>
                </w:p>
                <w:p>
                  <w:pPr>
                    <w:pStyle w:val="null3"/>
                    <w:spacing w:before="60"/>
                    <w:ind w:left="105" w:right="105" w:firstLine="480"/>
                  </w:pPr>
                  <w:r>
                    <w:rPr>
                      <w:rFonts w:ascii="宋体" w:hAnsi="宋体" w:cs="宋体" w:eastAsia="宋体"/>
                      <w:sz w:val="24"/>
                    </w:rPr>
                    <w:t>现有每台</w:t>
                  </w:r>
                  <w:r>
                    <w:rPr>
                      <w:rFonts w:ascii="宋体" w:hAnsi="宋体" w:cs="宋体" w:eastAsia="宋体"/>
                      <w:sz w:val="24"/>
                    </w:rPr>
                    <w:t>FAS8200存储配置了12块960GB SSD盘、48块1.2TB SAS HDD盘和60块1.8TB SAS HDD盘，预估可用容量94.5TB。部署MCC-IP双活技术后，每台存储上的LUN在对端存储设置双活镜像，存储可用容量减半约为47.3TB。</w:t>
                  </w:r>
                </w:p>
                <w:p>
                  <w:pPr>
                    <w:pStyle w:val="null3"/>
                    <w:spacing w:before="60"/>
                    <w:ind w:left="105" w:right="105"/>
                  </w:pPr>
                  <w:r>
                    <w:rPr>
                      <w:rFonts w:ascii="宋体" w:hAnsi="宋体" w:cs="宋体" w:eastAsia="宋体"/>
                      <w:sz w:val="24"/>
                    </w:rPr>
                    <w:t>存储部署拓扑如下：</w:t>
                  </w:r>
                </w:p>
                <w:p>
                  <w:pPr>
                    <w:pStyle w:val="null3"/>
                    <w:spacing w:before="60"/>
                    <w:ind w:left="105" w:right="105"/>
                  </w:pPr>
                  <w:r>
                    <w:drawing>
                      <wp:inline distT="0" distR="0" distB="0" distL="0">
                        <wp:extent cx="977900" cy="660363"/>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977900" cy="660363"/>
                                </a:xfrm>
                                <a:prstGeom prst="rect">
                                  <a:avLst/>
                                </a:prstGeom>
                              </pic:spPr>
                            </pic:pic>
                          </a:graphicData>
                        </a:graphic>
                      </wp:inline>
                    </w:drawing>
                  </w:r>
                </w:p>
                <w:p>
                  <w:pPr>
                    <w:pStyle w:val="null3"/>
                    <w:spacing w:before="60"/>
                    <w:ind w:left="105" w:right="105"/>
                  </w:pPr>
                  <w:r>
                    <w:rPr>
                      <w:rFonts w:ascii="宋体" w:hAnsi="宋体" w:cs="宋体" w:eastAsia="宋体"/>
                      <w:sz w:val="24"/>
                    </w:rPr>
                    <w:t>（</w:t>
                  </w:r>
                  <w:r>
                    <w:rPr>
                      <w:rFonts w:ascii="宋体" w:hAnsi="宋体" w:cs="宋体" w:eastAsia="宋体"/>
                      <w:sz w:val="24"/>
                    </w:rPr>
                    <w:t>2）、西安医学院第一附属医院PACS核心业务系统存储采用4节点DXN3000分布式存储部署，每节点32块16TB数据盘，采用双副本技术，4节点一共可用容量不小于885TB。</w:t>
                  </w:r>
                </w:p>
                <w:p>
                  <w:pPr>
                    <w:pStyle w:val="null3"/>
                    <w:spacing w:before="60"/>
                    <w:ind w:left="105" w:right="105"/>
                  </w:pPr>
                  <w:r>
                    <w:rPr>
                      <w:rFonts w:ascii="宋体" w:hAnsi="宋体" w:cs="宋体" w:eastAsia="宋体"/>
                      <w:sz w:val="24"/>
                    </w:rPr>
                    <w:t>存储部署拓扑图如下：</w:t>
                  </w:r>
                </w:p>
                <w:p>
                  <w:pPr>
                    <w:pStyle w:val="null3"/>
                    <w:spacing w:before="60"/>
                    <w:ind w:left="105" w:right="105"/>
                  </w:pPr>
                  <w:r>
                    <w:drawing>
                      <wp:inline distT="0" distR="0" distB="0" distL="0">
                        <wp:extent cx="977900" cy="637309"/>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7"/>
                                <a:stretch>
                                  <a:fillRect/>
                                </a:stretch>
                              </pic:blipFill>
                              <pic:spPr>
                                <a:xfrm>
                                  <a:off x="0" y="0"/>
                                  <a:ext cx="977900" cy="637309"/>
                                </a:xfrm>
                                <a:prstGeom prst="rect">
                                  <a:avLst/>
                                </a:prstGeom>
                              </pic:spPr>
                            </pic:pic>
                          </a:graphicData>
                        </a:graphic>
                      </wp:inline>
                    </w:drawing>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宋体" w:hAnsi="宋体" w:cs="宋体" w:eastAsia="宋体"/>
                      <w:sz w:val="24"/>
                    </w:rPr>
                    <w:t>2</w:t>
                  </w:r>
                </w:p>
              </w:tc>
              <w:tc>
                <w:tcPr>
                  <w:tcW w:type="dxa" w:w="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24"/>
                    </w:rPr>
                    <w:t>执行依据</w:t>
                  </w:r>
                </w:p>
              </w:tc>
              <w:tc>
                <w:tcPr>
                  <w:tcW w:type="dxa" w:w="1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right="135"/>
                    <w:jc w:val="left"/>
                  </w:pPr>
                  <w:r>
                    <w:rPr>
                      <w:rFonts w:ascii="宋体" w:hAnsi="宋体" w:cs="宋体" w:eastAsia="宋体"/>
                      <w:sz w:val="24"/>
                    </w:rPr>
                    <w:t>当前，</w:t>
                  </w:r>
                  <w:r>
                    <w:rPr>
                      <w:rFonts w:ascii="宋体" w:hAnsi="宋体" w:cs="宋体" w:eastAsia="宋体"/>
                      <w:sz w:val="24"/>
                    </w:rPr>
                    <w:t>HIS双活存储空间及PACS核心业务数据存储空间的容量已逼近预设的上限阈值。为确保医院在未来五年内的业务发展需求得以满足，本次规划将对现有的HIS双活存储系统及PACS核心业务数据存储系统实施容量扩容。</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05"/>
                    <w:jc w:val="center"/>
                  </w:pPr>
                  <w:r>
                    <w:rPr>
                      <w:rFonts w:ascii="宋体" w:hAnsi="宋体" w:cs="宋体" w:eastAsia="宋体"/>
                      <w:sz w:val="24"/>
                    </w:rPr>
                    <w:t>3</w:t>
                  </w:r>
                </w:p>
              </w:tc>
              <w:tc>
                <w:tcPr>
                  <w:tcW w:type="dxa" w:w="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jc w:val="center"/>
                  </w:pPr>
                  <w:r>
                    <w:rPr>
                      <w:rFonts w:ascii="宋体" w:hAnsi="宋体" w:cs="宋体" w:eastAsia="宋体"/>
                      <w:sz w:val="24"/>
                    </w:rPr>
                    <w:t>项目</w:t>
                  </w:r>
                  <w:r>
                    <w:rPr>
                      <w:rFonts w:ascii="宋体" w:hAnsi="宋体" w:cs="宋体" w:eastAsia="宋体"/>
                      <w:sz w:val="24"/>
                    </w:rPr>
                    <w:t>要求</w:t>
                  </w:r>
                </w:p>
              </w:tc>
              <w:tc>
                <w:tcPr>
                  <w:tcW w:type="dxa" w:w="1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right="300"/>
                    <w:jc w:val="left"/>
                  </w:pPr>
                  <w:r>
                    <w:rPr>
                      <w:rFonts w:ascii="宋体" w:hAnsi="宋体" w:cs="宋体" w:eastAsia="宋体"/>
                      <w:sz w:val="24"/>
                      <w:b/>
                    </w:rPr>
                    <w:t>1.</w:t>
                  </w:r>
                  <w:r>
                    <w:rPr>
                      <w:rFonts w:ascii="宋体" w:hAnsi="宋体" w:cs="宋体" w:eastAsia="宋体"/>
                      <w:sz w:val="24"/>
                      <w:b/>
                    </w:rPr>
                    <w:t>双活存储扩</w:t>
                  </w:r>
                  <w:r>
                    <w:rPr>
                      <w:rFonts w:ascii="宋体" w:hAnsi="宋体" w:cs="宋体" w:eastAsia="宋体"/>
                      <w:sz w:val="24"/>
                      <w:b/>
                    </w:rPr>
                    <w:t>容</w:t>
                  </w:r>
                </w:p>
                <w:p>
                  <w:pPr>
                    <w:pStyle w:val="null3"/>
                    <w:spacing w:before="75"/>
                    <w:ind w:left="105" w:right="300"/>
                    <w:jc w:val="left"/>
                  </w:pPr>
                  <w:r>
                    <w:rPr>
                      <w:rFonts w:ascii="宋体" w:hAnsi="宋体" w:cs="宋体" w:eastAsia="宋体"/>
                      <w:sz w:val="24"/>
                    </w:rPr>
                    <w:t>由于医院业务快速发展，原有容量使用率已到</w:t>
                  </w:r>
                  <w:r>
                    <w:rPr>
                      <w:rFonts w:ascii="宋体" w:hAnsi="宋体" w:cs="宋体" w:eastAsia="宋体"/>
                      <w:sz w:val="24"/>
                    </w:rPr>
                    <w:t>80%，现有存储容量已不足。为满足医院未来五年业务发展需求，计划对两台双活存储进行扩容，扩容后，双活存储</w:t>
                  </w:r>
                  <w:r>
                    <w:rPr>
                      <w:rFonts w:ascii="宋体" w:hAnsi="宋体" w:cs="宋体" w:eastAsia="宋体"/>
                      <w:sz w:val="24"/>
                    </w:rPr>
                    <w:t>可</w:t>
                  </w:r>
                  <w:r>
                    <w:rPr>
                      <w:rFonts w:ascii="宋体" w:hAnsi="宋体" w:cs="宋体" w:eastAsia="宋体"/>
                      <w:sz w:val="24"/>
                    </w:rPr>
                    <w:t>用容量不低于</w:t>
                  </w:r>
                  <w:r>
                    <w:rPr>
                      <w:rFonts w:ascii="宋体" w:hAnsi="宋体" w:cs="宋体" w:eastAsia="宋体"/>
                      <w:sz w:val="24"/>
                    </w:rPr>
                    <w:t>80</w:t>
                  </w:r>
                  <w:r>
                    <w:rPr>
                      <w:rFonts w:ascii="宋体" w:hAnsi="宋体" w:cs="宋体" w:eastAsia="宋体"/>
                      <w:sz w:val="24"/>
                    </w:rPr>
                    <w:t>TB（其中HDD硬盘可用容量不低于6</w:t>
                  </w:r>
                  <w:r>
                    <w:rPr>
                      <w:rFonts w:ascii="宋体" w:hAnsi="宋体" w:cs="宋体" w:eastAsia="宋体"/>
                      <w:sz w:val="24"/>
                    </w:rPr>
                    <w:t>1</w:t>
                  </w:r>
                  <w:r>
                    <w:rPr>
                      <w:rFonts w:ascii="宋体" w:hAnsi="宋体" w:cs="宋体" w:eastAsia="宋体"/>
                      <w:sz w:val="24"/>
                    </w:rPr>
                    <w:t>TB,SSD硬盘可用容量不低于</w:t>
                  </w:r>
                  <w:r>
                    <w:rPr>
                      <w:rFonts w:ascii="宋体" w:hAnsi="宋体" w:cs="宋体" w:eastAsia="宋体"/>
                      <w:sz w:val="24"/>
                    </w:rPr>
                    <w:t>19</w:t>
                  </w:r>
                  <w:r>
                    <w:rPr>
                      <w:rFonts w:ascii="宋体" w:hAnsi="宋体" w:cs="宋体" w:eastAsia="宋体"/>
                      <w:sz w:val="24"/>
                    </w:rPr>
                    <w:t>TB）。</w:t>
                  </w:r>
                </w:p>
                <w:p>
                  <w:pPr>
                    <w:pStyle w:val="null3"/>
                    <w:spacing w:before="75"/>
                    <w:ind w:left="105" w:right="300"/>
                    <w:jc w:val="left"/>
                  </w:pPr>
                  <w:r>
                    <w:rPr>
                      <w:rFonts w:ascii="宋体" w:hAnsi="宋体" w:cs="宋体" w:eastAsia="宋体"/>
                      <w:sz w:val="24"/>
                    </w:rPr>
                    <w:t>（</w:t>
                  </w:r>
                  <w:r>
                    <w:rPr>
                      <w:rFonts w:ascii="宋体" w:hAnsi="宋体" w:cs="宋体" w:eastAsia="宋体"/>
                      <w:sz w:val="24"/>
                    </w:rPr>
                    <w:t>1）本次扩容双活存储系统实施过程中，必须保证现有业务系统不停机；</w:t>
                  </w:r>
                </w:p>
                <w:p>
                  <w:pPr>
                    <w:pStyle w:val="null3"/>
                    <w:spacing w:before="75"/>
                    <w:ind w:left="105" w:right="300"/>
                    <w:jc w:val="left"/>
                  </w:pPr>
                  <w:r>
                    <w:rPr>
                      <w:rFonts w:ascii="宋体" w:hAnsi="宋体" w:cs="宋体" w:eastAsia="宋体"/>
                      <w:sz w:val="24"/>
                    </w:rPr>
                    <w:t>（</w:t>
                  </w:r>
                  <w:r>
                    <w:rPr>
                      <w:rFonts w:ascii="宋体" w:hAnsi="宋体" w:cs="宋体" w:eastAsia="宋体"/>
                      <w:sz w:val="24"/>
                    </w:rPr>
                    <w:t>2）本次扩容必须合并原有硬件资源。</w:t>
                  </w:r>
                </w:p>
                <w:p>
                  <w:pPr>
                    <w:pStyle w:val="null3"/>
                    <w:spacing w:before="75"/>
                    <w:ind w:left="105" w:right="300"/>
                    <w:jc w:val="left"/>
                  </w:pPr>
                  <w:r>
                    <w:rPr>
                      <w:rFonts w:ascii="宋体" w:hAnsi="宋体" w:cs="宋体" w:eastAsia="宋体"/>
                      <w:sz w:val="24"/>
                      <w:b/>
                    </w:rPr>
                    <w:t>2.</w:t>
                  </w:r>
                  <w:r>
                    <w:rPr>
                      <w:rFonts w:ascii="宋体" w:hAnsi="宋体" w:cs="宋体" w:eastAsia="宋体"/>
                      <w:sz w:val="24"/>
                      <w:b/>
                    </w:rPr>
                    <w:t>分布式存储扩容</w:t>
                  </w:r>
                </w:p>
                <w:p>
                  <w:pPr>
                    <w:pStyle w:val="null3"/>
                    <w:spacing w:before="75"/>
                    <w:ind w:left="105" w:right="300"/>
                    <w:jc w:val="left"/>
                  </w:pPr>
                  <w:r>
                    <w:rPr>
                      <w:rFonts w:ascii="宋体" w:hAnsi="宋体" w:cs="宋体" w:eastAsia="宋体"/>
                      <w:sz w:val="24"/>
                    </w:rPr>
                    <w:t>本次计划扩容分布式存储，采用双副本技术或其他技术，新增</w:t>
                  </w:r>
                  <w:r>
                    <w:rPr>
                      <w:rFonts w:ascii="宋体" w:hAnsi="宋体" w:cs="宋体" w:eastAsia="宋体"/>
                      <w:sz w:val="24"/>
                    </w:rPr>
                    <w:t>4个节点对外提供服务，4节点一共可用容量不低于885TB。</w:t>
                  </w:r>
                </w:p>
                <w:p>
                  <w:pPr>
                    <w:pStyle w:val="null3"/>
                    <w:spacing w:before="75"/>
                    <w:ind w:left="105" w:right="300"/>
                    <w:jc w:val="left"/>
                  </w:pPr>
                  <w:r>
                    <w:rPr>
                      <w:rFonts w:ascii="宋体" w:hAnsi="宋体" w:cs="宋体" w:eastAsia="宋体"/>
                      <w:sz w:val="24"/>
                    </w:rPr>
                    <w:t>（</w:t>
                  </w:r>
                  <w:r>
                    <w:rPr>
                      <w:rFonts w:ascii="宋体" w:hAnsi="宋体" w:cs="宋体" w:eastAsia="宋体"/>
                      <w:sz w:val="24"/>
                    </w:rPr>
                    <w:t>1）本次分布式存储扩容实施过程中，必须保证现有业务系统不停机；</w:t>
                  </w:r>
                </w:p>
                <w:p>
                  <w:pPr>
                    <w:pStyle w:val="null3"/>
                    <w:spacing w:before="75"/>
                    <w:ind w:left="105" w:right="300"/>
                    <w:jc w:val="left"/>
                  </w:pPr>
                  <w:r>
                    <w:rPr>
                      <w:rFonts w:ascii="宋体" w:hAnsi="宋体" w:cs="宋体" w:eastAsia="宋体"/>
                      <w:sz w:val="24"/>
                    </w:rPr>
                    <w:t>（</w:t>
                  </w:r>
                  <w:r>
                    <w:rPr>
                      <w:rFonts w:ascii="宋体" w:hAnsi="宋体" w:cs="宋体" w:eastAsia="宋体"/>
                      <w:sz w:val="24"/>
                    </w:rPr>
                    <w:t>2）在线迁移原有IBM V5000和V3700存储内PACS影像（170T左右）数据至扩增容量内。</w:t>
                  </w:r>
                </w:p>
              </w:tc>
            </w:tr>
            <w:tr>
              <w:tc>
                <w:tcPr>
                  <w:tcW w:type="dxa" w:w="32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300"/>
                    <w:ind w:left="405"/>
                    <w:jc w:val="center"/>
                  </w:pPr>
                  <w:r>
                    <w:rPr>
                      <w:rFonts w:ascii="宋体" w:hAnsi="宋体" w:cs="宋体" w:eastAsia="宋体"/>
                      <w:sz w:val="24"/>
                    </w:rPr>
                    <w:t>5</w:t>
                  </w:r>
                </w:p>
              </w:tc>
              <w:tc>
                <w:tcPr>
                  <w:tcW w:type="dxa" w:w="4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55"/>
                    <w:ind w:left="225"/>
                    <w:jc w:val="center"/>
                  </w:pPr>
                  <w:r>
                    <w:rPr>
                      <w:rFonts w:ascii="宋体" w:hAnsi="宋体" w:cs="宋体" w:eastAsia="宋体"/>
                      <w:sz w:val="24"/>
                    </w:rPr>
                    <w:t>需求分析</w:t>
                  </w:r>
                </w:p>
              </w:tc>
              <w:tc>
                <w:tcPr>
                  <w:tcW w:type="dxa" w:w="17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right="300"/>
                  </w:pPr>
                  <w:r>
                    <w:rPr>
                      <w:rFonts w:ascii="宋体" w:hAnsi="宋体" w:cs="宋体" w:eastAsia="宋体"/>
                      <w:sz w:val="24"/>
                    </w:rPr>
                    <w:t>1.</w:t>
                  </w:r>
                  <w:r>
                    <w:rPr>
                      <w:rFonts w:ascii="宋体" w:hAnsi="宋体" w:cs="宋体" w:eastAsia="宋体"/>
                      <w:sz w:val="24"/>
                    </w:rPr>
                    <w:t>双活存储扩容</w:t>
                  </w:r>
                </w:p>
                <w:p>
                  <w:pPr>
                    <w:pStyle w:val="null3"/>
                    <w:spacing w:before="75"/>
                    <w:ind w:right="300"/>
                  </w:pPr>
                  <w:r>
                    <w:rPr/>
                    <w:t xml:space="preserve">  </w:t>
                  </w:r>
                  <w:r>
                    <w:rPr>
                      <w:rFonts w:ascii="宋体" w:hAnsi="宋体" w:cs="宋体" w:eastAsia="宋体"/>
                      <w:sz w:val="24"/>
                    </w:rPr>
                    <w:t>计划</w:t>
                  </w:r>
                  <w:r>
                    <w:rPr>
                      <w:rFonts w:ascii="宋体" w:hAnsi="宋体" w:cs="宋体" w:eastAsia="宋体"/>
                      <w:sz w:val="24"/>
                    </w:rPr>
                    <w:t>扩容</w:t>
                  </w:r>
                  <w:r>
                    <w:rPr>
                      <w:rFonts w:ascii="宋体" w:hAnsi="宋体" w:cs="宋体" w:eastAsia="宋体"/>
                      <w:sz w:val="24"/>
                    </w:rPr>
                    <w:t>2台存储设备用于HIS业务系统使</w:t>
                  </w:r>
                  <w:r>
                    <w:rPr>
                      <w:rFonts w:ascii="宋体" w:hAnsi="宋体" w:cs="宋体" w:eastAsia="宋体"/>
                      <w:sz w:val="24"/>
                    </w:rPr>
                    <w:t>用；满足未来五年</w:t>
                  </w:r>
                  <w:r>
                    <w:rPr>
                      <w:rFonts w:ascii="宋体" w:hAnsi="宋体" w:cs="宋体" w:eastAsia="宋体"/>
                      <w:sz w:val="24"/>
                    </w:rPr>
                    <w:t>HIS业务系统数据存储需求。</w:t>
                  </w:r>
                </w:p>
                <w:p>
                  <w:pPr>
                    <w:pStyle w:val="null3"/>
                    <w:spacing w:before="75"/>
                    <w:ind w:right="300"/>
                  </w:pPr>
                  <w:r>
                    <w:rPr>
                      <w:rFonts w:ascii="宋体" w:hAnsi="宋体" w:cs="宋体" w:eastAsia="宋体"/>
                      <w:sz w:val="24"/>
                    </w:rPr>
                    <w:t>2.</w:t>
                  </w:r>
                  <w:r>
                    <w:rPr>
                      <w:rFonts w:ascii="宋体" w:hAnsi="宋体" w:cs="宋体" w:eastAsia="宋体"/>
                      <w:sz w:val="24"/>
                    </w:rPr>
                    <w:t>分布式存储采购</w:t>
                  </w:r>
                </w:p>
                <w:p>
                  <w:pPr>
                    <w:pStyle w:val="null3"/>
                    <w:spacing w:before="75"/>
                    <w:ind w:right="300"/>
                  </w:pPr>
                  <w:r>
                    <w:rPr/>
                    <w:t xml:space="preserve">  </w:t>
                  </w:r>
                  <w:r>
                    <w:rPr>
                      <w:rFonts w:ascii="宋体" w:hAnsi="宋体" w:cs="宋体" w:eastAsia="宋体"/>
                      <w:sz w:val="24"/>
                    </w:rPr>
                    <w:t>计划采购</w:t>
                  </w:r>
                  <w:r>
                    <w:rPr>
                      <w:rFonts w:ascii="宋体" w:hAnsi="宋体" w:cs="宋体" w:eastAsia="宋体"/>
                      <w:sz w:val="24"/>
                    </w:rPr>
                    <w:t>4节点分布式存储设备用于PACS核心业务系统使用，满足未来五年PACS业务系统数据存储需求。</w:t>
                  </w:r>
                </w:p>
              </w:tc>
            </w:tr>
          </w:tbl>
          <w:p/>
        </w:tc>
      </w:tr>
      <w:tr>
        <w:tc>
          <w:tcPr>
            <w:tcW w:type="dxa" w:w="2769"/>
          </w:tcPr>
          <w:p/>
        </w:tc>
        <w:tc>
          <w:tcPr>
            <w:tcW w:type="dxa" w:w="2769"/>
          </w:tcPr>
          <w:p>
            <w:pPr>
              <w:pStyle w:val="null3"/>
            </w:pPr>
            <w:r>
              <w:rPr/>
              <w:t>2</w:t>
            </w:r>
          </w:p>
        </w:tc>
        <w:tc>
          <w:tcPr>
            <w:tcW w:type="dxa" w:w="2769"/>
          </w:tcPr>
          <w:p>
            <w:pPr>
              <w:pStyle w:val="null3"/>
              <w:jc w:val="both"/>
            </w:pPr>
            <w:r>
              <w:rPr>
                <w:rFonts w:ascii="宋体" w:hAnsi="宋体" w:cs="宋体" w:eastAsia="宋体"/>
                <w:sz w:val="24"/>
              </w:rPr>
              <w:t>二、</w:t>
            </w:r>
            <w:r>
              <w:rPr>
                <w:rFonts w:ascii="宋体" w:hAnsi="宋体" w:cs="宋体" w:eastAsia="宋体"/>
                <w:sz w:val="24"/>
                <w:b/>
              </w:rPr>
              <w:t>技术要求</w:t>
            </w:r>
          </w:p>
          <w:p>
            <w:pPr>
              <w:pStyle w:val="null3"/>
              <w:jc w:val="both"/>
            </w:pPr>
            <w:r>
              <w:rPr>
                <w:rFonts w:ascii="宋体" w:hAnsi="宋体" w:cs="宋体" w:eastAsia="宋体"/>
                <w:sz w:val="24"/>
                <w:b/>
              </w:rPr>
              <w:t>（</w:t>
            </w:r>
            <w:r>
              <w:rPr>
                <w:rFonts w:ascii="宋体" w:hAnsi="宋体" w:cs="宋体" w:eastAsia="宋体"/>
                <w:sz w:val="24"/>
                <w:b/>
              </w:rPr>
              <w:t>一</w:t>
            </w:r>
            <w:r>
              <w:rPr>
                <w:rFonts w:ascii="宋体" w:hAnsi="宋体" w:cs="宋体" w:eastAsia="宋体"/>
                <w:sz w:val="24"/>
                <w:b/>
              </w:rPr>
              <w:t>）</w:t>
            </w:r>
            <w:r>
              <w:rPr>
                <w:rFonts w:ascii="宋体" w:hAnsi="宋体" w:cs="宋体" w:eastAsia="宋体"/>
                <w:sz w:val="24"/>
                <w:b/>
              </w:rPr>
              <w:t>集成需求</w:t>
            </w:r>
          </w:p>
          <w:p>
            <w:pPr>
              <w:pStyle w:val="null3"/>
              <w:jc w:val="both"/>
            </w:pPr>
            <w:r>
              <w:rPr>
                <w:rFonts w:ascii="宋体" w:hAnsi="宋体" w:cs="宋体" w:eastAsia="宋体"/>
                <w:sz w:val="24"/>
              </w:rPr>
              <w:t>不作为打分项，供服务要求集成标准参考。</w:t>
            </w:r>
          </w:p>
          <w:tbl>
            <w:tblPr>
              <w:tblInd w:type="dxa" w:w="135"/>
              <w:tblBorders>
                <w:top w:val="none" w:color="000000" w:sz="4"/>
                <w:left w:val="none" w:color="000000" w:sz="4"/>
                <w:bottom w:val="none" w:color="000000" w:sz="4"/>
                <w:right w:val="none" w:color="000000" w:sz="4"/>
                <w:insideH w:val="none"/>
                <w:insideV w:val="none"/>
              </w:tblBorders>
            </w:tblPr>
            <w:tblGrid>
              <w:gridCol w:w="263"/>
              <w:gridCol w:w="367"/>
              <w:gridCol w:w="1923"/>
            </w:tblGrid>
            <w:tr>
              <w:tc>
                <w:tcPr>
                  <w:tcW w:type="dxa" w:w="263"/>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255"/>
                  </w:pPr>
                  <w:r>
                    <w:rPr>
                      <w:rFonts w:ascii="宋体" w:hAnsi="宋体" w:cs="宋体" w:eastAsia="宋体"/>
                      <w:sz w:val="24"/>
                      <w:b/>
                    </w:rPr>
                    <w:t>序号</w:t>
                  </w:r>
                </w:p>
              </w:tc>
              <w:tc>
                <w:tcPr>
                  <w:tcW w:type="dxa" w:w="367"/>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450"/>
                  </w:pPr>
                  <w:r>
                    <w:rPr>
                      <w:rFonts w:ascii="宋体" w:hAnsi="宋体" w:cs="宋体" w:eastAsia="宋体"/>
                      <w:sz w:val="24"/>
                      <w:b/>
                    </w:rPr>
                    <w:t>内容</w:t>
                  </w:r>
                </w:p>
              </w:tc>
              <w:tc>
                <w:tcPr>
                  <w:tcW w:type="dxa" w:w="1923"/>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3195"/>
                  </w:pPr>
                  <w:r>
                    <w:rPr>
                      <w:rFonts w:ascii="宋体" w:hAnsi="宋体" w:cs="宋体" w:eastAsia="宋体"/>
                      <w:sz w:val="24"/>
                      <w:b/>
                    </w:rPr>
                    <w:t>说明</w:t>
                  </w:r>
                </w:p>
              </w:tc>
            </w:tr>
            <w:tr>
              <w:tc>
                <w:tcPr>
                  <w:tcW w:type="dxa" w:w="2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宋体" w:hAnsi="宋体" w:cs="宋体" w:eastAsia="宋体"/>
                      <w:sz w:val="24"/>
                    </w:rPr>
                    <w:t>1</w:t>
                  </w:r>
                </w:p>
              </w:tc>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24"/>
                    </w:rPr>
                    <w:t>业务需求</w:t>
                  </w:r>
                </w:p>
              </w:tc>
              <w:tc>
                <w:tcPr>
                  <w:tcW w:type="dxa" w:w="19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30" w:firstLine="29"/>
                    <w:jc w:val="left"/>
                  </w:pPr>
                  <w:r>
                    <w:rPr>
                      <w:rFonts w:ascii="宋体" w:hAnsi="宋体" w:cs="宋体" w:eastAsia="宋体"/>
                      <w:sz w:val="24"/>
                    </w:rPr>
                    <w:t>1.完成HIS系统数据库和集成平台数据库异地实时备份(DG)功能；</w:t>
                  </w:r>
                </w:p>
                <w:p>
                  <w:pPr>
                    <w:pStyle w:val="null3"/>
                    <w:spacing w:before="60"/>
                    <w:ind w:left="105" w:right="30" w:firstLine="29"/>
                    <w:jc w:val="left"/>
                  </w:pPr>
                  <w:r>
                    <w:rPr>
                      <w:rFonts w:ascii="宋体" w:hAnsi="宋体" w:cs="宋体" w:eastAsia="宋体"/>
                      <w:sz w:val="24"/>
                    </w:rPr>
                    <w:t>2.完成老HIS数据库到虚拟机的迁移工作。</w:t>
                  </w:r>
                </w:p>
              </w:tc>
            </w:tr>
            <w:tr>
              <w:tc>
                <w:tcPr>
                  <w:tcW w:type="dxa" w:w="2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宋体" w:hAnsi="宋体" w:cs="宋体" w:eastAsia="宋体"/>
                      <w:sz w:val="24"/>
                    </w:rPr>
                    <w:t>2</w:t>
                  </w:r>
                </w:p>
              </w:tc>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24"/>
                    </w:rPr>
                    <w:t>技术需求</w:t>
                  </w:r>
                </w:p>
              </w:tc>
              <w:tc>
                <w:tcPr>
                  <w:tcW w:type="dxa" w:w="19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30" w:firstLine="29"/>
                    <w:jc w:val="left"/>
                  </w:pPr>
                  <w:r>
                    <w:rPr>
                      <w:rFonts w:ascii="宋体" w:hAnsi="宋体" w:cs="宋体" w:eastAsia="宋体"/>
                      <w:sz w:val="24"/>
                    </w:rPr>
                    <w:t>完成</w:t>
                  </w:r>
                  <w:r>
                    <w:rPr>
                      <w:rFonts w:ascii="宋体" w:hAnsi="宋体" w:cs="宋体" w:eastAsia="宋体"/>
                      <w:sz w:val="24"/>
                    </w:rPr>
                    <w:t>PACS系统数据库服务器Oracle RAC集群搭建及相关业务服务器迁移等工作。</w:t>
                  </w:r>
                </w:p>
              </w:tc>
            </w:tr>
            <w:tr>
              <w:tc>
                <w:tcPr>
                  <w:tcW w:type="dxa" w:w="26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jc w:val="center"/>
                  </w:pPr>
                  <w:r>
                    <w:rPr>
                      <w:rFonts w:ascii="宋体" w:hAnsi="宋体" w:cs="宋体" w:eastAsia="宋体"/>
                      <w:sz w:val="24"/>
                    </w:rPr>
                    <w:t>3</w:t>
                  </w:r>
                </w:p>
              </w:tc>
              <w:tc>
                <w:tcPr>
                  <w:tcW w:type="dxa" w:w="36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90"/>
                    <w:jc w:val="center"/>
                  </w:pPr>
                  <w:r>
                    <w:rPr>
                      <w:rFonts w:ascii="宋体" w:hAnsi="宋体" w:cs="宋体" w:eastAsia="宋体"/>
                      <w:sz w:val="24"/>
                    </w:rPr>
                    <w:t>系统需求</w:t>
                  </w:r>
                </w:p>
              </w:tc>
              <w:tc>
                <w:tcPr>
                  <w:tcW w:type="dxa" w:w="192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105" w:right="30" w:firstLine="29"/>
                    <w:jc w:val="left"/>
                  </w:pPr>
                  <w:r>
                    <w:rPr>
                      <w:rFonts w:ascii="宋体" w:hAnsi="宋体" w:cs="宋体" w:eastAsia="宋体"/>
                      <w:sz w:val="24"/>
                    </w:rPr>
                    <w:t>1.改进 PACS 存储架构，提高 PACS 系统业务承载能力，保证 PACS 业务持续稳定的运行。</w:t>
                  </w:r>
                </w:p>
              </w:tc>
            </w:tr>
          </w:tbl>
          <w:p>
            <w:pPr>
              <w:pStyle w:val="null3"/>
              <w:jc w:val="both"/>
            </w:pPr>
            <w:r>
              <w:rPr>
                <w:rFonts w:ascii="宋体" w:hAnsi="宋体" w:cs="宋体" w:eastAsia="宋体"/>
                <w:sz w:val="24"/>
                <w:b/>
              </w:rPr>
              <w:t>（二）</w:t>
            </w:r>
            <w:r>
              <w:rPr>
                <w:rFonts w:ascii="宋体" w:hAnsi="宋体" w:cs="宋体" w:eastAsia="宋体"/>
                <w:sz w:val="24"/>
                <w:b/>
              </w:rPr>
              <w:t>采购产品一览表</w:t>
            </w:r>
          </w:p>
          <w:tbl>
            <w:tblPr>
              <w:tblInd w:type="dxa" w:w="135"/>
              <w:tblBorders>
                <w:top w:val="none" w:color="000000" w:sz="4"/>
                <w:left w:val="none" w:color="000000" w:sz="4"/>
                <w:bottom w:val="none" w:color="000000" w:sz="4"/>
                <w:right w:val="none" w:color="000000" w:sz="4"/>
                <w:insideH w:val="none"/>
                <w:insideV w:val="none"/>
              </w:tblBorders>
            </w:tblPr>
            <w:tblGrid>
              <w:gridCol w:w="211"/>
              <w:gridCol w:w="824"/>
              <w:gridCol w:w="477"/>
              <w:gridCol w:w="283"/>
              <w:gridCol w:w="278"/>
              <w:gridCol w:w="464"/>
            </w:tblGrid>
            <w:tr>
              <w:tc>
                <w:tcPr>
                  <w:tcW w:type="dxa" w:w="211"/>
                  <w:tcBorders>
                    <w:top w:val="single" w:color="000000" w:sz="4"/>
                    <w:left w:val="single" w:color="000000" w:sz="4"/>
                    <w:bottom w:val="single" w:color="000000" w:sz="4"/>
                    <w:right w:val="single" w:color="000000" w:sz="4"/>
                  </w:tcBorders>
                  <w:shd w:fill="BFBFBF"/>
                  <w:tcMar>
                    <w:top w:type="dxa" w:w="0"/>
                    <w:left w:type="dxa" w:w="0"/>
                    <w:bottom w:type="dxa" w:w="0"/>
                    <w:right w:type="dxa" w:w="0"/>
                  </w:tcMar>
                  <w:vAlign w:val="top"/>
                </w:tcPr>
                <w:p>
                  <w:pPr>
                    <w:pStyle w:val="null3"/>
                    <w:spacing w:before="120"/>
                    <w:ind w:left="165"/>
                  </w:pPr>
                  <w:r>
                    <w:rPr>
                      <w:rFonts w:ascii="宋体" w:hAnsi="宋体" w:cs="宋体" w:eastAsia="宋体"/>
                      <w:sz w:val="24"/>
                      <w:b/>
                    </w:rPr>
                    <w:t>序号</w:t>
                  </w:r>
                </w:p>
              </w:tc>
              <w:tc>
                <w:tcPr>
                  <w:tcW w:type="dxa" w:w="824"/>
                  <w:tcBorders>
                    <w:top w:val="single" w:color="000000" w:sz="4"/>
                    <w:left w:val="single" w:color="000000" w:sz="4"/>
                    <w:bottom w:val="single" w:color="000000" w:sz="4"/>
                    <w:right w:val="single" w:color="000000" w:sz="4"/>
                  </w:tcBorders>
                  <w:shd w:fill="BFBFBF"/>
                  <w:tcMar>
                    <w:top w:type="dxa" w:w="0"/>
                    <w:left w:type="dxa" w:w="0"/>
                    <w:bottom w:type="dxa" w:w="0"/>
                    <w:right w:type="dxa" w:w="0"/>
                  </w:tcMar>
                  <w:vAlign w:val="top"/>
                </w:tcPr>
                <w:p>
                  <w:pPr>
                    <w:pStyle w:val="null3"/>
                    <w:spacing w:before="120"/>
                    <w:ind w:left="930"/>
                  </w:pPr>
                  <w:r>
                    <w:rPr>
                      <w:rFonts w:ascii="宋体" w:hAnsi="宋体" w:cs="宋体" w:eastAsia="宋体"/>
                      <w:sz w:val="24"/>
                      <w:b/>
                    </w:rPr>
                    <w:t>货物名称</w:t>
                  </w:r>
                </w:p>
              </w:tc>
              <w:tc>
                <w:tcPr>
                  <w:tcW w:type="dxa" w:w="477"/>
                  <w:tcBorders>
                    <w:top w:val="single" w:color="000000" w:sz="4"/>
                    <w:left w:val="single" w:color="000000" w:sz="4"/>
                    <w:bottom w:val="single" w:color="000000" w:sz="4"/>
                    <w:right w:val="single" w:color="000000" w:sz="4"/>
                  </w:tcBorders>
                  <w:shd w:fill="BFBFBF"/>
                  <w:tcMar>
                    <w:top w:type="dxa" w:w="0"/>
                    <w:left w:type="dxa" w:w="0"/>
                    <w:bottom w:type="dxa" w:w="0"/>
                    <w:right w:type="dxa" w:w="0"/>
                  </w:tcMar>
                  <w:vAlign w:val="top"/>
                </w:tcPr>
                <w:p>
                  <w:pPr>
                    <w:pStyle w:val="null3"/>
                    <w:spacing w:before="120"/>
                    <w:ind w:left="135"/>
                  </w:pPr>
                  <w:r>
                    <w:rPr>
                      <w:rFonts w:ascii="宋体" w:hAnsi="宋体" w:cs="宋体" w:eastAsia="宋体"/>
                      <w:sz w:val="24"/>
                      <w:b/>
                    </w:rPr>
                    <w:t>是否为核心产品</w:t>
                  </w:r>
                </w:p>
              </w:tc>
              <w:tc>
                <w:tcPr>
                  <w:tcW w:type="dxa" w:w="283"/>
                  <w:tcBorders>
                    <w:top w:val="single" w:color="000000" w:sz="4"/>
                    <w:left w:val="single" w:color="000000" w:sz="4"/>
                    <w:bottom w:val="single" w:color="000000" w:sz="4"/>
                    <w:right w:val="single" w:color="000000" w:sz="4"/>
                  </w:tcBorders>
                  <w:shd w:fill="BFBFBF"/>
                  <w:tcMar>
                    <w:top w:type="dxa" w:w="0"/>
                    <w:left w:type="dxa" w:w="0"/>
                    <w:bottom w:type="dxa" w:w="0"/>
                    <w:right w:type="dxa" w:w="0"/>
                  </w:tcMar>
                  <w:vAlign w:val="top"/>
                </w:tcPr>
                <w:p>
                  <w:pPr>
                    <w:pStyle w:val="null3"/>
                    <w:spacing w:before="120"/>
                    <w:ind w:left="390"/>
                  </w:pPr>
                  <w:r>
                    <w:rPr>
                      <w:rFonts w:ascii="宋体" w:hAnsi="宋体" w:cs="宋体" w:eastAsia="宋体"/>
                      <w:sz w:val="24"/>
                      <w:b/>
                    </w:rPr>
                    <w:t>单位</w:t>
                  </w:r>
                </w:p>
              </w:tc>
              <w:tc>
                <w:tcPr>
                  <w:tcW w:type="dxa" w:w="278"/>
                  <w:tcBorders>
                    <w:top w:val="single" w:color="000000" w:sz="4"/>
                    <w:left w:val="single" w:color="000000" w:sz="4"/>
                    <w:bottom w:val="single" w:color="000000" w:sz="4"/>
                    <w:right w:val="single" w:color="000000" w:sz="4"/>
                  </w:tcBorders>
                  <w:shd w:fill="BFBFBF"/>
                  <w:tcMar>
                    <w:top w:type="dxa" w:w="0"/>
                    <w:left w:type="dxa" w:w="0"/>
                    <w:bottom w:type="dxa" w:w="0"/>
                    <w:right w:type="dxa" w:w="0"/>
                  </w:tcMar>
                  <w:vAlign w:val="top"/>
                </w:tcPr>
                <w:p>
                  <w:pPr>
                    <w:pStyle w:val="null3"/>
                    <w:spacing w:before="120"/>
                    <w:ind w:left="285"/>
                  </w:pPr>
                  <w:r>
                    <w:rPr>
                      <w:rFonts w:ascii="宋体" w:hAnsi="宋体" w:cs="宋体" w:eastAsia="宋体"/>
                      <w:sz w:val="24"/>
                      <w:b/>
                    </w:rPr>
                    <w:t>数量</w:t>
                  </w:r>
                </w:p>
              </w:tc>
              <w:tc>
                <w:tcPr>
                  <w:tcW w:type="dxa" w:w="464"/>
                  <w:tcBorders>
                    <w:top w:val="single" w:color="000000" w:sz="4"/>
                    <w:left w:val="single" w:color="000000" w:sz="4"/>
                    <w:bottom w:val="single" w:color="000000" w:sz="4"/>
                    <w:right w:val="single" w:color="000000" w:sz="4"/>
                  </w:tcBorders>
                  <w:shd w:fill="BFBFBF"/>
                  <w:tcMar>
                    <w:top w:type="dxa" w:w="0"/>
                    <w:left w:type="dxa" w:w="0"/>
                    <w:bottom w:type="dxa" w:w="0"/>
                    <w:right w:type="dxa" w:w="0"/>
                  </w:tcMar>
                  <w:vAlign w:val="top"/>
                </w:tcPr>
                <w:p>
                  <w:pPr>
                    <w:pStyle w:val="null3"/>
                    <w:spacing w:before="120"/>
                    <w:ind w:left="615"/>
                  </w:pPr>
                  <w:r>
                    <w:rPr>
                      <w:rFonts w:ascii="宋体" w:hAnsi="宋体" w:cs="宋体" w:eastAsia="宋体"/>
                      <w:sz w:val="24"/>
                      <w:b/>
                    </w:rPr>
                    <w:t>产地</w:t>
                  </w:r>
                </w:p>
              </w:tc>
            </w:tr>
            <w:tr>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45"/>
                    <w:jc w:val="both"/>
                  </w:pPr>
                  <w:r>
                    <w:rPr>
                      <w:rFonts w:ascii="宋体" w:hAnsi="宋体" w:cs="宋体" w:eastAsia="宋体"/>
                      <w:sz w:val="24"/>
                      <w:b/>
                    </w:rPr>
                    <w:t>1</w:t>
                  </w:r>
                </w:p>
              </w:tc>
              <w:tc>
                <w:tcPr>
                  <w:tcW w:type="dxa" w:w="8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宋体" w:hAnsi="宋体" w:cs="宋体" w:eastAsia="宋体"/>
                      <w:sz w:val="24"/>
                    </w:rPr>
                    <w:t>双活存储扩</w:t>
                  </w:r>
                  <w:r>
                    <w:rPr>
                      <w:rFonts w:ascii="宋体" w:hAnsi="宋体" w:cs="宋体" w:eastAsia="宋体"/>
                      <w:sz w:val="24"/>
                    </w:rPr>
                    <w:t>容</w:t>
                  </w:r>
                </w:p>
              </w:tc>
              <w:tc>
                <w:tcPr>
                  <w:tcW w:type="dxa" w:w="4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65"/>
                  </w:pPr>
                  <w:r>
                    <w:rPr>
                      <w:rFonts w:ascii="宋体" w:hAnsi="宋体" w:cs="宋体" w:eastAsia="宋体"/>
                      <w:sz w:val="24"/>
                    </w:rPr>
                    <w:t>是</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pPr>
                  <w:r>
                    <w:rPr>
                      <w:rFonts w:ascii="宋体" w:hAnsi="宋体" w:cs="宋体" w:eastAsia="宋体"/>
                      <w:sz w:val="24"/>
                    </w:rPr>
                    <w:t>套</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both"/>
                  </w:pPr>
                  <w:r>
                    <w:rPr>
                      <w:rFonts w:ascii="宋体" w:hAnsi="宋体" w:cs="宋体" w:eastAsia="宋体"/>
                      <w:sz w:val="24"/>
                    </w:rPr>
                    <w:t>1</w:t>
                  </w:r>
                </w:p>
              </w:tc>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pPr>
                  <w:r>
                    <w:rPr>
                      <w:rFonts w:ascii="宋体" w:hAnsi="宋体" w:cs="宋体" w:eastAsia="宋体"/>
                      <w:sz w:val="24"/>
                    </w:rPr>
                    <w:t>国产</w:t>
                  </w:r>
                </w:p>
              </w:tc>
            </w:tr>
            <w:tr>
              <w:tc>
                <w:tcPr>
                  <w:tcW w:type="dxa" w:w="211"/>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35"/>
                    <w:ind w:left="330"/>
                    <w:jc w:val="both"/>
                  </w:pPr>
                  <w:r>
                    <w:rPr>
                      <w:rFonts w:ascii="宋体" w:hAnsi="宋体" w:cs="宋体" w:eastAsia="宋体"/>
                      <w:sz w:val="24"/>
                      <w:b/>
                    </w:rPr>
                    <w:t>2</w:t>
                  </w:r>
                </w:p>
              </w:tc>
              <w:tc>
                <w:tcPr>
                  <w:tcW w:type="dxa" w:w="82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105"/>
                  </w:pPr>
                  <w:r>
                    <w:rPr>
                      <w:rFonts w:ascii="宋体" w:hAnsi="宋体" w:cs="宋体" w:eastAsia="宋体"/>
                      <w:sz w:val="24"/>
                    </w:rPr>
                    <w:t>分布式存储扩</w:t>
                  </w:r>
                  <w:r>
                    <w:rPr>
                      <w:rFonts w:ascii="宋体" w:hAnsi="宋体" w:cs="宋体" w:eastAsia="宋体"/>
                      <w:sz w:val="24"/>
                    </w:rPr>
                    <w:t>容</w:t>
                  </w:r>
                </w:p>
              </w:tc>
              <w:tc>
                <w:tcPr>
                  <w:tcW w:type="dxa" w:w="47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765"/>
                  </w:pPr>
                  <w:r>
                    <w:rPr>
                      <w:rFonts w:ascii="宋体" w:hAnsi="宋体" w:cs="宋体" w:eastAsia="宋体"/>
                      <w:sz w:val="24"/>
                    </w:rPr>
                    <w:t>是</w:t>
                  </w:r>
                </w:p>
              </w:tc>
              <w:tc>
                <w:tcPr>
                  <w:tcW w:type="dxa" w:w="2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495"/>
                  </w:pPr>
                  <w:r>
                    <w:rPr>
                      <w:rFonts w:ascii="宋体" w:hAnsi="宋体" w:cs="宋体" w:eastAsia="宋体"/>
                      <w:sz w:val="24"/>
                    </w:rPr>
                    <w:t>套</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450"/>
                    <w:jc w:val="both"/>
                  </w:pPr>
                  <w:r>
                    <w:rPr>
                      <w:rFonts w:ascii="宋体" w:hAnsi="宋体" w:cs="宋体" w:eastAsia="宋体"/>
                      <w:sz w:val="24"/>
                    </w:rPr>
                    <w:t>1</w:t>
                  </w:r>
                </w:p>
              </w:tc>
              <w:tc>
                <w:tcPr>
                  <w:tcW w:type="dxa" w:w="46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pPr>
                  <w:r>
                    <w:rPr>
                      <w:rFonts w:ascii="宋体" w:hAnsi="宋体" w:cs="宋体" w:eastAsia="宋体"/>
                      <w:sz w:val="24"/>
                    </w:rPr>
                    <w:t>国产</w:t>
                  </w:r>
                </w:p>
              </w:tc>
            </w:tr>
            <w:tr>
              <w:tc>
                <w:tcPr>
                  <w:tcW w:type="dxa" w:w="2537"/>
                  <w:gridSpan w:val="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630"/>
                    <w:jc w:val="center"/>
                  </w:pPr>
                  <w:r>
                    <w:rPr>
                      <w:rFonts w:ascii="宋体" w:hAnsi="宋体" w:cs="宋体" w:eastAsia="宋体"/>
                      <w:sz w:val="24"/>
                    </w:rPr>
                    <w:t>产品信息以本表为准</w:t>
                  </w:r>
                </w:p>
              </w:tc>
            </w:tr>
          </w:tbl>
          <w:p>
            <w:pPr>
              <w:pStyle w:val="null3"/>
              <w:jc w:val="both"/>
            </w:pPr>
            <w:r>
              <w:rPr>
                <w:rFonts w:ascii="宋体" w:hAnsi="宋体" w:cs="宋体" w:eastAsia="宋体"/>
                <w:sz w:val="24"/>
                <w:b/>
              </w:rPr>
              <w:t>（</w:t>
            </w:r>
            <w:r>
              <w:rPr>
                <w:rFonts w:ascii="宋体" w:hAnsi="宋体" w:cs="宋体" w:eastAsia="宋体"/>
                <w:sz w:val="24"/>
                <w:b/>
              </w:rPr>
              <w:t>三</w:t>
            </w:r>
            <w:r>
              <w:rPr>
                <w:rFonts w:ascii="宋体" w:hAnsi="宋体" w:cs="宋体" w:eastAsia="宋体"/>
                <w:sz w:val="24"/>
                <w:b/>
              </w:rPr>
              <w:t>）</w:t>
            </w:r>
            <w:r>
              <w:rPr>
                <w:rFonts w:ascii="宋体" w:hAnsi="宋体" w:cs="宋体" w:eastAsia="宋体"/>
                <w:sz w:val="24"/>
                <w:b/>
              </w:rPr>
              <w:t>产品清单及指标要求</w:t>
            </w:r>
          </w:p>
          <w:p>
            <w:pPr>
              <w:pStyle w:val="null3"/>
              <w:jc w:val="both"/>
            </w:pPr>
            <w:r>
              <w:rPr>
                <w:rFonts w:ascii="宋体" w:hAnsi="宋体" w:cs="宋体" w:eastAsia="宋体"/>
                <w:sz w:val="24"/>
                <w:b/>
              </w:rPr>
              <w:t>①“▲”的为重要技术指标；“*”号参数为一般技术指标。</w:t>
            </w:r>
          </w:p>
          <w:p>
            <w:pPr>
              <w:pStyle w:val="null3"/>
              <w:jc w:val="both"/>
            </w:pPr>
            <w:r>
              <w:rPr>
                <w:rFonts w:ascii="宋体" w:hAnsi="宋体" w:cs="宋体" w:eastAsia="宋体"/>
                <w:sz w:val="24"/>
                <w:b/>
              </w:rPr>
              <w:t>②“证明材料要求”项可填“是”和“否”。填“是”的，投标人须提供包含相关指标项的证明材料，证明材料可以使用生产厂家官方网站截图或产品白皮书或第三方机构检验报告或其他相关证明材料，未提供有效证明材料或证明材料中内容与所填报指标不一致的，该指标按不满足处理。</w:t>
            </w:r>
          </w:p>
          <w:p>
            <w:pPr>
              <w:pStyle w:val="null3"/>
              <w:jc w:val="both"/>
            </w:pPr>
            <w:r>
              <w:rPr>
                <w:rFonts w:ascii="宋体" w:hAnsi="宋体" w:cs="宋体" w:eastAsia="宋体"/>
                <w:sz w:val="24"/>
                <w:b/>
              </w:rPr>
              <w:t>③除需求中明确要求投标人承诺的事项外，其他要求提供证明材料的指标中，提供投标人承诺作为应答的不予认定。</w:t>
            </w:r>
          </w:p>
          <w:p>
            <w:pPr>
              <w:pStyle w:val="null3"/>
              <w:jc w:val="both"/>
            </w:pPr>
            <w:r>
              <w:rPr>
                <w:rFonts w:ascii="宋体" w:hAnsi="宋体" w:cs="宋体" w:eastAsia="宋体"/>
                <w:sz w:val="24"/>
                <w:b/>
              </w:rPr>
              <w:t>参数指标</w:t>
            </w:r>
          </w:p>
          <w:p>
            <w:pPr>
              <w:pStyle w:val="null3"/>
              <w:jc w:val="both"/>
            </w:pPr>
            <w:r>
              <w:rPr>
                <w:rFonts w:ascii="宋体" w:hAnsi="宋体" w:cs="宋体" w:eastAsia="宋体"/>
                <w:sz w:val="24"/>
                <w:b/>
              </w:rPr>
              <w:t>1.</w:t>
            </w:r>
            <w:r>
              <w:rPr>
                <w:rFonts w:ascii="宋体" w:hAnsi="宋体" w:cs="宋体" w:eastAsia="宋体"/>
                <w:sz w:val="24"/>
                <w:b/>
              </w:rPr>
              <w:t>双活存储</w:t>
            </w:r>
            <w:r>
              <w:rPr>
                <w:rFonts w:ascii="宋体" w:hAnsi="宋体" w:cs="宋体" w:eastAsia="宋体"/>
                <w:sz w:val="24"/>
                <w:b/>
              </w:rPr>
              <w:t>扩容</w:t>
            </w:r>
          </w:p>
          <w:tbl>
            <w:tblPr>
              <w:tblInd w:type="dxa" w:w="135"/>
              <w:tblBorders>
                <w:top w:val="none" w:color="000000" w:sz="4"/>
                <w:left w:val="none" w:color="000000" w:sz="4"/>
                <w:bottom w:val="none" w:color="000000" w:sz="4"/>
                <w:right w:val="none" w:color="000000" w:sz="4"/>
                <w:insideH w:val="none"/>
                <w:insideV w:val="none"/>
              </w:tblBorders>
            </w:tblPr>
            <w:tblGrid>
              <w:gridCol w:w="214"/>
              <w:gridCol w:w="299"/>
              <w:gridCol w:w="287"/>
              <w:gridCol w:w="1195"/>
              <w:gridCol w:w="559"/>
            </w:tblGrid>
            <w:tr>
              <w:tc>
                <w:tcPr>
                  <w:tcW w:type="dxa" w:w="214"/>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165"/>
                    <w:jc w:val="both"/>
                  </w:pPr>
                  <w:r>
                    <w:rPr>
                      <w:rFonts w:ascii="宋体" w:hAnsi="宋体" w:cs="宋体" w:eastAsia="宋体"/>
                      <w:sz w:val="24"/>
                      <w:b/>
                    </w:rPr>
                    <w:t>序号</w:t>
                  </w:r>
                </w:p>
              </w:tc>
              <w:tc>
                <w:tcPr>
                  <w:tcW w:type="dxa" w:w="299"/>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210"/>
                  </w:pPr>
                  <w:r>
                    <w:rPr>
                      <w:rFonts w:ascii="宋体" w:hAnsi="宋体" w:cs="宋体" w:eastAsia="宋体"/>
                      <w:sz w:val="24"/>
                      <w:b/>
                    </w:rPr>
                    <w:t>重要性</w:t>
                  </w:r>
                </w:p>
              </w:tc>
              <w:tc>
                <w:tcPr>
                  <w:tcW w:type="dxa" w:w="287"/>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jc w:val="center"/>
                  </w:pPr>
                  <w:r>
                    <w:rPr>
                      <w:rFonts w:ascii="宋体" w:hAnsi="宋体" w:cs="宋体" w:eastAsia="宋体"/>
                      <w:sz w:val="24"/>
                      <w:b/>
                    </w:rPr>
                    <w:t>指标项</w:t>
                  </w:r>
                </w:p>
              </w:tc>
              <w:tc>
                <w:tcPr>
                  <w:tcW w:type="dxa" w:w="1195"/>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1245"/>
                  </w:pPr>
                  <w:r>
                    <w:rPr>
                      <w:rFonts w:ascii="宋体" w:hAnsi="宋体" w:cs="宋体" w:eastAsia="宋体"/>
                      <w:sz w:val="24"/>
                      <w:b/>
                    </w:rPr>
                    <w:t>指标要求</w:t>
                  </w:r>
                </w:p>
              </w:tc>
              <w:tc>
                <w:tcPr>
                  <w:tcW w:type="dxa" w:w="559"/>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360"/>
                  </w:pPr>
                  <w:r>
                    <w:rPr>
                      <w:rFonts w:ascii="宋体" w:hAnsi="宋体" w:cs="宋体" w:eastAsia="宋体"/>
                      <w:sz w:val="24"/>
                      <w:b/>
                    </w:rPr>
                    <w:t>证明材料要求</w:t>
                  </w:r>
                </w:p>
              </w:tc>
            </w:tr>
            <w:tr>
              <w:tc>
                <w:tcPr>
                  <w:tcW w:type="dxa" w:w="255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70" w:right="180" w:firstLine="3381"/>
                    <w:jc w:val="both"/>
                  </w:pPr>
                  <w:r>
                    <w:rPr>
                      <w:rFonts w:ascii="宋体" w:hAnsi="宋体" w:cs="宋体" w:eastAsia="宋体"/>
                      <w:sz w:val="24"/>
                    </w:rPr>
                    <w:t>数量要求</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1</w:t>
                  </w:r>
                </w:p>
              </w:tc>
              <w:tc>
                <w:tcPr>
                  <w:tcW w:type="dxa" w:w="2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2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240"/>
                  </w:pPr>
                  <w:r>
                    <w:rPr>
                      <w:rFonts w:ascii="宋体" w:hAnsi="宋体" w:cs="宋体" w:eastAsia="宋体"/>
                      <w:sz w:val="24"/>
                    </w:rPr>
                    <w:t>数量</w:t>
                  </w:r>
                </w:p>
              </w:tc>
              <w:tc>
                <w:tcPr>
                  <w:tcW w:type="dxa" w:w="11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pPr>
                  <w:r>
                    <w:rPr>
                      <w:rFonts w:ascii="宋体" w:hAnsi="宋体" w:cs="宋体" w:eastAsia="宋体"/>
                      <w:sz w:val="24"/>
                    </w:rPr>
                    <w:t>本次</w:t>
                  </w:r>
                  <w:r>
                    <w:rPr>
                      <w:rFonts w:ascii="宋体" w:hAnsi="宋体" w:cs="宋体" w:eastAsia="宋体"/>
                      <w:sz w:val="24"/>
                    </w:rPr>
                    <w:t>扩容双活</w:t>
                  </w:r>
                  <w:r>
                    <w:rPr>
                      <w:rFonts w:ascii="宋体" w:hAnsi="宋体" w:cs="宋体" w:eastAsia="宋体"/>
                      <w:sz w:val="24"/>
                    </w:rPr>
                    <w:t>存储数量为</w:t>
                  </w:r>
                  <w:r>
                    <w:rPr>
                      <w:rFonts w:ascii="宋体" w:hAnsi="宋体" w:cs="宋体" w:eastAsia="宋体"/>
                      <w:sz w:val="24"/>
                    </w:rPr>
                    <w:t>1套</w:t>
                  </w:r>
                  <w:r>
                    <w:rPr>
                      <w:rFonts w:ascii="宋体" w:hAnsi="宋体" w:cs="宋体" w:eastAsia="宋体"/>
                      <w:sz w:val="24"/>
                      <w:b/>
                    </w:rPr>
                    <w:t>。可用容量不低于</w:t>
                  </w:r>
                  <w:r>
                    <w:rPr>
                      <w:rFonts w:ascii="宋体" w:hAnsi="宋体" w:cs="宋体" w:eastAsia="宋体"/>
                      <w:sz w:val="24"/>
                      <w:b/>
                    </w:rPr>
                    <w:t>80</w:t>
                  </w:r>
                  <w:r>
                    <w:rPr>
                      <w:rFonts w:ascii="宋体" w:hAnsi="宋体" w:cs="宋体" w:eastAsia="宋体"/>
                      <w:sz w:val="24"/>
                      <w:b/>
                    </w:rPr>
                    <w:t>T。</w:t>
                  </w:r>
                </w:p>
              </w:tc>
              <w:tc>
                <w:tcPr>
                  <w:tcW w:type="dxa" w:w="5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885"/>
                  </w:pPr>
                  <w:r>
                    <w:rPr>
                      <w:rFonts w:ascii="宋体" w:hAnsi="宋体" w:cs="宋体" w:eastAsia="宋体"/>
                      <w:sz w:val="24"/>
                    </w:rPr>
                    <w:t>是</w:t>
                  </w:r>
                </w:p>
              </w:tc>
            </w:tr>
            <w:tr>
              <w:tc>
                <w:tcPr>
                  <w:tcW w:type="dxa" w:w="255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70" w:right="180" w:firstLine="3381"/>
                    <w:jc w:val="both"/>
                  </w:pPr>
                  <w:r>
                    <w:rPr>
                      <w:rFonts w:ascii="宋体" w:hAnsi="宋体" w:cs="宋体" w:eastAsia="宋体"/>
                      <w:sz w:val="24"/>
                    </w:rPr>
                    <w:t>硬件要求</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宋体" w:hAnsi="宋体" w:cs="宋体" w:eastAsia="宋体"/>
                      <w:sz w:val="24"/>
                    </w:rPr>
                    <w:t>2</w:t>
                  </w:r>
                </w:p>
              </w:tc>
              <w:tc>
                <w:tcPr>
                  <w:tcW w:type="dxa" w:w="2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2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宋体" w:hAnsi="宋体" w:cs="宋体" w:eastAsia="宋体"/>
                      <w:sz w:val="24"/>
                    </w:rPr>
                    <w:t>控制器</w:t>
                  </w:r>
                </w:p>
              </w:tc>
              <w:tc>
                <w:tcPr>
                  <w:tcW w:type="dxa" w:w="11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pPr>
                  <w:r>
                    <w:rPr>
                      <w:rFonts w:ascii="宋体" w:hAnsi="宋体" w:cs="宋体" w:eastAsia="宋体"/>
                      <w:sz w:val="24"/>
                    </w:rPr>
                    <w:t>本次</w:t>
                  </w:r>
                  <w:r>
                    <w:rPr>
                      <w:rFonts w:ascii="宋体" w:hAnsi="宋体" w:cs="宋体" w:eastAsia="宋体"/>
                      <w:sz w:val="24"/>
                    </w:rPr>
                    <w:t>采</w:t>
                  </w:r>
                  <w:r>
                    <w:rPr>
                      <w:rFonts w:ascii="宋体" w:hAnsi="宋体" w:cs="宋体" w:eastAsia="宋体"/>
                      <w:sz w:val="24"/>
                    </w:rPr>
                    <w:t>购的每台存储设备采用</w:t>
                  </w:r>
                  <w:r>
                    <w:rPr>
                      <w:rFonts w:ascii="宋体" w:hAnsi="宋体" w:cs="宋体" w:eastAsia="宋体"/>
                      <w:sz w:val="24"/>
                      <w:color w:val="000000"/>
                    </w:rPr>
                    <w:t>冗余</w:t>
                  </w:r>
                  <w:r>
                    <w:rPr>
                      <w:rFonts w:ascii="宋体" w:hAnsi="宋体" w:cs="宋体" w:eastAsia="宋体"/>
                      <w:sz w:val="24"/>
                      <w:color w:val="000000"/>
                    </w:rPr>
                    <w:t>SAN统一存储控制器，控制器一级缓存≥512GB，最大可扩展到≥32个控制器。</w:t>
                  </w:r>
                </w:p>
              </w:tc>
              <w:tc>
                <w:tcPr>
                  <w:tcW w:type="dxa" w:w="5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885"/>
                  </w:pPr>
                  <w:r>
                    <w:rPr>
                      <w:rFonts w:ascii="宋体" w:hAnsi="宋体" w:cs="宋体" w:eastAsia="宋体"/>
                      <w:sz w:val="24"/>
                    </w:rPr>
                    <w:t>否</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宋体" w:hAnsi="宋体" w:cs="宋体" w:eastAsia="宋体"/>
                      <w:sz w:val="24"/>
                    </w:rPr>
                    <w:t>3</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240"/>
                  </w:pPr>
                  <w:r>
                    <w:rPr>
                      <w:rFonts w:ascii="宋体" w:hAnsi="宋体" w:cs="宋体" w:eastAsia="宋体"/>
                      <w:sz w:val="24"/>
                    </w:rPr>
                    <w:t>硬盘</w:t>
                  </w:r>
                </w:p>
              </w:tc>
              <w:tc>
                <w:tcPr>
                  <w:tcW w:type="dxa" w:w="1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双活后</w:t>
                  </w:r>
                  <w:r>
                    <w:rPr>
                      <w:rFonts w:ascii="宋体" w:hAnsi="宋体" w:cs="宋体" w:eastAsia="宋体"/>
                      <w:sz w:val="24"/>
                    </w:rPr>
                    <w:t>HDD硬盘可用容量不低于</w:t>
                  </w:r>
                  <w:r>
                    <w:rPr>
                      <w:rFonts w:ascii="宋体" w:hAnsi="宋体" w:cs="宋体" w:eastAsia="宋体"/>
                      <w:sz w:val="24"/>
                      <w:b/>
                    </w:rPr>
                    <w:t>6</w:t>
                  </w:r>
                  <w:r>
                    <w:rPr>
                      <w:rFonts w:ascii="宋体" w:hAnsi="宋体" w:cs="宋体" w:eastAsia="宋体"/>
                      <w:sz w:val="24"/>
                      <w:b/>
                    </w:rPr>
                    <w:t>1</w:t>
                  </w:r>
                  <w:r>
                    <w:rPr>
                      <w:rFonts w:ascii="宋体" w:hAnsi="宋体" w:cs="宋体" w:eastAsia="宋体"/>
                      <w:sz w:val="24"/>
                      <w:b/>
                    </w:rPr>
                    <w:t>TB</w:t>
                  </w:r>
                  <w:r>
                    <w:rPr>
                      <w:rFonts w:ascii="宋体" w:hAnsi="宋体" w:cs="宋体" w:eastAsia="宋体"/>
                      <w:sz w:val="24"/>
                    </w:rPr>
                    <w:t>，</w:t>
                  </w:r>
                  <w:r>
                    <w:rPr>
                      <w:rFonts w:ascii="宋体" w:hAnsi="宋体" w:cs="宋体" w:eastAsia="宋体"/>
                      <w:sz w:val="24"/>
                    </w:rPr>
                    <w:t>SSD硬盘总可用容量不低于</w:t>
                  </w:r>
                  <w:r>
                    <w:rPr>
                      <w:rFonts w:ascii="宋体" w:hAnsi="宋体" w:cs="宋体" w:eastAsia="宋体"/>
                      <w:sz w:val="24"/>
                      <w:b/>
                    </w:rPr>
                    <w:t>19</w:t>
                  </w:r>
                  <w:r>
                    <w:rPr>
                      <w:rFonts w:ascii="宋体" w:hAnsi="宋体" w:cs="宋体" w:eastAsia="宋体"/>
                      <w:sz w:val="24"/>
                      <w:b/>
                    </w:rPr>
                    <w:t>TB</w:t>
                  </w:r>
                  <w:r>
                    <w:rPr>
                      <w:rFonts w:ascii="宋体" w:hAnsi="宋体" w:cs="宋体" w:eastAsia="宋体"/>
                      <w:sz w:val="24"/>
                      <w:b/>
                    </w:rPr>
                    <w:t>。</w:t>
                  </w:r>
                </w:p>
              </w:tc>
              <w:tc>
                <w:tcPr>
                  <w:tcW w:type="dxa" w:w="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885"/>
                  </w:pPr>
                  <w:r>
                    <w:rPr>
                      <w:rFonts w:ascii="宋体" w:hAnsi="宋体" w:cs="宋体" w:eastAsia="宋体"/>
                      <w:sz w:val="24"/>
                    </w:rPr>
                    <w:t>是</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宋体" w:hAnsi="宋体" w:cs="宋体" w:eastAsia="宋体"/>
                      <w:sz w:val="24"/>
                    </w:rPr>
                    <w:t>4</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287"/>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240"/>
                  </w:pPr>
                  <w:r>
                    <w:rPr>
                      <w:rFonts w:ascii="宋体" w:hAnsi="宋体" w:cs="宋体" w:eastAsia="宋体"/>
                      <w:sz w:val="24"/>
                    </w:rPr>
                    <w:t>接口</w:t>
                  </w:r>
                </w:p>
              </w:tc>
              <w:tc>
                <w:tcPr>
                  <w:tcW w:type="dxa" w:w="119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pPr>
                  <w:r>
                    <w:rPr>
                      <w:rFonts w:ascii="宋体" w:hAnsi="宋体" w:cs="宋体" w:eastAsia="宋体"/>
                      <w:sz w:val="24"/>
                    </w:rPr>
                    <w:t>若采用新购的扩容方式每台存储设备接口配置</w:t>
                  </w:r>
                  <w:r>
                    <w:rPr>
                      <w:rFonts w:ascii="宋体" w:hAnsi="宋体" w:cs="宋体" w:eastAsia="宋体"/>
                      <w:sz w:val="24"/>
                    </w:rPr>
                    <w:t>≥8个16Gb FC接口，≥8个10Gb万兆接口，≥6个千兆接口。</w:t>
                  </w:r>
                </w:p>
              </w:tc>
              <w:tc>
                <w:tcPr>
                  <w:tcW w:type="dxa" w:w="55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885"/>
                  </w:pPr>
                  <w:r>
                    <w:rPr>
                      <w:rFonts w:ascii="宋体" w:hAnsi="宋体" w:cs="宋体" w:eastAsia="宋体"/>
                      <w:sz w:val="24"/>
                    </w:rPr>
                    <w:t>否</w:t>
                  </w:r>
                </w:p>
              </w:tc>
            </w:tr>
            <w:tr>
              <w:tc>
                <w:tcPr>
                  <w:tcW w:type="dxa" w:w="255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firstLine="3840"/>
                    <w:jc w:val="both"/>
                  </w:pPr>
                  <w:r>
                    <w:rPr>
                      <w:rFonts w:ascii="宋体" w:hAnsi="宋体" w:cs="宋体" w:eastAsia="宋体"/>
                      <w:sz w:val="24"/>
                    </w:rPr>
                    <w:t>软件要求</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宋体" w:hAnsi="宋体" w:cs="宋体" w:eastAsia="宋体"/>
                      <w:sz w:val="24"/>
                    </w:rPr>
                    <w:t>6</w:t>
                  </w:r>
                </w:p>
              </w:tc>
              <w:tc>
                <w:tcPr>
                  <w:tcW w:type="dxa" w:w="2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2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240"/>
                  </w:pPr>
                  <w:r>
                    <w:rPr>
                      <w:rFonts w:ascii="宋体" w:hAnsi="宋体" w:cs="宋体" w:eastAsia="宋体"/>
                      <w:sz w:val="24"/>
                    </w:rPr>
                    <w:t>软件</w:t>
                  </w:r>
                </w:p>
              </w:tc>
              <w:tc>
                <w:tcPr>
                  <w:tcW w:type="dxa" w:w="11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pPr>
                  <w:r>
                    <w:rPr>
                      <w:rFonts w:ascii="宋体" w:hAnsi="宋体" w:cs="宋体" w:eastAsia="宋体"/>
                      <w:sz w:val="24"/>
                    </w:rPr>
                    <w:t>本次</w:t>
                  </w:r>
                  <w:r>
                    <w:rPr>
                      <w:rFonts w:ascii="宋体" w:hAnsi="宋体" w:cs="宋体" w:eastAsia="宋体"/>
                      <w:sz w:val="24"/>
                    </w:rPr>
                    <w:t>采</w:t>
                  </w:r>
                  <w:r>
                    <w:rPr>
                      <w:rFonts w:ascii="宋体" w:hAnsi="宋体" w:cs="宋体" w:eastAsia="宋体"/>
                      <w:sz w:val="24"/>
                    </w:rPr>
                    <w:t>购的每台存储设备软件需配备存储双活软件、存储异构虚拟化软件、存储数据快照保护软件、存储自动分层软件，配置</w:t>
                  </w:r>
                  <w:r>
                    <w:rPr>
                      <w:rFonts w:ascii="宋体" w:hAnsi="宋体" w:cs="宋体" w:eastAsia="宋体"/>
                      <w:sz w:val="24"/>
                    </w:rPr>
                    <w:t>FC、iSCSI等存储网络协议。</w:t>
                  </w:r>
                </w:p>
              </w:tc>
              <w:tc>
                <w:tcPr>
                  <w:tcW w:type="dxa" w:w="5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885"/>
                  </w:pPr>
                  <w:r>
                    <w:rPr>
                      <w:rFonts w:ascii="宋体" w:hAnsi="宋体" w:cs="宋体" w:eastAsia="宋体"/>
                      <w:sz w:val="24"/>
                    </w:rPr>
                    <w:t>是</w:t>
                  </w:r>
                </w:p>
              </w:tc>
            </w:tr>
            <w:tr>
              <w:tc>
                <w:tcPr>
                  <w:tcW w:type="dxa" w:w="2554"/>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70" w:right="180" w:firstLine="3381"/>
                    <w:jc w:val="both"/>
                  </w:pPr>
                  <w:r>
                    <w:rPr>
                      <w:rFonts w:ascii="宋体" w:hAnsi="宋体" w:cs="宋体" w:eastAsia="宋体"/>
                      <w:sz w:val="24"/>
                    </w:rPr>
                    <w:t>服务要求</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宋体" w:hAnsi="宋体" w:cs="宋体" w:eastAsia="宋体"/>
                      <w:sz w:val="24"/>
                    </w:rPr>
                    <w:t>8</w:t>
                  </w:r>
                </w:p>
              </w:tc>
              <w:tc>
                <w:tcPr>
                  <w:tcW w:type="dxa" w:w="2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287"/>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240"/>
                  </w:pPr>
                  <w:r>
                    <w:rPr>
                      <w:rFonts w:ascii="宋体" w:hAnsi="宋体" w:cs="宋体" w:eastAsia="宋体"/>
                      <w:sz w:val="24"/>
                    </w:rPr>
                    <w:t>服务</w:t>
                  </w:r>
                </w:p>
              </w:tc>
              <w:tc>
                <w:tcPr>
                  <w:tcW w:type="dxa" w:w="119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pPr>
                  <w:r>
                    <w:rPr>
                      <w:rFonts w:ascii="宋体" w:hAnsi="宋体" w:cs="宋体" w:eastAsia="宋体"/>
                      <w:sz w:val="24"/>
                    </w:rPr>
                    <w:t>本次</w:t>
                  </w:r>
                  <w:r>
                    <w:rPr>
                      <w:rFonts w:ascii="宋体" w:hAnsi="宋体" w:cs="宋体" w:eastAsia="宋体"/>
                      <w:sz w:val="24"/>
                    </w:rPr>
                    <w:t>采</w:t>
                  </w:r>
                  <w:r>
                    <w:rPr>
                      <w:rFonts w:ascii="宋体" w:hAnsi="宋体" w:cs="宋体" w:eastAsia="宋体"/>
                      <w:sz w:val="24"/>
                    </w:rPr>
                    <w:t>购的存储设备需提供原厂安装服务，提供三年原厂维保。</w:t>
                  </w:r>
                </w:p>
              </w:tc>
              <w:tc>
                <w:tcPr>
                  <w:tcW w:type="dxa" w:w="55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885"/>
                  </w:pPr>
                  <w:r>
                    <w:rPr>
                      <w:rFonts w:ascii="宋体" w:hAnsi="宋体" w:cs="宋体" w:eastAsia="宋体"/>
                      <w:sz w:val="24"/>
                    </w:rPr>
                    <w:t>是</w:t>
                  </w:r>
                </w:p>
              </w:tc>
            </w:tr>
          </w:tbl>
          <w:p>
            <w:pPr>
              <w:pStyle w:val="null3"/>
              <w:jc w:val="both"/>
            </w:pPr>
            <w:r>
              <w:rPr>
                <w:rFonts w:ascii="宋体" w:hAnsi="宋体" w:cs="宋体" w:eastAsia="宋体"/>
                <w:sz w:val="24"/>
                <w:b/>
                <w:color w:val="000000"/>
              </w:rPr>
              <w:t>备注：</w:t>
            </w:r>
            <w:r>
              <w:rPr>
                <w:rFonts w:ascii="宋体" w:hAnsi="宋体" w:cs="宋体" w:eastAsia="宋体"/>
                <w:sz w:val="24"/>
                <w:b/>
                <w:color w:val="000000"/>
              </w:rPr>
              <w:t>供应商在满足可用容量要求的情况下自行选配设备。</w:t>
            </w:r>
          </w:p>
          <w:p>
            <w:pPr>
              <w:pStyle w:val="null3"/>
              <w:jc w:val="both"/>
            </w:pPr>
            <w:r>
              <w:rPr>
                <w:rFonts w:ascii="宋体" w:hAnsi="宋体" w:cs="宋体" w:eastAsia="宋体"/>
                <w:sz w:val="24"/>
                <w:b/>
              </w:rPr>
              <w:t>2.</w:t>
            </w:r>
            <w:r>
              <w:rPr>
                <w:rFonts w:ascii="宋体" w:hAnsi="宋体" w:cs="宋体" w:eastAsia="宋体"/>
                <w:sz w:val="24"/>
                <w:b/>
              </w:rPr>
              <w:t>分布式存储扩</w:t>
            </w:r>
            <w:r>
              <w:rPr>
                <w:rFonts w:ascii="宋体" w:hAnsi="宋体" w:cs="宋体" w:eastAsia="宋体"/>
                <w:sz w:val="24"/>
                <w:b/>
              </w:rPr>
              <w:t>扩容</w:t>
            </w:r>
          </w:p>
          <w:tbl>
            <w:tblPr>
              <w:tblInd w:type="dxa" w:w="135"/>
              <w:tblBorders>
                <w:top w:val="none" w:color="000000" w:sz="4"/>
                <w:left w:val="none" w:color="000000" w:sz="4"/>
                <w:bottom w:val="none" w:color="000000" w:sz="4"/>
                <w:right w:val="none" w:color="000000" w:sz="4"/>
                <w:insideH w:val="none"/>
                <w:insideV w:val="none"/>
              </w:tblBorders>
            </w:tblPr>
            <w:tblGrid>
              <w:gridCol w:w="214"/>
              <w:gridCol w:w="299"/>
              <w:gridCol w:w="389"/>
              <w:gridCol w:w="1256"/>
              <w:gridCol w:w="394"/>
            </w:tblGrid>
            <w:tr>
              <w:tc>
                <w:tcPr>
                  <w:tcW w:type="dxa" w:w="214"/>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165"/>
                  </w:pPr>
                  <w:r>
                    <w:rPr>
                      <w:rFonts w:ascii="宋体" w:hAnsi="宋体" w:cs="宋体" w:eastAsia="宋体"/>
                      <w:sz w:val="24"/>
                      <w:b/>
                    </w:rPr>
                    <w:t>序号</w:t>
                  </w:r>
                </w:p>
              </w:tc>
              <w:tc>
                <w:tcPr>
                  <w:tcW w:type="dxa" w:w="299"/>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210"/>
                  </w:pPr>
                  <w:r>
                    <w:rPr>
                      <w:rFonts w:ascii="宋体" w:hAnsi="宋体" w:cs="宋体" w:eastAsia="宋体"/>
                      <w:sz w:val="24"/>
                      <w:b/>
                    </w:rPr>
                    <w:t>重要性</w:t>
                  </w:r>
                </w:p>
              </w:tc>
              <w:tc>
                <w:tcPr>
                  <w:tcW w:type="dxa" w:w="389"/>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jc w:val="center"/>
                  </w:pPr>
                  <w:r>
                    <w:rPr>
                      <w:rFonts w:ascii="宋体" w:hAnsi="宋体" w:cs="宋体" w:eastAsia="宋体"/>
                      <w:sz w:val="24"/>
                      <w:b/>
                    </w:rPr>
                    <w:t>指标项</w:t>
                  </w:r>
                </w:p>
              </w:tc>
              <w:tc>
                <w:tcPr>
                  <w:tcW w:type="dxa" w:w="1256"/>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ind w:left="1245"/>
                  </w:pPr>
                  <w:r>
                    <w:rPr>
                      <w:rFonts w:ascii="宋体" w:hAnsi="宋体" w:cs="宋体" w:eastAsia="宋体"/>
                      <w:sz w:val="24"/>
                      <w:b/>
                    </w:rPr>
                    <w:t>指标要求</w:t>
                  </w:r>
                </w:p>
              </w:tc>
              <w:tc>
                <w:tcPr>
                  <w:tcW w:type="dxa" w:w="394"/>
                  <w:tcBorders>
                    <w:top w:val="single" w:color="000000" w:sz="4"/>
                    <w:left w:val="single" w:color="000000" w:sz="4"/>
                    <w:bottom w:val="single" w:color="000000" w:sz="4"/>
                    <w:right w:val="single" w:color="000000" w:sz="4"/>
                  </w:tcBorders>
                  <w:shd w:fill="A6A6A6"/>
                  <w:tcMar>
                    <w:top w:type="dxa" w:w="0"/>
                    <w:left w:type="dxa" w:w="0"/>
                    <w:bottom w:type="dxa" w:w="0"/>
                    <w:right w:type="dxa" w:w="0"/>
                  </w:tcMar>
                  <w:vAlign w:val="top"/>
                </w:tcPr>
                <w:p>
                  <w:pPr>
                    <w:pStyle w:val="null3"/>
                    <w:spacing w:before="75"/>
                  </w:pPr>
                  <w:r>
                    <w:rPr>
                      <w:rFonts w:ascii="宋体" w:hAnsi="宋体" w:cs="宋体" w:eastAsia="宋体"/>
                      <w:sz w:val="24"/>
                      <w:b/>
                    </w:rPr>
                    <w:t>证明材料要求</w:t>
                  </w:r>
                </w:p>
              </w:tc>
            </w:tr>
            <w:tr>
              <w:tc>
                <w:tcPr>
                  <w:tcW w:type="dxa" w:w="255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70" w:right="180" w:firstLine="3381"/>
                  </w:pPr>
                  <w:r>
                    <w:rPr>
                      <w:rFonts w:ascii="宋体" w:hAnsi="宋体" w:cs="宋体" w:eastAsia="宋体"/>
                      <w:sz w:val="24"/>
                    </w:rPr>
                    <w:t>数量要求</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1</w:t>
                  </w:r>
                </w:p>
              </w:tc>
              <w:tc>
                <w:tcPr>
                  <w:tcW w:type="dxa" w:w="2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240"/>
                  </w:pPr>
                  <w:r>
                    <w:rPr>
                      <w:rFonts w:ascii="宋体" w:hAnsi="宋体" w:cs="宋体" w:eastAsia="宋体"/>
                      <w:sz w:val="24"/>
                    </w:rPr>
                    <w:t>数量</w:t>
                  </w:r>
                </w:p>
              </w:tc>
              <w:tc>
                <w:tcPr>
                  <w:tcW w:type="dxa" w:w="12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firstLine="240"/>
                  </w:pPr>
                  <w:r>
                    <w:rPr>
                      <w:rFonts w:ascii="宋体" w:hAnsi="宋体" w:cs="宋体" w:eastAsia="宋体"/>
                      <w:sz w:val="24"/>
                      <w:color w:val="000000"/>
                    </w:rPr>
                    <w:t>本次计划扩容分布式存储</w:t>
                  </w:r>
                  <w:r>
                    <w:rPr>
                      <w:rFonts w:ascii="宋体" w:hAnsi="宋体" w:cs="宋体" w:eastAsia="宋体"/>
                      <w:sz w:val="24"/>
                      <w:b/>
                      <w:color w:val="000000"/>
                    </w:rPr>
                    <w:t>4节点，可用容量不低于885TB</w:t>
                  </w:r>
                </w:p>
              </w:tc>
              <w:tc>
                <w:tcPr>
                  <w:tcW w:type="dxa" w:w="3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4"/>
                    </w:rPr>
                    <w:t>是</w:t>
                  </w:r>
                </w:p>
              </w:tc>
            </w:tr>
            <w:tr>
              <w:tc>
                <w:tcPr>
                  <w:tcW w:type="dxa" w:w="255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70" w:right="180" w:firstLine="3381"/>
                  </w:pPr>
                  <w:r>
                    <w:rPr>
                      <w:rFonts w:ascii="宋体" w:hAnsi="宋体" w:cs="宋体" w:eastAsia="宋体"/>
                      <w:sz w:val="24"/>
                    </w:rPr>
                    <w:t>硬件要求</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宋体" w:hAnsi="宋体" w:cs="宋体" w:eastAsia="宋体"/>
                      <w:sz w:val="24"/>
                    </w:rPr>
                    <w:t>2</w:t>
                  </w:r>
                </w:p>
              </w:tc>
              <w:tc>
                <w:tcPr>
                  <w:tcW w:type="dxa" w:w="2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宋体" w:hAnsi="宋体" w:cs="宋体" w:eastAsia="宋体"/>
                      <w:sz w:val="24"/>
                    </w:rPr>
                    <w:t>CPU</w:t>
                  </w:r>
                </w:p>
              </w:tc>
              <w:tc>
                <w:tcPr>
                  <w:tcW w:type="dxa" w:w="12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4"/>
                    </w:rPr>
                    <w:t>2路Intel Xeon 20核以上处理器，主频≥2.1GHz</w:t>
                  </w:r>
                </w:p>
              </w:tc>
              <w:tc>
                <w:tcPr>
                  <w:tcW w:type="dxa" w:w="3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4"/>
                    </w:rPr>
                    <w:t>是</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center"/>
                  </w:pPr>
                  <w:r>
                    <w:rPr>
                      <w:rFonts w:ascii="宋体" w:hAnsi="宋体" w:cs="宋体" w:eastAsia="宋体"/>
                      <w:sz w:val="24"/>
                    </w:rPr>
                    <w:t>3</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jc w:val="center"/>
                  </w:pPr>
                  <w:r>
                    <w:rPr>
                      <w:rFonts w:ascii="宋体" w:hAnsi="宋体" w:cs="宋体" w:eastAsia="宋体"/>
                      <w:sz w:val="24"/>
                      <w:b/>
                      <w:color w:val="000000"/>
                    </w:rPr>
                    <w:t>内存</w:t>
                  </w:r>
                </w:p>
              </w:tc>
              <w:tc>
                <w:tcPr>
                  <w:tcW w:type="dxa" w:w="1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jc w:val="center"/>
                  </w:pPr>
                  <w:r>
                    <w:rPr>
                      <w:rFonts w:ascii="宋体" w:hAnsi="宋体" w:cs="宋体" w:eastAsia="宋体"/>
                      <w:sz w:val="24"/>
                      <w:color w:val="000000"/>
                    </w:rPr>
                    <w:t>≥256GB DDR4 3200MHz内存</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4"/>
                    </w:rPr>
                    <w:t>是</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center"/>
                  </w:pPr>
                  <w:r>
                    <w:rPr>
                      <w:rFonts w:ascii="宋体" w:hAnsi="宋体" w:cs="宋体" w:eastAsia="宋体"/>
                      <w:sz w:val="24"/>
                    </w:rPr>
                    <w:t>4</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系统盘</w:t>
                  </w:r>
                </w:p>
              </w:tc>
              <w:tc>
                <w:tcPr>
                  <w:tcW w:type="dxa" w:w="1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jc w:val="center"/>
                  </w:pPr>
                  <w:r>
                    <w:rPr>
                      <w:rFonts w:ascii="宋体" w:hAnsi="宋体" w:cs="宋体" w:eastAsia="宋体"/>
                      <w:sz w:val="24"/>
                      <w:color w:val="000000"/>
                    </w:rPr>
                    <w:t>2块480GB SSD硬盘</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4"/>
                    </w:rPr>
                    <w:t>是</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center"/>
                  </w:pPr>
                  <w:r>
                    <w:rPr>
                      <w:rFonts w:ascii="宋体" w:hAnsi="宋体" w:cs="宋体" w:eastAsia="宋体"/>
                      <w:sz w:val="24"/>
                    </w:rPr>
                    <w:t>5</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缓存盘</w:t>
                  </w:r>
                </w:p>
              </w:tc>
              <w:tc>
                <w:tcPr>
                  <w:tcW w:type="dxa" w:w="1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jc w:val="center"/>
                  </w:pPr>
                  <w:r>
                    <w:rPr>
                      <w:rFonts w:ascii="宋体" w:hAnsi="宋体" w:cs="宋体" w:eastAsia="宋体"/>
                      <w:sz w:val="24"/>
                      <w:color w:val="000000"/>
                    </w:rPr>
                    <w:t>1块3.84TB M.2 NVMe SSD硬盘</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4"/>
                    </w:rPr>
                    <w:t>是</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center"/>
                  </w:pPr>
                  <w:r>
                    <w:rPr>
                      <w:rFonts w:ascii="宋体" w:hAnsi="宋体" w:cs="宋体" w:eastAsia="宋体"/>
                      <w:sz w:val="24"/>
                    </w:rPr>
                    <w:t>6</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元数据盘</w:t>
                  </w:r>
                </w:p>
              </w:tc>
              <w:tc>
                <w:tcPr>
                  <w:tcW w:type="dxa" w:w="1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3块3.84TB M.2 NVMe SSD硬盘</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4"/>
                    </w:rPr>
                    <w:t>是</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firstLine="120"/>
                    <w:jc w:val="both"/>
                  </w:pPr>
                  <w:r>
                    <w:rPr>
                      <w:rFonts w:ascii="宋体" w:hAnsi="宋体" w:cs="宋体" w:eastAsia="宋体"/>
                      <w:sz w:val="24"/>
                    </w:rPr>
                    <w:t>7</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数据盘</w:t>
                  </w:r>
                </w:p>
              </w:tc>
              <w:tc>
                <w:tcPr>
                  <w:tcW w:type="dxa" w:w="1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≥32*16TB SATA HDD硬盘</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4"/>
                    </w:rPr>
                    <w:t>是</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center"/>
                  </w:pPr>
                  <w:r>
                    <w:rPr>
                      <w:rFonts w:ascii="宋体" w:hAnsi="宋体" w:cs="宋体" w:eastAsia="宋体"/>
                      <w:sz w:val="24"/>
                    </w:rPr>
                    <w:t>8</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接口</w:t>
                  </w:r>
                </w:p>
              </w:tc>
              <w:tc>
                <w:tcPr>
                  <w:tcW w:type="dxa" w:w="1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jc w:val="center"/>
                  </w:pPr>
                  <w:r>
                    <w:rPr>
                      <w:rFonts w:ascii="宋体" w:hAnsi="宋体" w:cs="宋体" w:eastAsia="宋体"/>
                      <w:sz w:val="24"/>
                      <w:color w:val="000000"/>
                    </w:rPr>
                    <w:t>4 ports 10Gb iSCSI接口+2 port 1Gb 接口</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4"/>
                    </w:rPr>
                    <w:t>是</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center"/>
                  </w:pPr>
                  <w:r>
                    <w:rPr>
                      <w:rFonts w:ascii="宋体" w:hAnsi="宋体" w:cs="宋体" w:eastAsia="宋体"/>
                      <w:sz w:val="24"/>
                    </w:rPr>
                    <w:t>9</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电源</w:t>
                  </w:r>
                </w:p>
              </w:tc>
              <w:tc>
                <w:tcPr>
                  <w:tcW w:type="dxa" w:w="1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冗余双电源</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885"/>
                    <w:jc w:val="center"/>
                  </w:pP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rPr>
                    <w:t>10</w:t>
                  </w:r>
                </w:p>
              </w:tc>
              <w:tc>
                <w:tcPr>
                  <w:tcW w:type="dxa" w:w="29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b/>
                      <w:color w:val="000000"/>
                    </w:rPr>
                    <w:t>电源线</w:t>
                  </w:r>
                </w:p>
              </w:tc>
              <w:tc>
                <w:tcPr>
                  <w:tcW w:type="dxa" w:w="1256"/>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center"/>
                  </w:pPr>
                  <w:r>
                    <w:rPr>
                      <w:rFonts w:ascii="宋体" w:hAnsi="宋体" w:cs="宋体" w:eastAsia="宋体"/>
                      <w:sz w:val="24"/>
                      <w:color w:val="000000"/>
                    </w:rPr>
                    <w:t>冗余双电源线</w:t>
                  </w:r>
                </w:p>
              </w:tc>
              <w:tc>
                <w:tcPr>
                  <w:tcW w:type="dxa" w:w="39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ind w:left="885"/>
                    <w:jc w:val="center"/>
                  </w:pPr>
                </w:p>
              </w:tc>
            </w:tr>
            <w:tr>
              <w:tc>
                <w:tcPr>
                  <w:tcW w:type="dxa" w:w="255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宋体" w:hAnsi="宋体" w:cs="宋体" w:eastAsia="宋体"/>
                      <w:sz w:val="24"/>
                    </w:rPr>
                    <w:t>软件要求</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宋体" w:hAnsi="宋体" w:cs="宋体" w:eastAsia="宋体"/>
                      <w:sz w:val="24"/>
                    </w:rPr>
                    <w:t>11</w:t>
                  </w:r>
                </w:p>
              </w:tc>
              <w:tc>
                <w:tcPr>
                  <w:tcW w:type="dxa" w:w="2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241"/>
                  </w:pPr>
                  <w:r>
                    <w:rPr>
                      <w:rFonts w:ascii="宋体" w:hAnsi="宋体" w:cs="宋体" w:eastAsia="宋体"/>
                      <w:sz w:val="24"/>
                      <w:b/>
                      <w:color w:val="000000"/>
                    </w:rPr>
                    <w:t>分布式存储软件授权</w:t>
                  </w:r>
                </w:p>
              </w:tc>
              <w:tc>
                <w:tcPr>
                  <w:tcW w:type="dxa" w:w="12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pPr>
                  <w:r>
                    <w:rPr>
                      <w:rFonts w:ascii="宋体" w:hAnsi="宋体" w:cs="宋体" w:eastAsia="宋体"/>
                      <w:sz w:val="24"/>
                      <w:color w:val="000000"/>
                    </w:rPr>
                    <w:t>不限存储容量授权许可，但节点扩容不需要增加软件授权。</w:t>
                  </w:r>
                </w:p>
              </w:tc>
              <w:tc>
                <w:tcPr>
                  <w:tcW w:type="dxa" w:w="3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4"/>
                    </w:rPr>
                    <w:t>是</w:t>
                  </w:r>
                </w:p>
              </w:tc>
            </w:tr>
            <w:tr>
              <w:tc>
                <w:tcPr>
                  <w:tcW w:type="dxa" w:w="2552"/>
                  <w:gridSpan w:val="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left="570" w:right="180" w:firstLine="3381"/>
                  </w:pPr>
                  <w:r>
                    <w:rPr>
                      <w:rFonts w:ascii="宋体" w:hAnsi="宋体" w:cs="宋体" w:eastAsia="宋体"/>
                      <w:sz w:val="24"/>
                    </w:rPr>
                    <w:t>服务要求</w:t>
                  </w:r>
                </w:p>
              </w:tc>
            </w:tr>
            <w:tr>
              <w:tc>
                <w:tcPr>
                  <w:tcW w:type="dxa" w:w="21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ind w:left="345"/>
                    <w:jc w:val="both"/>
                  </w:pPr>
                  <w:r>
                    <w:rPr>
                      <w:rFonts w:ascii="宋体" w:hAnsi="宋体" w:cs="宋体" w:eastAsia="宋体"/>
                      <w:sz w:val="24"/>
                    </w:rPr>
                    <w:t>12</w:t>
                  </w:r>
                </w:p>
              </w:tc>
              <w:tc>
                <w:tcPr>
                  <w:tcW w:type="dxa" w:w="29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225"/>
                    <w:ind w:left="480"/>
                  </w:pPr>
                  <w:r>
                    <w:rPr>
                      <w:rFonts w:ascii="宋体" w:hAnsi="宋体" w:cs="宋体" w:eastAsia="宋体"/>
                      <w:sz w:val="24"/>
                    </w:rPr>
                    <w:t>▲</w:t>
                  </w:r>
                </w:p>
              </w:tc>
              <w:tc>
                <w:tcPr>
                  <w:tcW w:type="dxa" w:w="389"/>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50"/>
                    <w:ind w:firstLine="241"/>
                  </w:pPr>
                  <w:r>
                    <w:rPr>
                      <w:rFonts w:ascii="宋体" w:hAnsi="宋体" w:cs="宋体" w:eastAsia="宋体"/>
                      <w:sz w:val="24"/>
                      <w:b/>
                    </w:rPr>
                    <w:t>服</w:t>
                  </w:r>
                  <w:r>
                    <w:rPr>
                      <w:rFonts w:ascii="宋体" w:hAnsi="宋体" w:cs="宋体" w:eastAsia="宋体"/>
                      <w:sz w:val="24"/>
                      <w:b/>
                      <w:color w:val="000000"/>
                    </w:rPr>
                    <w:t>务</w:t>
                  </w:r>
                  <w:r>
                    <w:rPr>
                      <w:rFonts w:ascii="宋体" w:hAnsi="宋体" w:cs="宋体" w:eastAsia="宋体"/>
                      <w:sz w:val="24"/>
                      <w:b/>
                    </w:rPr>
                    <w:t>要求</w:t>
                  </w:r>
                </w:p>
              </w:tc>
              <w:tc>
                <w:tcPr>
                  <w:tcW w:type="dxa" w:w="1256"/>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60"/>
                    <w:ind w:right="180"/>
                  </w:pPr>
                  <w:r>
                    <w:rPr>
                      <w:rFonts w:ascii="宋体" w:hAnsi="宋体" w:cs="宋体" w:eastAsia="宋体"/>
                      <w:sz w:val="24"/>
                      <w:color w:val="000000"/>
                    </w:rPr>
                    <w:t>提供原厂安装服务，提供三年原厂维保。</w:t>
                  </w:r>
                </w:p>
              </w:tc>
              <w:tc>
                <w:tcPr>
                  <w:tcW w:type="dxa" w:w="39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宋体" w:hAnsi="宋体" w:cs="宋体" w:eastAsia="宋体"/>
                      <w:sz w:val="24"/>
                    </w:rPr>
                    <w:t>是</w:t>
                  </w:r>
                </w:p>
              </w:tc>
            </w:tr>
          </w:tbl>
          <w:p/>
        </w:tc>
      </w:tr>
      <w:tr>
        <w:tc>
          <w:tcPr>
            <w:tcW w:type="dxa" w:w="2769"/>
          </w:tcPr>
          <w:p/>
        </w:tc>
        <w:tc>
          <w:tcPr>
            <w:tcW w:type="dxa" w:w="2769"/>
          </w:tcPr>
          <w:p>
            <w:pPr>
              <w:pStyle w:val="null3"/>
            </w:pPr>
            <w:r>
              <w:rPr/>
              <w:t>3</w:t>
            </w:r>
          </w:p>
        </w:tc>
        <w:tc>
          <w:tcPr>
            <w:tcW w:type="dxa" w:w="2769"/>
          </w:tcPr>
          <w:p>
            <w:pPr>
              <w:pStyle w:val="null3"/>
              <w:jc w:val="both"/>
            </w:pPr>
            <w:r>
              <w:rPr>
                <w:rFonts w:ascii="宋体" w:hAnsi="宋体" w:cs="宋体" w:eastAsia="宋体"/>
                <w:sz w:val="24"/>
                <w:b/>
              </w:rPr>
              <w:t>三、</w:t>
            </w:r>
            <w:r>
              <w:rPr>
                <w:rFonts w:ascii="宋体" w:hAnsi="宋体" w:cs="宋体" w:eastAsia="宋体"/>
                <w:sz w:val="24"/>
                <w:b/>
              </w:rPr>
              <w:t>服务要求</w:t>
            </w:r>
          </w:p>
          <w:p>
            <w:pPr>
              <w:pStyle w:val="null3"/>
              <w:jc w:val="both"/>
            </w:pPr>
            <w:r>
              <w:rPr>
                <w:rFonts w:ascii="宋体" w:hAnsi="宋体" w:cs="宋体" w:eastAsia="宋体"/>
                <w:sz w:val="24"/>
                <w:b/>
              </w:rPr>
              <w:t>“证明材料要求”项可填“是”和“否”。填“是”的，投标人/响应人须按“服务要求标准” 提供相关证明材料。</w:t>
            </w:r>
          </w:p>
          <w:tbl>
            <w:tblPr>
              <w:tblBorders>
                <w:top w:val="none" w:color="000000" w:sz="4"/>
                <w:left w:val="none" w:color="000000" w:sz="4"/>
                <w:bottom w:val="none" w:color="000000" w:sz="4"/>
                <w:right w:val="none" w:color="000000" w:sz="4"/>
                <w:insideH w:val="none"/>
                <w:insideV w:val="none"/>
              </w:tblBorders>
            </w:tblPr>
            <w:tblGrid>
              <w:gridCol w:w="308"/>
              <w:gridCol w:w="309"/>
              <w:gridCol w:w="1318"/>
              <w:gridCol w:w="311"/>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序号</w:t>
                  </w:r>
                </w:p>
              </w:tc>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内容</w:t>
                  </w:r>
                </w:p>
              </w:tc>
              <w:tc>
                <w:tcPr>
                  <w:tcW w:type="dxa" w:w="13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服务要求标准</w:t>
                  </w:r>
                </w:p>
              </w:tc>
              <w:tc>
                <w:tcPr>
                  <w:tcW w:type="dxa" w:w="3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证明材料要求</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实施前验证</w:t>
                  </w: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所提供产品及方案上线前须充分验证。在正式交付</w:t>
                  </w:r>
                  <w:r>
                    <w:rPr>
                      <w:rFonts w:ascii="宋体" w:hAnsi="宋体" w:cs="宋体" w:eastAsia="宋体"/>
                      <w:sz w:val="24"/>
                    </w:rPr>
                    <w:t>之前，须</w:t>
                  </w:r>
                  <w:r>
                    <w:rPr>
                      <w:rFonts w:ascii="宋体" w:hAnsi="宋体" w:cs="宋体" w:eastAsia="宋体"/>
                      <w:sz w:val="24"/>
                    </w:rPr>
                    <w:t>甲方指定地点搭建验证环境，确保能按期、在线完成</w:t>
                  </w:r>
                  <w:r>
                    <w:rPr>
                      <w:rFonts w:ascii="宋体" w:hAnsi="宋体" w:cs="宋体" w:eastAsia="宋体"/>
                      <w:sz w:val="24"/>
                    </w:rPr>
                    <w:t>数据迁</w:t>
                  </w:r>
                  <w:r>
                    <w:rPr>
                      <w:rFonts w:ascii="&quot;times new roman&quot;" w:hAnsi="&quot;times new roman&quot;" w:cs="&quot;times new roman&quot;" w:eastAsia="&quot;times new roman&quot;"/>
                      <w:sz w:val="32"/>
                    </w:rPr>
                    <w:t xml:space="preserve"> </w:t>
                  </w:r>
                  <w:r>
                    <w:rPr>
                      <w:rFonts w:ascii="宋体" w:hAnsi="宋体" w:cs="宋体" w:eastAsia="宋体"/>
                      <w:sz w:val="24"/>
                    </w:rPr>
                    <w:t>移和业务割接，保证数据完整性。</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否</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2</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数据迁移服务</w:t>
                  </w: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1.完成HIS系统数据库和集成平台数据库异地实时备份(DG)功能；</w:t>
                  </w:r>
                </w:p>
                <w:p>
                  <w:pPr>
                    <w:pStyle w:val="null3"/>
                    <w:jc w:val="both"/>
                  </w:pPr>
                  <w:r>
                    <w:rPr>
                      <w:rFonts w:ascii="宋体" w:hAnsi="宋体" w:cs="宋体" w:eastAsia="宋体"/>
                      <w:sz w:val="24"/>
                    </w:rPr>
                    <w:t>2.完成PACS系统数据库服务器Oracle RAC集群搭建及相关业务服务器迁移等工作。</w:t>
                  </w:r>
                </w:p>
                <w:p>
                  <w:pPr>
                    <w:pStyle w:val="null3"/>
                    <w:jc w:val="both"/>
                  </w:pPr>
                  <w:r>
                    <w:rPr>
                      <w:rFonts w:ascii="宋体" w:hAnsi="宋体" w:cs="宋体" w:eastAsia="宋体"/>
                      <w:sz w:val="24"/>
                    </w:rPr>
                    <w:t>3.完成老HIS数据库到虚拟机的迁移工作。</w:t>
                  </w:r>
                </w:p>
                <w:p>
                  <w:pPr>
                    <w:pStyle w:val="null3"/>
                    <w:jc w:val="both"/>
                  </w:pPr>
                  <w:r>
                    <w:rPr>
                      <w:rFonts w:ascii="宋体" w:hAnsi="宋体" w:cs="宋体" w:eastAsia="宋体"/>
                      <w:sz w:val="24"/>
                    </w:rPr>
                    <w:t>4. 使用迁移工具完成PACS数据（170T左右）从IBM V5000和V3700存储设备在线迁移至新购存储设备内。</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否</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3</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售后服务</w:t>
                  </w: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1.提供所投产品，由生产厂家提供三年用户现场维保及备件先行服务</w:t>
                  </w:r>
                  <w:r>
                    <w:rPr>
                      <w:rFonts w:ascii="宋体" w:hAnsi="宋体" w:cs="宋体" w:eastAsia="宋体"/>
                      <w:sz w:val="24"/>
                    </w:rPr>
                    <w:t>（</w:t>
                  </w:r>
                  <w:r>
                    <w:rPr>
                      <w:rFonts w:ascii="宋体" w:hAnsi="宋体" w:cs="宋体" w:eastAsia="宋体"/>
                      <w:sz w:val="24"/>
                    </w:rPr>
                    <w:t>费用包含在本次报价中</w:t>
                  </w:r>
                  <w:r>
                    <w:rPr>
                      <w:rFonts w:ascii="宋体" w:hAnsi="宋体" w:cs="宋体" w:eastAsia="宋体"/>
                      <w:sz w:val="24"/>
                    </w:rPr>
                    <w:t>）</w:t>
                  </w:r>
                  <w:r>
                    <w:rPr>
                      <w:rFonts w:ascii="宋体" w:hAnsi="宋体" w:cs="宋体" w:eastAsia="宋体"/>
                      <w:sz w:val="24"/>
                    </w:rPr>
                    <w:t>；保修期自供需双方代表在设备验收单上签字之日起计算；</w:t>
                  </w:r>
                  <w:r>
                    <w:rPr>
                      <w:rFonts w:ascii="宋体" w:hAnsi="宋体" w:cs="宋体" w:eastAsia="宋体"/>
                      <w:sz w:val="24"/>
                    </w:rPr>
                    <w:t>2.保修期内，投标人负责对其提供的设备整机进行巡检分析并提供报告，为</w:t>
                  </w:r>
                  <w:r>
                    <w:rPr>
                      <w:rFonts w:ascii="宋体" w:hAnsi="宋体" w:cs="宋体" w:eastAsia="宋体"/>
                      <w:sz w:val="24"/>
                    </w:rPr>
                    <w:t>采购人</w:t>
                  </w:r>
                  <w:r>
                    <w:rPr>
                      <w:rFonts w:ascii="宋体" w:hAnsi="宋体" w:cs="宋体" w:eastAsia="宋体"/>
                      <w:sz w:val="24"/>
                    </w:rPr>
                    <w:t>的维护工作提供参考依据；如果设备故障在</w:t>
                  </w:r>
                  <w:r>
                    <w:rPr>
                      <w:rFonts w:ascii="宋体" w:hAnsi="宋体" w:cs="宋体" w:eastAsia="宋体"/>
                      <w:sz w:val="24"/>
                    </w:rPr>
                    <w:t>4</w:t>
                  </w:r>
                  <w:r>
                    <w:rPr>
                      <w:rFonts w:ascii="宋体" w:hAnsi="宋体" w:cs="宋体" w:eastAsia="宋体"/>
                      <w:sz w:val="24"/>
                    </w:rPr>
                    <w:t>小时后仍无法排除，投标人应提供不低于故障设备规格型号档次的备用</w:t>
                  </w:r>
                  <w:r>
                    <w:rPr>
                      <w:rFonts w:ascii="宋体" w:hAnsi="宋体" w:cs="宋体" w:eastAsia="宋体"/>
                      <w:sz w:val="24"/>
                    </w:rPr>
                    <w:t>设备供需方使用，直至故障设备修复。投标人提供承诺函。</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是</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4</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技术培训</w:t>
                  </w: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现场培训：项目实施期间全程为我院的技术人员进行现场技术培训。项目结束后统一安排我院的相关技术支持人员进行理论和实践技术培训。</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否</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5</w:t>
                  </w:r>
                </w:p>
              </w:tc>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运维技术支撑服务</w:t>
                  </w:r>
                </w:p>
              </w:tc>
              <w:tc>
                <w:tcPr>
                  <w:tcW w:type="dxa" w:w="13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在质保期内对所投产品进行不限于巡检、系统升级、磁盘整理等运维方案，且能提供具备可行性优化方案的技术支持服</w:t>
                  </w:r>
                  <w:r>
                    <w:rPr>
                      <w:rFonts w:ascii="宋体" w:hAnsi="宋体" w:cs="宋体" w:eastAsia="宋体"/>
                      <w:sz w:val="24"/>
                    </w:rPr>
                    <w:t>务。</w:t>
                  </w:r>
                </w:p>
              </w:tc>
              <w:tc>
                <w:tcPr>
                  <w:tcW w:type="dxa" w:w="3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否</w:t>
                  </w:r>
                </w:p>
              </w:tc>
            </w:tr>
          </w:tbl>
          <w:p>
            <w:pPr>
              <w:pStyle w:val="null3"/>
              <w:spacing w:before="255" w:after="255"/>
              <w:jc w:val="both"/>
              <w:outlineLvl w:val="2"/>
            </w:pPr>
            <w:r>
              <w:rPr>
                <w:rFonts w:ascii="宋体" w:hAnsi="宋体" w:cs="宋体" w:eastAsia="宋体"/>
                <w:sz w:val="24"/>
                <w:b/>
              </w:rPr>
              <w:t>四、实施方案</w:t>
            </w:r>
          </w:p>
          <w:p>
            <w:pPr>
              <w:pStyle w:val="null3"/>
              <w:jc w:val="both"/>
            </w:pPr>
            <w:r>
              <w:rPr>
                <w:rFonts w:ascii="宋体" w:hAnsi="宋体" w:cs="宋体" w:eastAsia="宋体"/>
                <w:sz w:val="24"/>
                <w:b/>
              </w:rPr>
              <w:t>“证明材料要求”项可填“是”和“否”。填“是”的，投标人/响应人须按“实施标准”提 供相关证明材料。</w:t>
            </w:r>
          </w:p>
          <w:tbl>
            <w:tblPr>
              <w:tblBorders>
                <w:top w:val="none" w:color="000000" w:sz="4"/>
                <w:left w:val="none" w:color="000000" w:sz="4"/>
                <w:bottom w:val="none" w:color="000000" w:sz="4"/>
                <w:right w:val="none" w:color="000000" w:sz="4"/>
                <w:insideH w:val="none"/>
                <w:insideV w:val="none"/>
              </w:tblBorders>
            </w:tblPr>
            <w:tblGrid>
              <w:gridCol w:w="510"/>
              <w:gridCol w:w="510"/>
              <w:gridCol w:w="735"/>
              <w:gridCol w:w="511"/>
            </w:tblGrid>
            <w:tr>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序号</w:t>
                  </w:r>
                </w:p>
              </w:tc>
              <w:tc>
                <w:tcPr>
                  <w:tcW w:type="dxa" w:w="51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内容</w:t>
                  </w:r>
                </w:p>
              </w:tc>
              <w:tc>
                <w:tcPr>
                  <w:tcW w:type="dxa" w:w="7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实施标准</w:t>
                  </w:r>
                </w:p>
              </w:tc>
              <w:tc>
                <w:tcPr>
                  <w:tcW w:type="dxa" w:w="5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证明材料要求</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1</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项目实施组织架构</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说明项目组间工作边界和各自职责</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否</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2</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项目实施进度</w:t>
                  </w:r>
                  <w:r>
                    <w:rPr>
                      <w:rFonts w:ascii="宋体" w:hAnsi="宋体" w:cs="宋体" w:eastAsia="宋体"/>
                      <w:sz w:val="24"/>
                    </w:rPr>
                    <w:t>及安排</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项目进度有明确目标，需说明硬件架构及实施步骤</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否</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3</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项目验收安排</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提供项目验收标准</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否</w:t>
                  </w:r>
                </w:p>
              </w:tc>
            </w:tr>
            <w:tr>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4</w:t>
                  </w:r>
                </w:p>
              </w:tc>
              <w:tc>
                <w:tcPr>
                  <w:tcW w:type="dxa" w:w="51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项目培训安排</w:t>
                  </w:r>
                </w:p>
              </w:tc>
              <w:tc>
                <w:tcPr>
                  <w:tcW w:type="dxa" w:w="7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宋体" w:hAnsi="宋体" w:cs="宋体" w:eastAsia="宋体"/>
                      <w:sz w:val="24"/>
                    </w:rPr>
                    <w:t>提供培训内容及方式</w:t>
                  </w:r>
                </w:p>
              </w:tc>
              <w:tc>
                <w:tcPr>
                  <w:tcW w:type="dxa" w:w="5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4"/>
                    </w:rPr>
                    <w:t>否</w:t>
                  </w:r>
                </w:p>
              </w:tc>
            </w:tr>
          </w:tbl>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 20 天内交货，15 天内完成安装调试并具备验收条件等。</w:t>
      </w:r>
    </w:p>
    <w:p>
      <w:pPr>
        <w:pStyle w:val="null3"/>
        <w:outlineLvl w:val="3"/>
      </w:pPr>
      <w:r>
        <w:rPr>
          <w:sz w:val="24"/>
          <w:b/>
        </w:rPr>
        <w:t>3.4.2交货地点</w:t>
      </w:r>
    </w:p>
    <w:p>
      <w:pPr>
        <w:pStyle w:val="null3"/>
      </w:pPr>
      <w:r>
        <w:rPr/>
        <w:t>采购包1：</w:t>
      </w:r>
    </w:p>
    <w:p>
      <w:pPr>
        <w:pStyle w:val="null3"/>
      </w:pPr>
      <w:r>
        <w:rPr/>
        <w:t>西安医学院第一附属医院指定地点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30</w:t>
      </w:r>
      <w:r>
        <w:rPr/>
        <w:t xml:space="preserve"> 日内，支付合同总金额的 </w:t>
      </w:r>
      <w:r>
        <w:rPr/>
        <w:t>40.00</w:t>
      </w:r>
      <w:r>
        <w:rPr/>
        <w:t>%。</w:t>
      </w:r>
    </w:p>
    <w:p>
      <w:pPr>
        <w:pStyle w:val="null3"/>
      </w:pPr>
      <w:r>
        <w:rPr/>
        <w:t>采购包1：</w:t>
      </w:r>
      <w:r>
        <w:rPr/>
        <w:t xml:space="preserve"> 付款条件说明： </w:t>
      </w:r>
      <w:r>
        <w:rPr/>
        <w:t>所有设备安装、调试后</w:t>
      </w:r>
      <w:r>
        <w:rPr/>
        <w:t xml:space="preserve"> ，达到付款条件起 </w:t>
      </w:r>
      <w:r>
        <w:rPr/>
        <w:t>30</w:t>
      </w:r>
      <w:r>
        <w:rPr/>
        <w:t xml:space="preserve"> 日内，支付合同总金额的 </w:t>
      </w:r>
      <w:r>
        <w:rPr/>
        <w:t>30.00</w:t>
      </w:r>
      <w:r>
        <w:rPr/>
        <w:t>%。</w:t>
      </w:r>
    </w:p>
    <w:p>
      <w:pPr>
        <w:pStyle w:val="null3"/>
      </w:pPr>
      <w:r>
        <w:rPr/>
        <w:t>采购包1：</w:t>
      </w:r>
      <w:r>
        <w:rPr/>
        <w:t xml:space="preserve"> 付款条件说明： </w:t>
      </w:r>
      <w:r>
        <w:rPr/>
        <w:t xml:space="preserve"> 验收合格后</w:t>
      </w:r>
      <w:r>
        <w:rPr/>
        <w:t xml:space="preserve"> ，达到付款条件起 </w:t>
      </w:r>
      <w:r>
        <w:rPr/>
        <w:t>30</w:t>
      </w:r>
      <w:r>
        <w:rPr/>
        <w:t xml:space="preserve"> 日内，支付合同总金额的 </w:t>
      </w:r>
      <w:r>
        <w:rPr/>
        <w:t>30.00</w:t>
      </w:r>
      <w:r>
        <w:rPr/>
        <w:t>%。</w:t>
      </w:r>
    </w:p>
    <w:p>
      <w:pPr>
        <w:pStyle w:val="null3"/>
        <w:outlineLvl w:val="3"/>
      </w:pPr>
      <w:r>
        <w:rPr>
          <w:sz w:val="24"/>
          <w:b/>
        </w:rPr>
        <w:t>3.4.5验收标准和方法</w:t>
      </w:r>
    </w:p>
    <w:p>
      <w:pPr>
        <w:pStyle w:val="null3"/>
      </w:pPr>
      <w:r>
        <w:rPr/>
        <w:t>采购包1：</w:t>
      </w:r>
    </w:p>
    <w:p>
      <w:pPr>
        <w:pStyle w:val="null3"/>
      </w:pPr>
      <w:r>
        <w:rPr/>
        <w:t>（一）验收标准 1包装：符合出厂规范及符合《商品包装政府采购需求标准（试行）》、《快递包装政府采购需求标准（试行）》,包装完整无破损，防雨、防潮等各种符号标识清楚。 2安装：符合本合同项下产品的全部相关国家安全技术标准及甲方要求。 3产品： ①必须为原装、全新、合格产品，渠道合法 ②符合供方与需方签订的合同 ③符合招、投标文件的技术要求 ④符合产品原样本技术数据 ⑤符合国家有关技术规范要求和安全、环保、节能等强制性标准, 验收的手续及费用由投标单位自行办理和承担，招标单位提供相关辅助。 ⑥产品单证齐全（质量合格证、装箱清单、操作手册和维修手册等。 （二）验收方法 甲乙双方共同进行验收或依照有关法规、文件规定，由国家质量检验、商检等部门共同进行验收。所有安装、验收的手续由乙方办理并承担费用，甲方提供相关辅助。设备正常运行15个工作日后，经甲方通知，自通知送达之日起三日内，双方共同进行验收，甲方向乙方出具验收合格书面证明文件，视为设备验收合格。乙方逾期未到场或拒绝到场验收的，甲方可自行验收。 验收过程中发现设备存在瑕疵或质量问题的，乙方应无条件配合甲方进行维修、更换或退货工作，因此给甲方造成损失的，乙方就全部损失承担赔偿责任。 在履约验收环节，乙方须按照《商品包装政府采购需求标准（试行）》、《快递包装政府采购需求标准（试行）》的环保要求出具检测报告。</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（一）到货及安装：所有设备均由乙方免费送货上门并安装调试。 （二）质保期：所有设备（整机含配件）自验收合格之日（甲方出具书面验收合格证明文件落款之日）起保修2年。质保期满后维修不收取服务费，只收取材料成本费并且保证零配件供应8年。 （三）维修服务：响应时间24小时，48小时内到场进行维修，72小时内修复，如果超过72小时不能修复，提供同档次的备用机。质保期间，若同一硬件壹个月内连续2次出现同一故障（非人为情况），乙方无条件为甲方无偿更换为同一档次机器。 （四）每年免费上门对设备进行专业的保养和维护不少于两次。 （五）售后服务部门（单位） 名 称： 地 址： 联系人： 电 话： （六）开机率：质保期内，设备年开机率达到98％，故障率低于2％。累计停机时长每满24小时一次，质保期顺延5个工作日（停机时长24小时，质保期顺延5个工作日，停机时长48小时，质保期顺延10个工作日，以此类推）。</w:t>
      </w:r>
    </w:p>
    <w:p>
      <w:pPr>
        <w:pStyle w:val="null3"/>
        <w:outlineLvl w:val="3"/>
      </w:pPr>
      <w:r>
        <w:rPr>
          <w:sz w:val="24"/>
          <w:b/>
        </w:rPr>
        <w:t>3.4.8违约责任与解决争议的方法</w:t>
      </w:r>
    </w:p>
    <w:p>
      <w:pPr>
        <w:pStyle w:val="null3"/>
      </w:pPr>
      <w:r>
        <w:rPr/>
        <w:t>采购包1：</w:t>
      </w:r>
    </w:p>
    <w:p>
      <w:pPr>
        <w:pStyle w:val="null3"/>
      </w:pPr>
      <w:r>
        <w:rPr/>
        <w:t>（一）甲方在验收中，如果发现乙方所交付的设备型号、规格、质量等不符合合同约定或国家标准的，甲方可向乙方提出书面异议，并有权拒收设备。乙方在接到甲方书面异议后，应在十个工作日内负责处理，如逾期未处理即视为默认甲方提出的异议和处理意见，由此产生的全部后果由乙方自行承担。 （二）甲方在设备使用过程中，如果发现乙方所交付的设备型号、规格、质量等不符合合同约定或国家标准的，甲方可向乙方提出书面异议，并有权要求乙方免费维修、更换。乙方在接到甲方书面异议后，应在十个工作日内负责处理，如逾期未处理即视为默认甲方提出的异议和处理意见，由此产生的全部后果由乙方承担。 （三）乙方不能按期交货，每延迟壹天，应付不能交货部分货款5‰的延迟付款违约金。累计支付的延迟付款违约金额不超过逾期交货部分货款总额的10%。逾期交货超过20天，甲方有权单方解除合同，自甲方合同解除通知送达之日，合同解除生效。 合同解除后，甲方有权拒收乙方货物且无需支付未交货部分货款。由此产生的全部法律责任及费用支出由乙方自行承担。 （四）乙方如没有按合同规定履行售后服务承诺，甲方可另行选择第三方单位进行修复，其费用全部由乙方支付，且甲方有权追究乙方的违约责任。 （五）因本合同而发生的争议或纠纷，甲乙双方应先协商解决，协商不成时可向甲方所在地的人民法院提请诉讼。</w:t>
      </w:r>
    </w:p>
    <w:p>
      <w:pPr>
        <w:pStyle w:val="null3"/>
        <w:jc w:val="left"/>
        <w:outlineLvl w:val="2"/>
      </w:pPr>
      <w:r>
        <w:rPr>
          <w:sz w:val="28"/>
          <w:b/>
        </w:rPr>
        <w:t>3.5其他要求</w:t>
      </w:r>
    </w:p>
    <w:p>
      <w:pPr>
        <w:pStyle w:val="null3"/>
      </w:pPr>
      <w:r>
        <w:rPr/>
        <w:t>1.为顺利推进政府采购电子化交易平台应用工作，投标人需要在线提交所有通过电子化交易平台实施的政府采购项目的响应文件，同时，线下提交响应文件正本壹份、副本贰份、电子版壹份（U盘一份标明投标人名称，随正本密封）。若电子响应文件与纸质响应文件不一致的，以电子响应文件为准；若正本和副本不符，以正本为准。线下递交文件时间：详见本项目招标公告文件截止时间；线下递交文件地点：陕西省西安市碑林区红缨路南口6号均明拍卖广场3层 。2、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 （3）投标保证金以采购代理机构到账凭证为准，投 标人无需更换交纳凭证，由采购代理机构统一提供。 （4）未按指定账户提交的，我公司将退回，投标人须在文件递交截止时间前按照指定账户再次提交。3.标的清单具体内容根据法律规定公布主要标的的名称、规格型号、数量、单价。本项目主要标的：同核心产品（PACS分布式存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9月1日以来任意一个月的纳税证明或完税证明（增值税、企业所得税至少一种），纳税证明或完税证明上应有代收机构或税务机关的公章或业务专用章；其他组织和自然人提供自2023年9月1日以来任意一个月缴纳税收的凭据；依法免税的投标人应提供相关文件证明 ③社会保障资金缴纳证明：提供自2023年9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2资格证明材料. 投标函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完整的2023年度审计报告（成立时间至提交投标文件截止时间不足一年的可提供成立后任意时段的资产负债表），或提交自2024年3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供应商需在项目电子化交易系统中按要求填写《投标函》完成承诺并进行电子签章。提供直接控股和直接管理关系清单。若与其他投标人存在单位负责人为同一人或者存在直接控股、管理关系的，则投标无效。</w:t>
            </w:r>
          </w:p>
        </w:tc>
        <w:tc>
          <w:tcPr>
            <w:tcW w:type="dxa" w:w="1661"/>
          </w:tcPr>
          <w:p>
            <w:pPr>
              <w:pStyle w:val="null3"/>
            </w:pPr>
            <w:r>
              <w:rPr/>
              <w:t>2资格证明材料. 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本项目不接受联合体投</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2资格证明材料.</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法定代表人参加投标的，须出示身份证；法定代表人授权他人参加投标的，须提供法定代表人授权委托书。</w:t>
            </w:r>
          </w:p>
        </w:tc>
        <w:tc>
          <w:tcPr>
            <w:tcW w:type="dxa" w:w="1661"/>
          </w:tcPr>
          <w:p>
            <w:pPr>
              <w:pStyle w:val="null3"/>
            </w:pPr>
            <w:r>
              <w:rPr/>
              <w:t>2资格证明材料.</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1.分项价格表 3承诺书 投标函 商务应答表 标的清单 投标文件封面</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(2)不满足本招标文件中“交货时间、交货地点、采购资金的支付方式及约定、质量保修范围和保修期”的实质性条款要求的； (3)投标有效期不足的或无有效期的； (4)报价超过招标文件中规定的预算金额或最高限价的；(5)法律、法规和招标文件规定的其他无效情形。</w:t>
            </w:r>
          </w:p>
        </w:tc>
        <w:tc>
          <w:tcPr>
            <w:tcW w:type="dxa" w:w="1661"/>
          </w:tcPr>
          <w:p>
            <w:pPr>
              <w:pStyle w:val="null3"/>
            </w:pPr>
            <w:r>
              <w:rPr/>
              <w:t>1.分项价格表 3承诺书 投标函 商务应答表 标的清单 投标文件封面</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17分：完全符合、响应招标文件要求，且配置内容全面、完整，没有负偏离计17分；技术参数要求中标“▲”项（共16项）的为重要技术指标，每负偏离一项扣1分；标“*”项（共2项）的为一般技术指标，每有一项负偏离的扣 0.5分。 （提供佐证材料包括但不限于产品技术说明、检测报告、产品彩页等。）</w:t>
            </w:r>
          </w:p>
        </w:tc>
        <w:tc>
          <w:tcPr>
            <w:tcW w:type="dxa" w:w="831"/>
          </w:tcPr>
          <w:p>
            <w:pPr>
              <w:pStyle w:val="null3"/>
              <w:jc w:val="right"/>
            </w:pPr>
            <w:r>
              <w:rPr/>
              <w:t>17.0000</w:t>
            </w:r>
          </w:p>
        </w:tc>
        <w:tc>
          <w:tcPr>
            <w:tcW w:type="dxa" w:w="831"/>
          </w:tcPr>
          <w:p>
            <w:pPr>
              <w:pStyle w:val="null3"/>
            </w:pPr>
            <w:r>
              <w:rPr/>
              <w:t>客观</w:t>
            </w:r>
          </w:p>
        </w:tc>
        <w:tc>
          <w:tcPr>
            <w:tcW w:type="dxa" w:w="1661"/>
          </w:tcPr>
          <w:p>
            <w:pPr>
              <w:pStyle w:val="null3"/>
            </w:pPr>
            <w:r>
              <w:rPr/>
              <w:t>4技术响应偏离表</w:t>
            </w:r>
          </w:p>
        </w:tc>
      </w:tr>
      <w:tr>
        <w:tc>
          <w:tcPr>
            <w:tcW w:type="dxa" w:w="831"/>
            <w:vMerge/>
          </w:tcPr>
          <w:p/>
        </w:tc>
        <w:tc>
          <w:tcPr>
            <w:tcW w:type="dxa" w:w="1661"/>
          </w:tcPr>
          <w:p>
            <w:pPr>
              <w:pStyle w:val="null3"/>
            </w:pPr>
            <w:r>
              <w:rPr/>
              <w:t>扩容方案及验收方案</w:t>
            </w:r>
          </w:p>
        </w:tc>
        <w:tc>
          <w:tcPr>
            <w:tcW w:type="dxa" w:w="2492"/>
          </w:tcPr>
          <w:p>
            <w:pPr>
              <w:pStyle w:val="null3"/>
            </w:pPr>
            <w:r>
              <w:rPr/>
              <w:t>投标人提供针对本项目的扩容方案及验收方案，方案合理、可行；是否针对本项目实施提出重点、难点并给出相应的解决方案；能够满足采购需求。 1.满足项目需求，无瑕疵：9分； 2.方案内容存在1处瑕疵：8分； 3.方案内容存在2处瑕疵：7分； 4.方案内容存在3处瑕疵：6分； 5.方案内容存在4处瑕疵：5分； 6.方案内容存在5处瑕疵：4分； 7.方案内容存在6处瑕疵：3分； 8.方案内容存在7处瑕疵：2分； 9.方案内容存在8处瑕疵：1分； 10.未提供方案或不满足招标文件要求或内容存在9处及以上瑕疵：0分。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9.0000</w:t>
            </w:r>
          </w:p>
        </w:tc>
        <w:tc>
          <w:tcPr>
            <w:tcW w:type="dxa" w:w="831"/>
          </w:tcPr>
          <w:p>
            <w:pPr>
              <w:pStyle w:val="null3"/>
            </w:pPr>
            <w:r>
              <w:rPr/>
              <w:t>主观</w:t>
            </w:r>
          </w:p>
        </w:tc>
        <w:tc>
          <w:tcPr>
            <w:tcW w:type="dxa" w:w="1661"/>
          </w:tcPr>
          <w:p>
            <w:pPr>
              <w:pStyle w:val="null3"/>
            </w:pPr>
            <w:r>
              <w:rPr/>
              <w:t>5扩容方案及验收方案</w:t>
            </w:r>
          </w:p>
        </w:tc>
      </w:tr>
      <w:tr>
        <w:tc>
          <w:tcPr>
            <w:tcW w:type="dxa" w:w="831"/>
            <w:vMerge/>
          </w:tcPr>
          <w:p/>
        </w:tc>
        <w:tc>
          <w:tcPr>
            <w:tcW w:type="dxa" w:w="1661"/>
          </w:tcPr>
          <w:p>
            <w:pPr>
              <w:pStyle w:val="null3"/>
            </w:pPr>
            <w:r>
              <w:rPr/>
              <w:t>对接方案及风险防范措施</w:t>
            </w:r>
          </w:p>
        </w:tc>
        <w:tc>
          <w:tcPr>
            <w:tcW w:type="dxa" w:w="2492"/>
          </w:tcPr>
          <w:p>
            <w:pPr>
              <w:pStyle w:val="null3"/>
            </w:pPr>
            <w:r>
              <w:rPr/>
              <w:t>投标人提供所投产品与原有设备对接方案及风险防范措施，能保证设备的正常运转，满足采购人需求。 1.满足项目需求，无瑕疵：6分； 2.内容存在1处瑕疵：4分； 3.内容存在2处瑕疵：2分； 4 未提供方案或不满足招标文件要求或内容存在3处及以上瑕疵：0分。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6对接方案及风险防范措施</w:t>
            </w:r>
          </w:p>
        </w:tc>
      </w:tr>
      <w:tr>
        <w:tc>
          <w:tcPr>
            <w:tcW w:type="dxa" w:w="831"/>
            <w:vMerge/>
          </w:tcPr>
          <w:p/>
        </w:tc>
        <w:tc>
          <w:tcPr>
            <w:tcW w:type="dxa" w:w="1661"/>
          </w:tcPr>
          <w:p>
            <w:pPr>
              <w:pStyle w:val="null3"/>
            </w:pPr>
            <w:r>
              <w:rPr/>
              <w:t>数据迁移方案</w:t>
            </w:r>
          </w:p>
        </w:tc>
        <w:tc>
          <w:tcPr>
            <w:tcW w:type="dxa" w:w="2492"/>
          </w:tcPr>
          <w:p>
            <w:pPr>
              <w:pStyle w:val="null3"/>
            </w:pPr>
            <w:r>
              <w:rPr/>
              <w:t>针对本项目提供详细、具体、可行数据迁移方案; 1.满足项目需求，无瑕疵：6分； 2.方案内容存在1处瑕疵：4分； 3.方案内容存在2处瑕疵：2分； 4.未提供方案或不满足招标文件要求或内容存在3处及以上瑕疵：0分。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7数据迁移方案</w:t>
            </w:r>
          </w:p>
        </w:tc>
      </w:tr>
      <w:tr>
        <w:tc>
          <w:tcPr>
            <w:tcW w:type="dxa" w:w="831"/>
            <w:vMerge/>
          </w:tcPr>
          <w:p/>
        </w:tc>
        <w:tc>
          <w:tcPr>
            <w:tcW w:type="dxa" w:w="1661"/>
          </w:tcPr>
          <w:p>
            <w:pPr>
              <w:pStyle w:val="null3"/>
            </w:pPr>
            <w:r>
              <w:rPr/>
              <w:t>安装调试</w:t>
            </w:r>
          </w:p>
        </w:tc>
        <w:tc>
          <w:tcPr>
            <w:tcW w:type="dxa" w:w="2492"/>
          </w:tcPr>
          <w:p>
            <w:pPr>
              <w:pStyle w:val="null3"/>
            </w:pPr>
            <w:r>
              <w:rPr/>
              <w:t>投标人对本项目有详细、具体、可行的安装调试方案。 1.满足项目需求，无瑕疵：4分； 2.方案内容存在1处瑕疵：2分； 3.方案内容存在2处瑕疵：1分； 4.未提供方案或不满足招标文件要求或内容存在3处及以上瑕疵：0分。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8安装调试</w:t>
            </w:r>
          </w:p>
        </w:tc>
      </w:tr>
      <w:tr>
        <w:tc>
          <w:tcPr>
            <w:tcW w:type="dxa" w:w="831"/>
            <w:vMerge/>
          </w:tcPr>
          <w:p/>
        </w:tc>
        <w:tc>
          <w:tcPr>
            <w:tcW w:type="dxa" w:w="1661"/>
          </w:tcPr>
          <w:p>
            <w:pPr>
              <w:pStyle w:val="null3"/>
            </w:pPr>
            <w:r>
              <w:rPr/>
              <w:t>运维技术支撑服务</w:t>
            </w:r>
          </w:p>
        </w:tc>
        <w:tc>
          <w:tcPr>
            <w:tcW w:type="dxa" w:w="2492"/>
          </w:tcPr>
          <w:p>
            <w:pPr>
              <w:pStyle w:val="null3"/>
            </w:pPr>
            <w:r>
              <w:rPr/>
              <w:t>投标人针对所投产品进行不限于巡检、系统升级、磁盘整理等运维方案，且能提供具备可行性优化方案的技术支持服务。 1.满足项目需求，无瑕疵：4分； 2.方案内容存在1处瑕疵：2分； 3.方案内容存在2处瑕疵：1分； 4.未提供方案或不满足招标文件要求或内容存在3处及以上瑕疵：0分。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9运维技术支撑服务</w:t>
            </w:r>
          </w:p>
        </w:tc>
      </w:tr>
      <w:tr>
        <w:tc>
          <w:tcPr>
            <w:tcW w:type="dxa" w:w="831"/>
            <w:vMerge/>
          </w:tcPr>
          <w:p/>
        </w:tc>
        <w:tc>
          <w:tcPr>
            <w:tcW w:type="dxa" w:w="1661"/>
          </w:tcPr>
          <w:p>
            <w:pPr>
              <w:pStyle w:val="null3"/>
            </w:pPr>
            <w:r>
              <w:rPr/>
              <w:t>进度安排</w:t>
            </w:r>
          </w:p>
        </w:tc>
        <w:tc>
          <w:tcPr>
            <w:tcW w:type="dxa" w:w="2492"/>
          </w:tcPr>
          <w:p>
            <w:pPr>
              <w:pStyle w:val="null3"/>
            </w:pPr>
            <w:r>
              <w:rPr/>
              <w:t>针对本项目制定项目实施进度计划及其保证措施； 1.满足项目需求，无瑕疵：3分； 2.方案内容存在1处瑕疵：2分； 3.方案内容存在2处瑕疵：1分； 4.未提供方案或不满足招标文件要求或内容存在3处及以上瑕疵：0分。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10进度安排</w:t>
            </w:r>
          </w:p>
        </w:tc>
      </w:tr>
      <w:tr>
        <w:tc>
          <w:tcPr>
            <w:tcW w:type="dxa" w:w="831"/>
            <w:vMerge/>
          </w:tcPr>
          <w:p/>
        </w:tc>
        <w:tc>
          <w:tcPr>
            <w:tcW w:type="dxa" w:w="1661"/>
          </w:tcPr>
          <w:p>
            <w:pPr>
              <w:pStyle w:val="null3"/>
            </w:pPr>
            <w:r>
              <w:rPr/>
              <w:t>质量保障方案</w:t>
            </w:r>
          </w:p>
        </w:tc>
        <w:tc>
          <w:tcPr>
            <w:tcW w:type="dxa" w:w="2492"/>
          </w:tcPr>
          <w:p>
            <w:pPr>
              <w:pStyle w:val="null3"/>
            </w:pPr>
            <w:r>
              <w:rPr/>
              <w:t>投标人针对本项目有详细、具体、可行的质量保障方案，并提供质量保证承诺。 1.满足项目需求，无瑕疵：3分； 2.方案内容存在1处瑕疵：2分； 3.方案内容存在2处瑕疵：1分； 4.未提供方案或不满足招标文件要求或内容存在3处及以上瑕疵：0分。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11质量保障方案</w:t>
            </w:r>
          </w:p>
        </w:tc>
      </w:tr>
      <w:tr>
        <w:tc>
          <w:tcPr>
            <w:tcW w:type="dxa" w:w="831"/>
            <w:vMerge/>
          </w:tcPr>
          <w:p/>
        </w:tc>
        <w:tc>
          <w:tcPr>
            <w:tcW w:type="dxa" w:w="1661"/>
          </w:tcPr>
          <w:p>
            <w:pPr>
              <w:pStyle w:val="null3"/>
            </w:pPr>
            <w:r>
              <w:rPr/>
              <w:t>团队人员</w:t>
            </w:r>
          </w:p>
        </w:tc>
        <w:tc>
          <w:tcPr>
            <w:tcW w:type="dxa" w:w="2492"/>
          </w:tcPr>
          <w:p>
            <w:pPr>
              <w:pStyle w:val="null3"/>
            </w:pPr>
            <w:r>
              <w:rPr/>
              <w:t>投标人针对本项目提供服务团队人员，根据人员安排合理，职责分工明确进行综合评审。 1.满足项目需求，无瑕疵计2分； 2.存在1处瑕疵计1分； 3.存在2处及以上瑕疵或未提供计0分。 备注： 1、单项评审因素未提供或未响应的不计分。 2、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12团队人员</w:t>
            </w:r>
          </w:p>
        </w:tc>
      </w:tr>
      <w:tr>
        <w:tc>
          <w:tcPr>
            <w:tcW w:type="dxa" w:w="831"/>
            <w:vMerge/>
          </w:tcPr>
          <w:p/>
        </w:tc>
        <w:tc>
          <w:tcPr>
            <w:tcW w:type="dxa" w:w="1661"/>
          </w:tcPr>
          <w:p>
            <w:pPr>
              <w:pStyle w:val="null3"/>
            </w:pPr>
            <w:r>
              <w:rPr/>
              <w:t>供货渠道证明</w:t>
            </w:r>
          </w:p>
        </w:tc>
        <w:tc>
          <w:tcPr>
            <w:tcW w:type="dxa" w:w="2492"/>
          </w:tcPr>
          <w:p>
            <w:pPr>
              <w:pStyle w:val="null3"/>
            </w:pPr>
            <w:r>
              <w:rPr/>
              <w:t>提供所投核心产品合法来源渠道证明文件（包括但不限于销售协议、代理协议、原厂授权等），证明材料完整，链条清晰，产品提供齐全计3分，证明材料不完整或提供不齐全、未提供的不计分。</w:t>
            </w:r>
          </w:p>
        </w:tc>
        <w:tc>
          <w:tcPr>
            <w:tcW w:type="dxa" w:w="831"/>
          </w:tcPr>
          <w:p>
            <w:pPr>
              <w:pStyle w:val="null3"/>
              <w:jc w:val="right"/>
            </w:pPr>
            <w:r>
              <w:rPr/>
              <w:t>3.0000</w:t>
            </w:r>
          </w:p>
        </w:tc>
        <w:tc>
          <w:tcPr>
            <w:tcW w:type="dxa" w:w="831"/>
          </w:tcPr>
          <w:p>
            <w:pPr>
              <w:pStyle w:val="null3"/>
            </w:pPr>
            <w:r>
              <w:rPr/>
              <w:t>客观</w:t>
            </w:r>
          </w:p>
        </w:tc>
        <w:tc>
          <w:tcPr>
            <w:tcW w:type="dxa" w:w="1661"/>
          </w:tcPr>
          <w:p>
            <w:pPr>
              <w:pStyle w:val="null3"/>
            </w:pPr>
            <w:r>
              <w:rPr/>
              <w:t>13供货渠道证明</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提供投标人2021年1月1日至今同类项目合同(以合同签订日期为准)，每提供1个得1分，最高得5分。 备注：投标文件中提供合同复印件加盖公章。</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14业绩</w:t>
            </w:r>
          </w:p>
        </w:tc>
      </w:tr>
      <w:tr>
        <w:tc>
          <w:tcPr>
            <w:tcW w:type="dxa" w:w="831"/>
            <w:vMerge/>
          </w:tcPr>
          <w:p/>
        </w:tc>
        <w:tc>
          <w:tcPr>
            <w:tcW w:type="dxa" w:w="1661"/>
          </w:tcPr>
          <w:p>
            <w:pPr>
              <w:pStyle w:val="null3"/>
            </w:pPr>
            <w:r>
              <w:rPr/>
              <w:t>培训</w:t>
            </w:r>
          </w:p>
        </w:tc>
        <w:tc>
          <w:tcPr>
            <w:tcW w:type="dxa" w:w="2492"/>
          </w:tcPr>
          <w:p>
            <w:pPr>
              <w:pStyle w:val="null3"/>
            </w:pPr>
            <w:r>
              <w:rPr/>
              <w:t>针对本项目具有可行的技术培训方案，培训采购人指定的操作和维修人员，制定培训课程计划表，列出每种培训的地点和时间，培训内容应包括所提供产品的原理和技术性能、操作维护方法、安装调试、排除故障等各个方面，培训的具体日期及人数由使用单位确定。确保培训后的人员应能熟练操作设备，了解产品结构、工作原理，并能排除一般故障。 1.满足项目需求，无瑕疵：3分； 2.方案内容存在1处瑕疵：2分； 3.方案内容存在2处瑕疵：1分； 4.未提供方案或不满足招标文件要求或内容存在3处及以上瑕疵：0分。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15培训</w:t>
            </w:r>
          </w:p>
        </w:tc>
      </w:tr>
      <w:tr>
        <w:tc>
          <w:tcPr>
            <w:tcW w:type="dxa" w:w="831"/>
            <w:vMerge/>
          </w:tcPr>
          <w:p/>
        </w:tc>
        <w:tc>
          <w:tcPr>
            <w:tcW w:type="dxa" w:w="1661"/>
          </w:tcPr>
          <w:p>
            <w:pPr>
              <w:pStyle w:val="null3"/>
            </w:pPr>
            <w:r>
              <w:rPr/>
              <w:t>售后服务方案及承诺-1</w:t>
            </w:r>
          </w:p>
        </w:tc>
        <w:tc>
          <w:tcPr>
            <w:tcW w:type="dxa" w:w="2492"/>
          </w:tcPr>
          <w:p>
            <w:pPr>
              <w:pStyle w:val="null3"/>
            </w:pPr>
            <w:r>
              <w:rPr/>
              <w:t>1、具有本地化服务能力并提供相关证明材料，得1分。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16售后服务方案及承诺</w:t>
            </w:r>
          </w:p>
        </w:tc>
      </w:tr>
      <w:tr>
        <w:tc>
          <w:tcPr>
            <w:tcW w:type="dxa" w:w="831"/>
            <w:vMerge/>
          </w:tcPr>
          <w:p/>
        </w:tc>
        <w:tc>
          <w:tcPr>
            <w:tcW w:type="dxa" w:w="1661"/>
          </w:tcPr>
          <w:p>
            <w:pPr>
              <w:pStyle w:val="null3"/>
            </w:pPr>
            <w:r>
              <w:rPr/>
              <w:t>售后服务方案及承诺-2</w:t>
            </w:r>
          </w:p>
        </w:tc>
        <w:tc>
          <w:tcPr>
            <w:tcW w:type="dxa" w:w="2492"/>
          </w:tcPr>
          <w:p>
            <w:pPr>
              <w:pStyle w:val="null3"/>
            </w:pPr>
            <w:r>
              <w:rPr/>
              <w:t>2.具有相应的物力、人力保障，能够保证产、供、销，服务正常运转，有详细的在设备发生不同类型故障后的到达现场时间、解决故障时间、补救措施等方面的措施或方案，同时具有明确的承诺且符合实际需求，提供详细的售后服务方案及售后服务承诺等。 1.满足项目需求，无瑕疵：4分； 2.方案内容存在1处瑕疵：2分； 3.方案内容存在2处瑕疵：1分； 4.未提供方案或不满足招标文件要求或内容存在3处及以上瑕疵：0分。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16售后服务方案及承诺</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最低的投标报价为基准价，其价格分为满分。其他供应商的价格分统一按照下列公式计算：投标报价得分=（基准价／响应报价）×价格权值×100，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中小企业声明函 残疾人福利性单位声明函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详见附件：2资格证明材料.</w:t>
      </w:r>
    </w:p>
    <w:p>
      <w:pPr>
        <w:pStyle w:val="null3"/>
        <w:ind w:firstLine="960"/>
      </w:pPr>
      <w:r>
        <w:rPr/>
        <w:t>详见附件：3承诺书</w:t>
      </w:r>
    </w:p>
    <w:p>
      <w:pPr>
        <w:pStyle w:val="null3"/>
        <w:ind w:firstLine="960"/>
      </w:pPr>
      <w:r>
        <w:rPr/>
        <w:t>详见附件：4技术响应偏离表</w:t>
      </w:r>
    </w:p>
    <w:p>
      <w:pPr>
        <w:pStyle w:val="null3"/>
        <w:ind w:firstLine="960"/>
      </w:pPr>
      <w:r>
        <w:rPr/>
        <w:t>详见附件：5扩容方案及验收方案</w:t>
      </w:r>
    </w:p>
    <w:p>
      <w:pPr>
        <w:pStyle w:val="null3"/>
        <w:ind w:firstLine="960"/>
      </w:pPr>
      <w:r>
        <w:rPr/>
        <w:t>详见附件：6对接方案及风险防范措施</w:t>
      </w:r>
    </w:p>
    <w:p>
      <w:pPr>
        <w:pStyle w:val="null3"/>
        <w:ind w:firstLine="960"/>
      </w:pPr>
      <w:r>
        <w:rPr/>
        <w:t>详见附件：7数据迁移方案</w:t>
      </w:r>
    </w:p>
    <w:p>
      <w:pPr>
        <w:pStyle w:val="null3"/>
        <w:ind w:firstLine="960"/>
      </w:pPr>
      <w:r>
        <w:rPr/>
        <w:t>详见附件：8安装调试</w:t>
      </w:r>
    </w:p>
    <w:p>
      <w:pPr>
        <w:pStyle w:val="null3"/>
        <w:ind w:firstLine="960"/>
      </w:pPr>
      <w:r>
        <w:rPr/>
        <w:t>详见附件：9运维技术支撑服务</w:t>
      </w:r>
    </w:p>
    <w:p>
      <w:pPr>
        <w:pStyle w:val="null3"/>
        <w:ind w:firstLine="960"/>
      </w:pPr>
      <w:r>
        <w:rPr/>
        <w:t>详见附件：10进度安排</w:t>
      </w:r>
    </w:p>
    <w:p>
      <w:pPr>
        <w:pStyle w:val="null3"/>
        <w:ind w:firstLine="960"/>
      </w:pPr>
      <w:r>
        <w:rPr/>
        <w:t>详见附件：11质量保障方案</w:t>
      </w:r>
    </w:p>
    <w:p>
      <w:pPr>
        <w:pStyle w:val="null3"/>
        <w:ind w:firstLine="960"/>
      </w:pPr>
      <w:r>
        <w:rPr/>
        <w:t>详见附件：12团队人员</w:t>
      </w:r>
    </w:p>
    <w:p>
      <w:pPr>
        <w:pStyle w:val="null3"/>
        <w:ind w:firstLine="960"/>
      </w:pPr>
      <w:r>
        <w:rPr/>
        <w:t>详见附件：13供货渠道证明</w:t>
      </w:r>
    </w:p>
    <w:p>
      <w:pPr>
        <w:pStyle w:val="null3"/>
        <w:ind w:firstLine="960"/>
      </w:pPr>
      <w:r>
        <w:rPr/>
        <w:t>详见附件：14业绩</w:t>
      </w:r>
    </w:p>
    <w:p>
      <w:pPr>
        <w:pStyle w:val="null3"/>
        <w:ind w:firstLine="960"/>
      </w:pPr>
      <w:r>
        <w:rPr/>
        <w:t>详见附件：15培训</w:t>
      </w:r>
    </w:p>
    <w:p>
      <w:pPr>
        <w:pStyle w:val="null3"/>
        <w:ind w:firstLine="960"/>
      </w:pPr>
      <w:r>
        <w:rPr/>
        <w:t>详见附件：16售后服务方案及承诺</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 Id="rId7" Target="media/image2.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