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pct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439" w:type="pct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color w:val="auto"/>
                <w:sz w:val="28"/>
                <w:szCs w:val="28"/>
                <w:highlight w:val="none"/>
              </w:rPr>
              <w:t>技术参数与性能指标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806" w:leftChars="83" w:right="-391" w:rightChars="-186" w:hanging="632" w:hangingChars="226"/>
              <w:jc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39" w:type="pct"/>
            <w:vAlign w:val="center"/>
          </w:tcPr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一、工程概况： </w:t>
            </w:r>
          </w:p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1、本工程为西安邮电大学雁塔校区七号家属楼2-5F室内整修项目。 </w:t>
            </w:r>
          </w:p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>2、建设地点位于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西安邮电大学雁塔校区七号家属楼。 </w:t>
            </w:r>
          </w:p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3、本工程包括：原始装饰项目拆除、新做墙地砖、新做乳胶漆、门窗制安、给排水工程、电气工程等。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806" w:leftChars="83" w:right="-391" w:rightChars="-186" w:hanging="632" w:hangingChars="226"/>
              <w:jc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39" w:type="pct"/>
            <w:vAlign w:val="center"/>
          </w:tcPr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二、编制依据： </w:t>
            </w:r>
          </w:p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1、设计图纸和相关技术要求。 </w:t>
            </w:r>
          </w:p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2、依据一般的施工组织设计及施工方法。 </w:t>
            </w:r>
          </w:p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3、施工图设计中采用的相关规范、标准、技术资料。 </w:t>
            </w:r>
          </w:p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4、材料价格参照《陕西工程造价管理信息(材料信息价)》2024年第2月期信息价、专业测定价、以及广材网信息价及供应商价格，部分材料结合市场价格自主报价。 </w:t>
            </w:r>
          </w:p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5、人工费参照《陕建发[2021]1097号》文件。 </w:t>
            </w:r>
          </w:p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6、定额组价参照《陕西省建设工程消耗量定额2004》、《陕西省安装工程消耗量定额2004》、《全统修缮定额（土建工程）2001》及相应的价目表及2009勘误表。 </w:t>
            </w:r>
          </w:p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8、安全文明措施费率参照《陕建发[2017]270号》文件. </w:t>
            </w:r>
          </w:p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9、计价依据参照《陕建发[2019]45号》文件。 </w:t>
            </w:r>
          </w:p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10、建筑工人实名制管理参照《陕建发[2019]1246号》文年件。 </w:t>
            </w:r>
          </w:p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11、安全生产责任险参照《陕建发[2020]1097号》文件。 </w:t>
            </w:r>
          </w:p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12、养老保险金计取参照《陕建发[2021]1021号》文件。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806" w:leftChars="83" w:right="-391" w:rightChars="-186" w:hanging="632" w:hangingChars="226"/>
              <w:jc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39" w:type="pct"/>
            <w:vAlign w:val="center"/>
          </w:tcPr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三、计算范围： </w:t>
            </w:r>
          </w:p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为本次施工图设计内全部施工内容。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806" w:leftChars="83" w:right="-391" w:rightChars="-186" w:hanging="632" w:hangingChars="226"/>
              <w:jc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39" w:type="pct"/>
            <w:vAlign w:val="center"/>
          </w:tcPr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四、工程量清单报价表的有关说明 </w:t>
            </w:r>
          </w:p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 xml:space="preserve">1、编制软件为：广联达计价软件 GCCP6.0。 </w:t>
            </w:r>
          </w:p>
          <w:p>
            <w:pPr>
              <w:keepLines/>
              <w:kinsoku/>
              <w:wordWrap w:val="0"/>
              <w:topLinePunct/>
              <w:autoSpaceDE/>
              <w:autoSpaceDN/>
              <w:spacing w:line="360" w:lineRule="auto"/>
              <w:ind w:right="48"/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15"/>
                <w:sz w:val="24"/>
                <w:szCs w:val="24"/>
                <w:highlight w:val="none"/>
                <w:lang w:val="en-US" w:eastAsia="zh-CN"/>
              </w:rPr>
              <w:t>2、版本号：6.4100.23.118。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A6222"/>
    <w:multiLevelType w:val="multilevel"/>
    <w:tmpl w:val="2C8A622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jU3ZjZiMThlY2Y5NTBhZmNkMzIwZjQ0NDYzZTUifQ=="/>
    <w:docVar w:name="KSO_WPS_MARK_KEY" w:val="e17d3299-3fc6-4140-89f0-484e1d13014e"/>
  </w:docVars>
  <w:rsids>
    <w:rsidRoot w:val="15786305"/>
    <w:rsid w:val="1578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0"/>
    <w:pPr>
      <w:ind w:left="720"/>
      <w:contextualSpacing/>
    </w:pPr>
    <w:rPr>
      <w:rFonts w:ascii="Calibri" w:hAnsi="Calibri"/>
      <w:sz w:val="24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607</Characters>
  <Lines>0</Lines>
  <Paragraphs>0</Paragraphs>
  <TotalTime>0</TotalTime>
  <ScaleCrop>false</ScaleCrop>
  <LinksUpToDate>false</LinksUpToDate>
  <CharactersWithSpaces>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2024-10-10T11:28:00Z</dcterms:created>
  <dc:creator>疯子1977</dc:creator>
  <cp:lastModifiedBy>疯子1977</cp:lastModifiedBy>
  <dcterms:modified xsi:type="dcterms:W3CDTF">2024-10-10T11:28:44Z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C4B51C4CCD494D8895A9BF39F746E236_11</vt:lpwstr>
  </property>
</Properties>
</file>