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B008B">
      <w:pPr>
        <w:pStyle w:val="6"/>
        <w:outlineLvl w:val="2"/>
      </w:pPr>
      <w:r>
        <w:rPr>
          <w:b/>
          <w:sz w:val="28"/>
        </w:rPr>
        <w:t>3.3技术要求</w:t>
      </w:r>
    </w:p>
    <w:p w14:paraId="6FDF7066">
      <w:pPr>
        <w:pStyle w:val="6"/>
      </w:pPr>
      <w:r>
        <w:t>采购包1：</w:t>
      </w:r>
    </w:p>
    <w:p w14:paraId="6E3DF5E4">
      <w:pPr>
        <w:pStyle w:val="6"/>
      </w:pPr>
      <w:r>
        <w:t>供应商报价不允许超过标的金额</w:t>
      </w:r>
    </w:p>
    <w:p w14:paraId="63DB0C6B">
      <w:pPr>
        <w:pStyle w:val="6"/>
      </w:pPr>
      <w:r>
        <w:t>（招单价的）供应商报价不允许超过标的单价</w:t>
      </w:r>
    </w:p>
    <w:p w14:paraId="5699A8CE">
      <w:pPr>
        <w:pStyle w:val="6"/>
      </w:pPr>
      <w:r>
        <w:t>标的名称：</w:t>
      </w:r>
      <w:r>
        <w:rPr>
          <w:rFonts w:hint="eastAsia"/>
        </w:rPr>
        <w:t>口腔教学设备购置</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2"/>
        <w:gridCol w:w="650"/>
        <w:gridCol w:w="6915"/>
      </w:tblGrid>
      <w:tr w14:paraId="77590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2" w:type="dxa"/>
          </w:tcPr>
          <w:p w14:paraId="63E6871F">
            <w:pPr>
              <w:pStyle w:val="6"/>
            </w:pPr>
            <w:r>
              <w:t xml:space="preserve"> 参数性质</w:t>
            </w:r>
          </w:p>
        </w:tc>
        <w:tc>
          <w:tcPr>
            <w:tcW w:w="650" w:type="dxa"/>
          </w:tcPr>
          <w:p w14:paraId="252A53A7">
            <w:pPr>
              <w:pStyle w:val="6"/>
              <w:rPr>
                <w:rFonts w:hint="eastAsia" w:ascii="宋体" w:hAnsi="宋体" w:eastAsia="宋体" w:cs="宋体"/>
              </w:rPr>
            </w:pPr>
            <w:r>
              <w:rPr>
                <w:rFonts w:hint="eastAsia" w:ascii="宋体" w:hAnsi="宋体" w:eastAsia="宋体" w:cs="宋体"/>
              </w:rPr>
              <w:t>序号</w:t>
            </w:r>
          </w:p>
        </w:tc>
        <w:tc>
          <w:tcPr>
            <w:tcW w:w="6915" w:type="dxa"/>
          </w:tcPr>
          <w:p w14:paraId="0483707A">
            <w:pPr>
              <w:pStyle w:val="6"/>
              <w:rPr>
                <w:rFonts w:hint="eastAsia" w:ascii="宋体" w:hAnsi="宋体" w:eastAsia="宋体" w:cs="宋体"/>
              </w:rPr>
            </w:pPr>
            <w:r>
              <w:rPr>
                <w:rFonts w:hint="eastAsia" w:ascii="宋体" w:hAnsi="宋体" w:eastAsia="宋体" w:cs="宋体"/>
              </w:rPr>
              <w:t xml:space="preserve"> 技术参数与性能指标</w:t>
            </w:r>
          </w:p>
        </w:tc>
      </w:tr>
      <w:tr w14:paraId="4B6357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2" w:type="dxa"/>
          </w:tcPr>
          <w:p w14:paraId="79264093"/>
        </w:tc>
        <w:tc>
          <w:tcPr>
            <w:tcW w:w="650" w:type="dxa"/>
          </w:tcPr>
          <w:p w14:paraId="38590298">
            <w:pPr>
              <w:pStyle w:val="6"/>
              <w:rPr>
                <w:rFonts w:hint="eastAsia" w:ascii="宋体" w:hAnsi="宋体" w:eastAsia="宋体" w:cs="宋体"/>
              </w:rPr>
            </w:pPr>
            <w:r>
              <w:rPr>
                <w:rFonts w:hint="eastAsia" w:ascii="宋体" w:hAnsi="宋体" w:eastAsia="宋体" w:cs="宋体"/>
              </w:rPr>
              <w:t>1</w:t>
            </w:r>
          </w:p>
        </w:tc>
        <w:tc>
          <w:tcPr>
            <w:tcW w:w="6915" w:type="dxa"/>
            <w:shd w:val="clear" w:color="auto" w:fill="auto"/>
            <w:vAlign w:val="center"/>
          </w:tcPr>
          <w:p w14:paraId="5400CA28">
            <w:pPr>
              <w:pStyle w:val="2"/>
              <w:keepNext w:val="0"/>
              <w:keepLines w:val="0"/>
              <w:widowControl/>
              <w:suppressLineNumbers w:val="0"/>
              <w:spacing w:before="0" w:beforeAutospacing="0" w:after="0" w:afterAutospacing="0" w:line="480" w:lineRule="atLeast"/>
              <w:ind w:left="0" w:right="0" w:firstLine="0"/>
              <w:jc w:val="both"/>
              <w:rPr>
                <w:rFonts w:ascii="微软雅黑" w:hAnsi="微软雅黑" w:eastAsia="微软雅黑" w:cs="微软雅黑"/>
                <w:i w:val="0"/>
                <w:iCs w:val="0"/>
                <w:caps w:val="0"/>
                <w:color w:val="333333"/>
                <w:spacing w:val="0"/>
              </w:rPr>
            </w:pPr>
            <w:r>
              <w:rPr>
                <w:rStyle w:val="5"/>
                <w:rFonts w:hint="eastAsia" w:ascii="宋体" w:hAnsi="宋体" w:eastAsia="宋体" w:cs="宋体"/>
                <w:i w:val="0"/>
                <w:iCs w:val="0"/>
                <w:caps w:val="0"/>
                <w:color w:val="333333"/>
                <w:spacing w:val="0"/>
                <w:sz w:val="20"/>
                <w:szCs w:val="20"/>
              </w:rPr>
              <w:t>双目显微镜5台</w:t>
            </w:r>
          </w:p>
          <w:p w14:paraId="7DD3C94A">
            <w:pPr>
              <w:pStyle w:val="2"/>
              <w:keepNext w:val="0"/>
              <w:keepLines w:val="0"/>
              <w:widowControl/>
              <w:suppressLineNumbers w:val="0"/>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0"/>
                <w:szCs w:val="20"/>
              </w:rPr>
              <w:t>1、放大倍数：40X-1000X。</w:t>
            </w:r>
          </w:p>
          <w:p w14:paraId="2013618F">
            <w:pPr>
              <w:pStyle w:val="2"/>
              <w:keepNext w:val="0"/>
              <w:keepLines w:val="0"/>
              <w:widowControl/>
              <w:suppressLineNumbers w:val="0"/>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0"/>
                <w:szCs w:val="20"/>
              </w:rPr>
              <w:t>2、光学系统：无限远色差校正光学系统。</w:t>
            </w:r>
          </w:p>
          <w:p w14:paraId="55599D39">
            <w:pPr>
              <w:pStyle w:val="2"/>
              <w:keepNext w:val="0"/>
              <w:keepLines w:val="0"/>
              <w:widowControl/>
              <w:suppressLineNumbers w:val="0"/>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0"/>
                <w:szCs w:val="20"/>
              </w:rPr>
              <w:t>3、目镜：PL10X/22mm，两只目镜都可视度调节。</w:t>
            </w:r>
          </w:p>
          <w:p w14:paraId="55D2A77B">
            <w:pPr>
              <w:pStyle w:val="2"/>
              <w:keepNext w:val="0"/>
              <w:keepLines w:val="0"/>
              <w:widowControl/>
              <w:suppressLineNumbers w:val="0"/>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0"/>
                <w:szCs w:val="20"/>
              </w:rPr>
              <w:t>4、观察筒：铰链式观察筒，30°倾斜；瞳距调节范围48-76mm。具有铰链组360°旋转功能，</w:t>
            </w:r>
          </w:p>
          <w:p w14:paraId="17AED1C8">
            <w:pPr>
              <w:pStyle w:val="2"/>
              <w:keepNext w:val="0"/>
              <w:keepLines w:val="0"/>
              <w:widowControl/>
              <w:suppressLineNumbers w:val="0"/>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0"/>
                <w:szCs w:val="20"/>
              </w:rPr>
              <w:t>5、物镜转换器：内倾式5孔物镜编码转换、能够记忆每个物镜的照明亮度、自动切换，物镜切换时，亮度自动调整。</w:t>
            </w:r>
          </w:p>
          <w:p w14:paraId="41BBCEC0">
            <w:pPr>
              <w:pStyle w:val="2"/>
              <w:keepNext w:val="0"/>
              <w:keepLines w:val="0"/>
              <w:widowControl/>
              <w:suppressLineNumbers w:val="0"/>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0"/>
                <w:szCs w:val="20"/>
              </w:rPr>
              <w:t>6、聚光镜：数值孔径N.A.1.25柯拉照明聚光镜，带可变孔径光栏，带暗场、相差附件插口</w:t>
            </w:r>
          </w:p>
          <w:p w14:paraId="6C8A1674">
            <w:pPr>
              <w:pStyle w:val="2"/>
              <w:keepNext w:val="0"/>
              <w:keepLines w:val="0"/>
              <w:widowControl/>
              <w:suppressLineNumbers w:val="0"/>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0"/>
                <w:szCs w:val="20"/>
              </w:rPr>
              <w:t>★7、载物台：双层复合机械移动平台，陶瓷线轨平台，台面采用陶瓷工艺，硬度高，耐腐蚀；载物台面积≥210mmX171mm，平台行程≥78mmX51mm，片夹可同时夹持两块切片，方便对比观察；移动精度≤0.1mm，载物台无突出齿条结构。</w:t>
            </w:r>
          </w:p>
          <w:p w14:paraId="1C9D9407">
            <w:pPr>
              <w:pStyle w:val="2"/>
              <w:keepNext w:val="0"/>
              <w:keepLines w:val="0"/>
              <w:widowControl/>
              <w:suppressLineNumbers w:val="0"/>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0"/>
                <w:szCs w:val="20"/>
              </w:rPr>
              <w:t>8、调焦机构：低手位粗微调同轴，带松紧调节装置和上限位装置，粗调行程≥27mm。</w:t>
            </w:r>
          </w:p>
          <w:p w14:paraId="3C25A0BB">
            <w:pPr>
              <w:pStyle w:val="2"/>
              <w:keepNext w:val="0"/>
              <w:keepLines w:val="0"/>
              <w:widowControl/>
              <w:suppressLineNumbers w:val="0"/>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0"/>
                <w:szCs w:val="20"/>
              </w:rPr>
              <w:t>9、物镜： 无限远平场消色差物镜:4X/NA≥0.1/WD≥15mm， 10X/NA≥0.25/WD≥10.8mm，20X/NA≥0.4/WD≥1.5mm，40X/NA≥0.65/WD≥0.8mm，100X/NA≥1.25/WD≥0.21mm。</w:t>
            </w:r>
          </w:p>
          <w:p w14:paraId="1B0ABE61">
            <w:pPr>
              <w:pStyle w:val="2"/>
              <w:keepNext w:val="0"/>
              <w:keepLines w:val="0"/>
              <w:widowControl/>
              <w:suppressLineNumbers w:val="0"/>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0"/>
                <w:szCs w:val="20"/>
              </w:rPr>
              <w:t>10、机身LED显示屏，物镜及亮度显示</w:t>
            </w:r>
          </w:p>
          <w:p w14:paraId="5DBF9396">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color w:val="FF0000"/>
                <w:kern w:val="2"/>
                <w:sz w:val="20"/>
                <w:szCs w:val="20"/>
                <w:lang w:val="en-US" w:eastAsia="zh-CN" w:bidi="ar-SA"/>
              </w:rPr>
            </w:pPr>
            <w:r>
              <w:rPr>
                <w:rFonts w:hint="eastAsia" w:ascii="宋体" w:hAnsi="宋体" w:eastAsia="宋体" w:cs="宋体"/>
                <w:i w:val="0"/>
                <w:iCs w:val="0"/>
                <w:caps w:val="0"/>
                <w:color w:val="333333"/>
                <w:spacing w:val="0"/>
                <w:sz w:val="20"/>
                <w:szCs w:val="20"/>
              </w:rPr>
              <w:t>11、照明系统：内置宽电压变压器，输入100V-240V；大功率高亮度3W LED</w:t>
            </w:r>
          </w:p>
        </w:tc>
      </w:tr>
      <w:tr w14:paraId="4D368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2" w:type="dxa"/>
          </w:tcPr>
          <w:p w14:paraId="361CA118"/>
        </w:tc>
        <w:tc>
          <w:tcPr>
            <w:tcW w:w="650" w:type="dxa"/>
          </w:tcPr>
          <w:p w14:paraId="0C121850">
            <w:pPr>
              <w:pStyle w:val="6"/>
              <w:rPr>
                <w:rFonts w:hint="eastAsia" w:ascii="宋体" w:hAnsi="宋体" w:eastAsia="宋体" w:cs="宋体"/>
              </w:rPr>
            </w:pPr>
            <w:r>
              <w:rPr>
                <w:rFonts w:hint="eastAsia" w:ascii="宋体" w:hAnsi="宋体" w:eastAsia="宋体" w:cs="宋体"/>
              </w:rPr>
              <w:t>2</w:t>
            </w:r>
          </w:p>
        </w:tc>
        <w:tc>
          <w:tcPr>
            <w:tcW w:w="6915" w:type="dxa"/>
            <w:shd w:val="clear" w:color="auto" w:fill="auto"/>
            <w:vAlign w:val="center"/>
          </w:tcPr>
          <w:p w14:paraId="6A43D77B">
            <w:pPr>
              <w:pStyle w:val="2"/>
              <w:keepNext w:val="0"/>
              <w:keepLines w:val="0"/>
              <w:widowControl/>
              <w:suppressLineNumbers w:val="0"/>
              <w:spacing w:before="0" w:beforeAutospacing="0" w:after="0" w:afterAutospacing="0" w:line="480" w:lineRule="atLeast"/>
              <w:ind w:left="0" w:right="0" w:firstLine="0"/>
              <w:jc w:val="both"/>
              <w:rPr>
                <w:rFonts w:ascii="微软雅黑" w:hAnsi="微软雅黑" w:eastAsia="微软雅黑" w:cs="微软雅黑"/>
                <w:i w:val="0"/>
                <w:iCs w:val="0"/>
                <w:caps w:val="0"/>
                <w:color w:val="333333"/>
                <w:spacing w:val="0"/>
              </w:rPr>
            </w:pPr>
            <w:r>
              <w:rPr>
                <w:rStyle w:val="5"/>
                <w:rFonts w:hint="eastAsia" w:ascii="宋体" w:hAnsi="宋体" w:eastAsia="宋体" w:cs="宋体"/>
                <w:i w:val="0"/>
                <w:iCs w:val="0"/>
                <w:caps w:val="0"/>
                <w:color w:val="333333"/>
                <w:spacing w:val="0"/>
                <w:sz w:val="20"/>
                <w:szCs w:val="20"/>
              </w:rPr>
              <w:t>口腔临床模拟实习系统10套（核心产品）</w:t>
            </w:r>
          </w:p>
          <w:p w14:paraId="6FF1951B">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 xml:space="preserve">1.仿真头模系统 </w:t>
            </w:r>
          </w:p>
          <w:p w14:paraId="2D429CE6">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1)包含模拟颌架、面罩和头颅盖，配有仿真肩体，模拟人体结构。头盖骨采用可翻式设计，与咬合器采用隐藏式螺纹固定。头颅与肩体采取了球形接头，可随意角度调整头模上下左右的角度。</w:t>
            </w:r>
          </w:p>
          <w:p w14:paraId="44C4B61B">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2)高级头模颌架配有的咬合器前伸髁道斜度约30度，侧方髁道斜度约15度。带有模拟人耳，可上面弓，可真实地模拟下颌运动数据的转移。同时可直接简单方便地安装各学科实习模型，不需要其他辅助咬合器。</w:t>
            </w:r>
          </w:p>
          <w:p w14:paraId="44414D91">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3)★配套的上下颌标准28颗牙列模型采用亚洲人牙齿形态设计，具有解剖形态的密胺制牙齿带单直根，采用隐藏式螺丝固位。配套牙齿与医师考试专用牙齿相同。</w:t>
            </w:r>
          </w:p>
          <w:p w14:paraId="04BFDBD9">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4)配套的上下颌牙齿模型牙龈由优质的硅橡胶制成，可拆卸和更换。</w:t>
            </w:r>
          </w:p>
          <w:p w14:paraId="04C78957">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5)▲配套模拟面罩空间模拟人体，密闭防水，可存储手机出水，牵拉力值：≥130N。（提供证明材料）</w:t>
            </w:r>
          </w:p>
          <w:p w14:paraId="04EE498F">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6)配有模拟人体参数的咬合器，其根据人体解剖学要求再现了眶耳平面，鼻翼耳平面，以及颌平面和下颌切点，可进行下颌开闭口位、前伸位和侧向位的模拟运动，最大开口上下前牙切端距离50mm,可进行全开口实习。</w:t>
            </w:r>
          </w:p>
          <w:p w14:paraId="42469E36">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7)★配套实习模型与咬合器采用隐藏式螺纹固位，与头颅采用高磁性固位装置连接，并设置隐藏可弹式顶出按键。</w:t>
            </w:r>
          </w:p>
          <w:p w14:paraId="59E89986">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8)▲模型安装采用磁吸附式高磁性固位装置连接（非螺丝固位或磁吸后手动抠出），吸磁总力：≥12KG。（</w:t>
            </w:r>
            <w:r>
              <w:rPr>
                <w:rFonts w:hint="eastAsia" w:ascii="宋体" w:hAnsi="宋体" w:eastAsia="宋体" w:cs="宋体"/>
                <w:color w:val="auto"/>
                <w:kern w:val="0"/>
                <w:sz w:val="20"/>
                <w:szCs w:val="24"/>
                <w:lang w:val="en-US" w:eastAsia="zh-CN"/>
              </w:rPr>
              <w:t>提供证明材料</w:t>
            </w:r>
            <w:r>
              <w:rPr>
                <w:rFonts w:hint="eastAsia" w:ascii="宋体" w:hAnsi="宋体" w:eastAsia="宋体" w:cs="宋体"/>
                <w:i w:val="0"/>
                <w:iCs w:val="0"/>
                <w:caps w:val="0"/>
                <w:color w:val="333333"/>
                <w:spacing w:val="0"/>
                <w:sz w:val="20"/>
                <w:szCs w:val="20"/>
                <w:lang w:val="en-US" w:eastAsia="zh-CN"/>
              </w:rPr>
              <w:t>）</w:t>
            </w:r>
          </w:p>
          <w:p w14:paraId="1C4EE3CC">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9)▲配套种植模型特点与功能要求：（提供产品说明书）</w:t>
            </w:r>
          </w:p>
          <w:p w14:paraId="234CC499">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cs="宋体"/>
                <w:i w:val="0"/>
                <w:iCs w:val="0"/>
                <w:caps w:val="0"/>
                <w:color w:val="333333"/>
                <w:spacing w:val="0"/>
                <w:sz w:val="20"/>
                <w:szCs w:val="20"/>
                <w:lang w:val="en-US" w:eastAsia="zh-CN"/>
              </w:rPr>
              <w:t>9.1</w:t>
            </w:r>
            <w:r>
              <w:rPr>
                <w:rFonts w:hint="eastAsia" w:ascii="宋体" w:hAnsi="宋体" w:eastAsia="宋体" w:cs="宋体"/>
                <w:i w:val="0"/>
                <w:iCs w:val="0"/>
                <w:caps w:val="0"/>
                <w:color w:val="333333"/>
                <w:spacing w:val="0"/>
                <w:sz w:val="20"/>
                <w:szCs w:val="20"/>
                <w:lang w:val="en-US" w:eastAsia="zh-CN"/>
              </w:rPr>
              <w:t>)上颌模型有鼻底特征。</w:t>
            </w:r>
          </w:p>
          <w:p w14:paraId="0F238E76">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cs="宋体"/>
                <w:i w:val="0"/>
                <w:iCs w:val="0"/>
                <w:caps w:val="0"/>
                <w:color w:val="333333"/>
                <w:spacing w:val="0"/>
                <w:sz w:val="20"/>
                <w:szCs w:val="20"/>
                <w:lang w:val="en-US" w:eastAsia="zh-CN"/>
              </w:rPr>
              <w:t>9.2</w:t>
            </w:r>
            <w:r>
              <w:rPr>
                <w:rFonts w:hint="eastAsia" w:ascii="宋体" w:hAnsi="宋体" w:eastAsia="宋体" w:cs="宋体"/>
                <w:i w:val="0"/>
                <w:iCs w:val="0"/>
                <w:caps w:val="0"/>
                <w:color w:val="333333"/>
                <w:spacing w:val="0"/>
                <w:sz w:val="20"/>
                <w:szCs w:val="20"/>
                <w:lang w:val="en-US" w:eastAsia="zh-CN"/>
              </w:rPr>
              <w:t>)上颌模型有上颌窦和上颌窦膜特征，可行上颌窦底提升术。</w:t>
            </w:r>
          </w:p>
          <w:p w14:paraId="41750447">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cs="宋体"/>
                <w:i w:val="0"/>
                <w:iCs w:val="0"/>
                <w:caps w:val="0"/>
                <w:color w:val="333333"/>
                <w:spacing w:val="0"/>
                <w:sz w:val="20"/>
                <w:szCs w:val="20"/>
                <w:lang w:val="en-US" w:eastAsia="zh-CN"/>
              </w:rPr>
              <w:t>9.3</w:t>
            </w:r>
            <w:r>
              <w:rPr>
                <w:rFonts w:hint="eastAsia" w:ascii="宋体" w:hAnsi="宋体" w:eastAsia="宋体" w:cs="宋体"/>
                <w:i w:val="0"/>
                <w:iCs w:val="0"/>
                <w:caps w:val="0"/>
                <w:color w:val="333333"/>
                <w:spacing w:val="0"/>
                <w:sz w:val="20"/>
                <w:szCs w:val="20"/>
                <w:lang w:val="en-US" w:eastAsia="zh-CN"/>
              </w:rPr>
              <w:t>)上颌右侧远端末端游离，外侧骨壁薄，可行上颌窦底外侧壁提升。</w:t>
            </w:r>
          </w:p>
          <w:p w14:paraId="5B1C8369">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cs="宋体"/>
                <w:i w:val="0"/>
                <w:iCs w:val="0"/>
                <w:caps w:val="0"/>
                <w:color w:val="333333"/>
                <w:spacing w:val="0"/>
                <w:sz w:val="20"/>
                <w:szCs w:val="20"/>
                <w:lang w:val="en-US" w:eastAsia="zh-CN"/>
              </w:rPr>
              <w:t>9.4</w:t>
            </w:r>
            <w:r>
              <w:rPr>
                <w:rFonts w:hint="eastAsia" w:ascii="宋体" w:hAnsi="宋体" w:eastAsia="宋体" w:cs="宋体"/>
                <w:i w:val="0"/>
                <w:iCs w:val="0"/>
                <w:caps w:val="0"/>
                <w:color w:val="333333"/>
                <w:spacing w:val="0"/>
                <w:sz w:val="20"/>
                <w:szCs w:val="20"/>
                <w:lang w:val="en-US" w:eastAsia="zh-CN"/>
              </w:rPr>
              <w:t>)上颌左侧可行经牙槽脊顶上颌窦底内提升。</w:t>
            </w:r>
          </w:p>
          <w:p w14:paraId="7F5089DD">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cs="宋体"/>
                <w:i w:val="0"/>
                <w:iCs w:val="0"/>
                <w:caps w:val="0"/>
                <w:color w:val="333333"/>
                <w:spacing w:val="0"/>
                <w:sz w:val="20"/>
                <w:szCs w:val="20"/>
                <w:lang w:val="en-US" w:eastAsia="zh-CN"/>
              </w:rPr>
              <w:t>9.5</w:t>
            </w:r>
            <w:r>
              <w:rPr>
                <w:rFonts w:hint="eastAsia" w:ascii="宋体" w:hAnsi="宋体" w:eastAsia="宋体" w:cs="宋体"/>
                <w:i w:val="0"/>
                <w:iCs w:val="0"/>
                <w:caps w:val="0"/>
                <w:color w:val="333333"/>
                <w:spacing w:val="0"/>
                <w:sz w:val="20"/>
                <w:szCs w:val="20"/>
                <w:lang w:val="en-US" w:eastAsia="zh-CN"/>
              </w:rPr>
              <w:t>)上颌前牙区为程度较重的刃状骨缺损，需行GBR手术。</w:t>
            </w:r>
          </w:p>
          <w:p w14:paraId="6A3C9E77">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cs="宋体"/>
                <w:i w:val="0"/>
                <w:iCs w:val="0"/>
                <w:caps w:val="0"/>
                <w:color w:val="333333"/>
                <w:spacing w:val="0"/>
                <w:sz w:val="20"/>
                <w:szCs w:val="20"/>
                <w:lang w:val="en-US" w:eastAsia="zh-CN"/>
              </w:rPr>
              <w:t>9.6</w:t>
            </w:r>
            <w:r>
              <w:rPr>
                <w:rFonts w:hint="eastAsia" w:ascii="宋体" w:hAnsi="宋体" w:eastAsia="宋体" w:cs="宋体"/>
                <w:i w:val="0"/>
                <w:iCs w:val="0"/>
                <w:caps w:val="0"/>
                <w:color w:val="333333"/>
                <w:spacing w:val="0"/>
                <w:sz w:val="20"/>
                <w:szCs w:val="20"/>
                <w:lang w:val="en-US" w:eastAsia="zh-CN"/>
              </w:rPr>
              <w:t>)上颌骨腭部有切牙孔、腭大孔特征。</w:t>
            </w:r>
          </w:p>
          <w:p w14:paraId="4DD6D66C">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cs="宋体"/>
                <w:i w:val="0"/>
                <w:iCs w:val="0"/>
                <w:caps w:val="0"/>
                <w:color w:val="333333"/>
                <w:spacing w:val="0"/>
                <w:sz w:val="20"/>
                <w:szCs w:val="20"/>
                <w:lang w:val="en-US" w:eastAsia="zh-CN"/>
              </w:rPr>
              <w:t>9.7</w:t>
            </w:r>
            <w:r>
              <w:rPr>
                <w:rFonts w:hint="eastAsia" w:ascii="宋体" w:hAnsi="宋体" w:eastAsia="宋体" w:cs="宋体"/>
                <w:i w:val="0"/>
                <w:iCs w:val="0"/>
                <w:caps w:val="0"/>
                <w:color w:val="333333"/>
                <w:spacing w:val="0"/>
                <w:sz w:val="20"/>
                <w:szCs w:val="20"/>
                <w:lang w:val="en-US" w:eastAsia="zh-CN"/>
              </w:rPr>
              <w:t>)上颌腭部软组织包含腭皱、切牙乳突、腭中缝等特征。</w:t>
            </w:r>
          </w:p>
          <w:p w14:paraId="31E3DFCA">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cs="宋体"/>
                <w:i w:val="0"/>
                <w:iCs w:val="0"/>
                <w:caps w:val="0"/>
                <w:color w:val="333333"/>
                <w:spacing w:val="0"/>
                <w:sz w:val="20"/>
                <w:szCs w:val="20"/>
                <w:lang w:val="en-US" w:eastAsia="zh-CN"/>
              </w:rPr>
              <w:t>9.8</w:t>
            </w:r>
            <w:r>
              <w:rPr>
                <w:rFonts w:hint="eastAsia" w:ascii="宋体" w:hAnsi="宋体" w:eastAsia="宋体" w:cs="宋体"/>
                <w:i w:val="0"/>
                <w:iCs w:val="0"/>
                <w:caps w:val="0"/>
                <w:color w:val="333333"/>
                <w:spacing w:val="0"/>
                <w:sz w:val="20"/>
                <w:szCs w:val="20"/>
                <w:lang w:val="en-US" w:eastAsia="zh-CN"/>
              </w:rPr>
              <w:t>)下颌模型的舌底部分是独立的，在钻削时侵犯舌底时需有带颜色的切削屑产生作为提示。</w:t>
            </w:r>
          </w:p>
          <w:p w14:paraId="685B9442">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cs="宋体"/>
                <w:i w:val="0"/>
                <w:iCs w:val="0"/>
                <w:caps w:val="0"/>
                <w:color w:val="333333"/>
                <w:spacing w:val="0"/>
                <w:sz w:val="20"/>
                <w:szCs w:val="20"/>
                <w:lang w:val="en-US" w:eastAsia="zh-CN"/>
              </w:rPr>
              <w:t>9.9</w:t>
            </w:r>
            <w:r>
              <w:rPr>
                <w:rFonts w:hint="eastAsia" w:ascii="宋体" w:hAnsi="宋体" w:eastAsia="宋体" w:cs="宋体"/>
                <w:i w:val="0"/>
                <w:iCs w:val="0"/>
                <w:caps w:val="0"/>
                <w:color w:val="333333"/>
                <w:spacing w:val="0"/>
                <w:sz w:val="20"/>
                <w:szCs w:val="20"/>
                <w:lang w:val="en-US" w:eastAsia="zh-CN"/>
              </w:rPr>
              <w:t>)下颌模型下颌骨有颏孔特征，后牙区骨质内部有下颌神经管穿过的特征，钻削时侵犯下颌神经管时需有带颜色的切削屑产生作为提示。</w:t>
            </w:r>
          </w:p>
          <w:p w14:paraId="761488B8">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cs="宋体"/>
                <w:i w:val="0"/>
                <w:iCs w:val="0"/>
                <w:caps w:val="0"/>
                <w:color w:val="333333"/>
                <w:spacing w:val="0"/>
                <w:sz w:val="20"/>
                <w:szCs w:val="20"/>
                <w:lang w:val="en-US" w:eastAsia="zh-CN"/>
              </w:rPr>
              <w:t>9.10</w:t>
            </w:r>
            <w:r>
              <w:rPr>
                <w:rFonts w:hint="eastAsia" w:ascii="宋体" w:hAnsi="宋体" w:eastAsia="宋体" w:cs="宋体"/>
                <w:i w:val="0"/>
                <w:iCs w:val="0"/>
                <w:caps w:val="0"/>
                <w:color w:val="333333"/>
                <w:spacing w:val="0"/>
                <w:sz w:val="20"/>
                <w:szCs w:val="20"/>
                <w:lang w:val="en-US" w:eastAsia="zh-CN"/>
              </w:rPr>
              <w:t>)下颌前牙区有下颌切牙神经管特征。颏部取骨侵犯到下颌切牙神经管时需有带颜色的切削屑产生作为提示。</w:t>
            </w:r>
          </w:p>
          <w:p w14:paraId="7AD1E191">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cs="宋体"/>
                <w:i w:val="0"/>
                <w:iCs w:val="0"/>
                <w:caps w:val="0"/>
                <w:color w:val="333333"/>
                <w:spacing w:val="0"/>
                <w:sz w:val="20"/>
                <w:szCs w:val="20"/>
                <w:lang w:val="en-US" w:eastAsia="zh-CN"/>
              </w:rPr>
              <w:t>9.11</w:t>
            </w:r>
            <w:r>
              <w:rPr>
                <w:rFonts w:hint="eastAsia" w:ascii="宋体" w:hAnsi="宋体" w:eastAsia="宋体" w:cs="宋体"/>
                <w:i w:val="0"/>
                <w:iCs w:val="0"/>
                <w:caps w:val="0"/>
                <w:color w:val="333333"/>
                <w:spacing w:val="0"/>
                <w:sz w:val="20"/>
                <w:szCs w:val="20"/>
                <w:lang w:val="en-US" w:eastAsia="zh-CN"/>
              </w:rPr>
              <w:t>)下颌前牙区为程度较轻的刃状骨缺损，可直接种植体植入，可行GBR手术。</w:t>
            </w:r>
          </w:p>
          <w:p w14:paraId="38202ABB">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cs="宋体"/>
                <w:i w:val="0"/>
                <w:iCs w:val="0"/>
                <w:caps w:val="0"/>
                <w:color w:val="333333"/>
                <w:spacing w:val="0"/>
                <w:sz w:val="20"/>
                <w:szCs w:val="20"/>
                <w:lang w:val="en-US" w:eastAsia="zh-CN"/>
              </w:rPr>
              <w:t>9.12</w:t>
            </w:r>
            <w:r>
              <w:rPr>
                <w:rFonts w:hint="eastAsia" w:ascii="宋体" w:hAnsi="宋体" w:eastAsia="宋体" w:cs="宋体"/>
                <w:i w:val="0"/>
                <w:iCs w:val="0"/>
                <w:caps w:val="0"/>
                <w:color w:val="333333"/>
                <w:spacing w:val="0"/>
                <w:sz w:val="20"/>
                <w:szCs w:val="20"/>
                <w:lang w:val="en-US" w:eastAsia="zh-CN"/>
              </w:rPr>
              <w:t>)下颌右侧后牙末端游离，垂直方向骨吸收严重，可行植骨、GBR。</w:t>
            </w:r>
          </w:p>
          <w:p w14:paraId="1F699DB6">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cs="宋体"/>
                <w:i w:val="0"/>
                <w:iCs w:val="0"/>
                <w:caps w:val="0"/>
                <w:color w:val="333333"/>
                <w:spacing w:val="0"/>
                <w:sz w:val="20"/>
                <w:szCs w:val="20"/>
                <w:lang w:val="en-US" w:eastAsia="zh-CN"/>
              </w:rPr>
              <w:t>9.13</w:t>
            </w:r>
            <w:r>
              <w:rPr>
                <w:rFonts w:hint="eastAsia" w:ascii="宋体" w:hAnsi="宋体" w:eastAsia="宋体" w:cs="宋体"/>
                <w:i w:val="0"/>
                <w:iCs w:val="0"/>
                <w:caps w:val="0"/>
                <w:color w:val="333333"/>
                <w:spacing w:val="0"/>
                <w:sz w:val="20"/>
                <w:szCs w:val="20"/>
                <w:lang w:val="en-US" w:eastAsia="zh-CN"/>
              </w:rPr>
              <w:t>)上、下颌骨质拥有外层的骨皮质特征和内部的骨松质特征，骨质分类介于2~3类骨。</w:t>
            </w:r>
          </w:p>
          <w:p w14:paraId="0B85BCFD">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cs="宋体"/>
                <w:i w:val="0"/>
                <w:iCs w:val="0"/>
                <w:caps w:val="0"/>
                <w:color w:val="333333"/>
                <w:spacing w:val="0"/>
                <w:sz w:val="20"/>
                <w:szCs w:val="20"/>
                <w:lang w:val="en-US" w:eastAsia="zh-CN"/>
              </w:rPr>
              <w:t>9.14</w:t>
            </w:r>
            <w:r>
              <w:rPr>
                <w:rFonts w:hint="eastAsia" w:ascii="宋体" w:hAnsi="宋体" w:eastAsia="宋体" w:cs="宋体"/>
                <w:i w:val="0"/>
                <w:iCs w:val="0"/>
                <w:caps w:val="0"/>
                <w:color w:val="333333"/>
                <w:spacing w:val="0"/>
                <w:sz w:val="20"/>
                <w:szCs w:val="20"/>
                <w:lang w:val="en-US" w:eastAsia="zh-CN"/>
              </w:rPr>
              <w:t>)模型本身可拍摄CT片以辅助手术方案的制定，并可依据CT数据设计、制作数字化种植手术导板。模型的牙龈软组织具有良好的弹性且与骨组织结合紧密，可切开、翻瓣、牵张、缝合。</w:t>
            </w:r>
          </w:p>
          <w:p w14:paraId="7B6EE939">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cs="宋体"/>
                <w:i w:val="0"/>
                <w:iCs w:val="0"/>
                <w:caps w:val="0"/>
                <w:color w:val="333333"/>
                <w:spacing w:val="0"/>
                <w:sz w:val="20"/>
                <w:szCs w:val="20"/>
                <w:lang w:val="en-US" w:eastAsia="zh-CN"/>
              </w:rPr>
              <w:t>9.15</w:t>
            </w:r>
            <w:r>
              <w:rPr>
                <w:rFonts w:hint="eastAsia" w:ascii="宋体" w:hAnsi="宋体" w:eastAsia="宋体" w:cs="宋体"/>
                <w:i w:val="0"/>
                <w:iCs w:val="0"/>
                <w:caps w:val="0"/>
                <w:color w:val="333333"/>
                <w:spacing w:val="0"/>
                <w:sz w:val="20"/>
                <w:szCs w:val="20"/>
                <w:lang w:val="en-US" w:eastAsia="zh-CN"/>
              </w:rPr>
              <w:t>)模型底部安装磁性吸附装置，可与仿头模通过磁铁连接固定。</w:t>
            </w:r>
          </w:p>
          <w:p w14:paraId="39933DFE">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cs="宋体"/>
                <w:i w:val="0"/>
                <w:iCs w:val="0"/>
                <w:caps w:val="0"/>
                <w:color w:val="333333"/>
                <w:spacing w:val="0"/>
                <w:sz w:val="20"/>
                <w:szCs w:val="20"/>
                <w:lang w:val="en-US" w:eastAsia="zh-CN"/>
              </w:rPr>
              <w:t>9.16</w:t>
            </w:r>
            <w:r>
              <w:rPr>
                <w:rFonts w:hint="eastAsia" w:ascii="宋体" w:hAnsi="宋体" w:eastAsia="宋体" w:cs="宋体"/>
                <w:i w:val="0"/>
                <w:iCs w:val="0"/>
                <w:caps w:val="0"/>
                <w:color w:val="333333"/>
                <w:spacing w:val="0"/>
                <w:sz w:val="20"/>
                <w:szCs w:val="20"/>
                <w:lang w:val="en-US" w:eastAsia="zh-CN"/>
              </w:rPr>
              <w:t>)</w:t>
            </w:r>
            <w:bookmarkStart w:id="0" w:name="_GoBack"/>
            <w:bookmarkEnd w:id="0"/>
            <w:r>
              <w:rPr>
                <w:rFonts w:hint="eastAsia" w:ascii="宋体" w:hAnsi="宋体" w:eastAsia="宋体" w:cs="宋体"/>
                <w:i w:val="0"/>
                <w:iCs w:val="0"/>
                <w:caps w:val="0"/>
                <w:color w:val="333333"/>
                <w:spacing w:val="0"/>
                <w:sz w:val="20"/>
                <w:szCs w:val="20"/>
                <w:lang w:val="en-US" w:eastAsia="zh-CN"/>
              </w:rPr>
              <w:t>上下颌安装螺母嵌件，通过咬合器连接固定具有咬合功能。</w:t>
            </w:r>
          </w:p>
          <w:p w14:paraId="6B02BD7E">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 xml:space="preserve">2.仿真治疗操作系统 </w:t>
            </w:r>
          </w:p>
          <w:p w14:paraId="20F30A65">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1)系统收纳：设备收纳后位置尺寸600～650（L）×500～550（W）×950～1100（H）mm，系统主体和挂架系统能够全部推入桌子下方进行收纳。</w:t>
            </w:r>
          </w:p>
          <w:p w14:paraId="7465D679">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2)★动力系统：系统整机无电路设施，躯体俯仰升降以气动弹簧驱动，可垂直升降650～850mm及俯仰角度-5°～90°调节。</w:t>
            </w:r>
          </w:p>
          <w:p w14:paraId="3D9BDB04">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3)挂架系统:具备一体式医生侧挂架系统，挂架系统具有4个挂架位（按照离系统由近到远顺序排列依次是三用枪、高速手机、低速手机、吸唾器）挂架与地面呈现15度角度；</w:t>
            </w:r>
          </w:p>
          <w:p w14:paraId="22A3EAE2">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4)★升降一体性：挂架系统将跟随系统柜一起升降，满足使用者在不同体位情况下均可以合理使用挂架上器械，配有拉手便于使用者调整挂架位置。</w:t>
            </w:r>
          </w:p>
          <w:p w14:paraId="5375E4FE">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5)脚踏系统：配有的脚踏系统可驱动手机系统工作（手机驱动及喷雾，供水切换），并可以悬挂收纳。</w:t>
            </w:r>
          </w:p>
          <w:p w14:paraId="3F6FDFC2">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6)器械托盘：200～300（L）×150～200（W）×8～15（D）mm可拆卸清洗。</w:t>
            </w:r>
          </w:p>
          <w:p w14:paraId="128C459B">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7)供水系统：可以选择多种供水方式，如：内循环水瓶供水/外循环水管供水。</w:t>
            </w:r>
          </w:p>
          <w:p w14:paraId="23291209">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8)★一气化系统锁定设计：系统具有一气锁定设计，设备在通气使用状态时，整机可牢固吸附于地面，无法移动。</w:t>
            </w:r>
          </w:p>
          <w:p w14:paraId="4E7AA0DD">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9)▲集污系统：设备自带集污阀，使用者可以定期清理。（提供功能示意图）</w:t>
            </w:r>
          </w:p>
          <w:p w14:paraId="5F4161BE">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 xml:space="preserve">3.工作台操作系统 </w:t>
            </w:r>
          </w:p>
          <w:p w14:paraId="024062BB">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1)整机外观简洁，美观，大方。系统主体表面平板结合处应无明显间隙，无螺钉外露，带有隐藏式多媒体走线装置。</w:t>
            </w:r>
          </w:p>
          <w:p w14:paraId="7931EE4A">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2)系统操作工作台桌体尺寸不得低于：1200*600*800mm（全钢结构）</w:t>
            </w:r>
          </w:p>
          <w:p w14:paraId="2881C845">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3)配备隐藏式电源6位5孔供电插座，便于用户使用各种外部设备。</w:t>
            </w:r>
          </w:p>
          <w:p w14:paraId="4AB3209A">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 xml:space="preserve">4.医师椅 </w:t>
            </w:r>
          </w:p>
          <w:p w14:paraId="5791E1D3">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1)医师椅载重≥135KG，升降420－530mm，脚轮可随意滑动，可随意调节高度。</w:t>
            </w:r>
          </w:p>
          <w:p w14:paraId="7009FFBF">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 xml:space="preserve">5.手机系统 </w:t>
            </w:r>
          </w:p>
          <w:p w14:paraId="772AAE55">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1)行业通用高速按压式手机1把。通用按压式四孔接口，可进行135度高温压着空灭菌消毒。</w:t>
            </w:r>
          </w:p>
          <w:p w14:paraId="0245C1C0">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2)行业通用低速按压式直机、弯机、马达1套。通用四孔接口，可进行135度高温高压灭菌消毒。</w:t>
            </w:r>
          </w:p>
          <w:p w14:paraId="6FC444FB">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 xml:space="preserve">6. 照明系统 </w:t>
            </w:r>
          </w:p>
          <w:p w14:paraId="72833D31">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1)照明系统为LED无影灯，采用非接触式传感方式调节亮度，无级调节灯光亮度，以适应用户的不同情况下需求。</w:t>
            </w:r>
          </w:p>
          <w:p w14:paraId="023B2ED8">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2)灯光亮度记忆，用户调整到合适灯光后，关闭无影灯，当重新开启时灯光恢复至原有调整好的亮度，方便用户使用。</w:t>
            </w:r>
          </w:p>
          <w:p w14:paraId="5274D75F">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 xml:space="preserve">7.其他要求 </w:t>
            </w:r>
          </w:p>
          <w:p w14:paraId="0A1C28A1">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0"/>
                <w:szCs w:val="20"/>
                <w:lang w:val="en-US" w:eastAsia="zh-CN"/>
              </w:rPr>
            </w:pPr>
            <w:r>
              <w:rPr>
                <w:rFonts w:hint="eastAsia" w:ascii="宋体" w:hAnsi="宋体" w:eastAsia="宋体" w:cs="宋体"/>
                <w:i w:val="0"/>
                <w:iCs w:val="0"/>
                <w:caps w:val="0"/>
                <w:color w:val="333333"/>
                <w:spacing w:val="0"/>
                <w:sz w:val="20"/>
                <w:szCs w:val="20"/>
                <w:lang w:val="en-US" w:eastAsia="zh-CN"/>
              </w:rPr>
              <w:t>1)▲配套教学模型可涵盖国家卫生健康委员会“十三五”规划教材/全国高等学校教材（口腔医学类专业用）至少十个学科配套模型（口腔修复学、牙体牙髓病学、口腔颌面外科学、牙周病学、儿童口腔医学、口腔预防医学、牙合学、口腔种植学、口腔解剖生理学、口腔颌面医学影像诊断学）满足口腔医学生教学需求种类≥70。（提供产品彩页）</w:t>
            </w:r>
          </w:p>
          <w:p w14:paraId="5D2651DD">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color w:val="FF0000"/>
                <w:kern w:val="0"/>
                <w:sz w:val="20"/>
                <w:szCs w:val="24"/>
                <w:lang w:val="en-US" w:eastAsia="zh-CN" w:bidi="ar-SA"/>
              </w:rPr>
            </w:pPr>
            <w:r>
              <w:rPr>
                <w:rFonts w:hint="eastAsia" w:ascii="宋体" w:hAnsi="宋体" w:eastAsia="宋体" w:cs="宋体"/>
                <w:i w:val="0"/>
                <w:iCs w:val="0"/>
                <w:caps w:val="0"/>
                <w:color w:val="333333"/>
                <w:spacing w:val="0"/>
                <w:sz w:val="20"/>
                <w:szCs w:val="20"/>
                <w:lang w:val="en-US" w:eastAsia="zh-CN"/>
              </w:rPr>
              <w:t>2)学生端要求：显示器尺寸：≥21.5寸，分辨率：≥1920×1080，视频输出口：HDMI，需要与教师机连接视频数据同步。（显示器具备节能与环保证书）</w:t>
            </w:r>
          </w:p>
        </w:tc>
      </w:tr>
      <w:tr w14:paraId="18F0F0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2" w:type="dxa"/>
          </w:tcPr>
          <w:p w14:paraId="729EE1E7"/>
        </w:tc>
        <w:tc>
          <w:tcPr>
            <w:tcW w:w="650" w:type="dxa"/>
          </w:tcPr>
          <w:p w14:paraId="73F37A76">
            <w:pPr>
              <w:pStyle w:val="6"/>
              <w:rPr>
                <w:rFonts w:hint="eastAsia" w:ascii="宋体" w:hAnsi="宋体" w:eastAsia="宋体" w:cs="宋体"/>
              </w:rPr>
            </w:pPr>
            <w:r>
              <w:rPr>
                <w:rFonts w:hint="eastAsia" w:ascii="宋体" w:hAnsi="宋体" w:eastAsia="宋体" w:cs="宋体"/>
              </w:rPr>
              <w:t>3</w:t>
            </w:r>
          </w:p>
        </w:tc>
        <w:tc>
          <w:tcPr>
            <w:tcW w:w="6915" w:type="dxa"/>
            <w:shd w:val="clear" w:color="auto" w:fill="auto"/>
            <w:vAlign w:val="center"/>
          </w:tcPr>
          <w:p w14:paraId="2F4DCB64">
            <w:pPr>
              <w:pStyle w:val="2"/>
              <w:keepNext w:val="0"/>
              <w:keepLines w:val="0"/>
              <w:widowControl/>
              <w:suppressLineNumbers w:val="0"/>
              <w:spacing w:before="0" w:beforeAutospacing="0" w:after="0" w:afterAutospacing="0" w:line="480" w:lineRule="atLeast"/>
              <w:ind w:left="0" w:right="0" w:firstLine="0"/>
              <w:jc w:val="both"/>
              <w:rPr>
                <w:rFonts w:ascii="微软雅黑" w:hAnsi="微软雅黑" w:eastAsia="微软雅黑" w:cs="微软雅黑"/>
                <w:i w:val="0"/>
                <w:iCs w:val="0"/>
                <w:caps w:val="0"/>
                <w:color w:val="333333"/>
                <w:spacing w:val="0"/>
              </w:rPr>
            </w:pPr>
            <w:r>
              <w:rPr>
                <w:rStyle w:val="5"/>
                <w:rFonts w:hint="eastAsia" w:ascii="宋体" w:hAnsi="宋体" w:eastAsia="宋体" w:cs="宋体"/>
                <w:i w:val="0"/>
                <w:iCs w:val="0"/>
                <w:caps w:val="0"/>
                <w:color w:val="333333"/>
                <w:spacing w:val="0"/>
                <w:sz w:val="20"/>
                <w:szCs w:val="20"/>
              </w:rPr>
              <w:t>口腔医师座椅41把</w:t>
            </w:r>
          </w:p>
          <w:p w14:paraId="6237EC20">
            <w:pPr>
              <w:pStyle w:val="2"/>
              <w:keepNext w:val="0"/>
              <w:keepLines w:val="0"/>
              <w:widowControl/>
              <w:suppressLineNumbers w:val="0"/>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0"/>
                <w:szCs w:val="20"/>
              </w:rPr>
              <w:t>★1、椅子扶手：离地面最距离730-860mm，可360度旋转，靠背尺寸：≥500×95×63mm</w:t>
            </w:r>
          </w:p>
          <w:p w14:paraId="139D1ED2">
            <w:pPr>
              <w:pStyle w:val="2"/>
              <w:keepNext w:val="0"/>
              <w:keepLines w:val="0"/>
              <w:widowControl/>
              <w:suppressLineNumbers w:val="0"/>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0"/>
                <w:szCs w:val="20"/>
              </w:rPr>
              <w:t>沙发皮材质，各种颜色供选择；</w:t>
            </w:r>
          </w:p>
          <w:p w14:paraId="7A3561C1">
            <w:pPr>
              <w:pStyle w:val="2"/>
              <w:keepNext w:val="0"/>
              <w:keepLines w:val="0"/>
              <w:widowControl/>
              <w:suppressLineNumbers w:val="0"/>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0"/>
                <w:szCs w:val="20"/>
              </w:rPr>
              <w:t>2.座垫：参考尺寸(长x宽x厚)≥420x410x85mm；</w:t>
            </w:r>
          </w:p>
          <w:p w14:paraId="6E0509B4">
            <w:pPr>
              <w:pStyle w:val="2"/>
              <w:keepNext w:val="0"/>
              <w:keepLines w:val="0"/>
              <w:widowControl/>
              <w:suppressLineNumbers w:val="0"/>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0"/>
                <w:szCs w:val="20"/>
              </w:rPr>
              <w:t>3.气杆：升缩范围50-120mm；</w:t>
            </w:r>
          </w:p>
          <w:p w14:paraId="580FCC17">
            <w:pPr>
              <w:pStyle w:val="2"/>
              <w:keepNext w:val="0"/>
              <w:keepLines w:val="0"/>
              <w:widowControl/>
              <w:suppressLineNumbers w:val="0"/>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0"/>
                <w:szCs w:val="20"/>
              </w:rPr>
              <w:t>▲4.五星金属支架：直径≥560mm；</w:t>
            </w:r>
          </w:p>
          <w:p w14:paraId="30A7C5AA">
            <w:pPr>
              <w:pStyle w:val="2"/>
              <w:keepNext w:val="0"/>
              <w:keepLines w:val="0"/>
              <w:widowControl/>
              <w:suppressLineNumbers w:val="0"/>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0"/>
                <w:szCs w:val="20"/>
              </w:rPr>
              <w:t>5.脚轮：静音，直径≥50mm；</w:t>
            </w:r>
          </w:p>
          <w:p w14:paraId="6972D2D5">
            <w:pPr>
              <w:pStyle w:val="2"/>
              <w:keepNext w:val="0"/>
              <w:keepLines w:val="0"/>
              <w:widowControl/>
              <w:suppressLineNumbers w:val="0"/>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0"/>
                <w:szCs w:val="20"/>
              </w:rPr>
              <w:t>6.椅负载能力：≥450kg；</w:t>
            </w:r>
          </w:p>
          <w:p w14:paraId="5C4D6ABF">
            <w:pPr>
              <w:pStyle w:val="2"/>
              <w:keepNext w:val="0"/>
              <w:keepLines w:val="0"/>
              <w:widowControl/>
              <w:suppressLineNumbers w:val="0"/>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0"/>
                <w:szCs w:val="20"/>
              </w:rPr>
              <w:t>7.座垫离地面最高度：430-550mm</w:t>
            </w:r>
          </w:p>
          <w:p w14:paraId="40A53E14">
            <w:pPr>
              <w:pStyle w:val="2"/>
              <w:keepNext w:val="0"/>
              <w:keepLines w:val="0"/>
              <w:widowControl/>
              <w:suppressLineNumbers w:val="0"/>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0"/>
                <w:szCs w:val="20"/>
              </w:rPr>
              <w:t>8.外形尺寸(长x宽x高)：≤580x580x750mm；</w:t>
            </w:r>
          </w:p>
          <w:p w14:paraId="7A317A89">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kern w:val="2"/>
                <w:sz w:val="21"/>
                <w:szCs w:val="21"/>
                <w:lang w:val="en-US" w:eastAsia="zh-CN" w:bidi="ar-SA"/>
              </w:rPr>
            </w:pPr>
            <w:r>
              <w:rPr>
                <w:rFonts w:hint="eastAsia" w:ascii="宋体" w:hAnsi="宋体" w:eastAsia="宋体" w:cs="宋体"/>
                <w:i w:val="0"/>
                <w:iCs w:val="0"/>
                <w:caps w:val="0"/>
                <w:color w:val="333333"/>
                <w:spacing w:val="0"/>
                <w:sz w:val="20"/>
                <w:szCs w:val="20"/>
              </w:rPr>
              <w:t>9.底盘轮廊尺寸≤160x160mm</w:t>
            </w:r>
          </w:p>
        </w:tc>
      </w:tr>
    </w:tbl>
    <w:p w14:paraId="447394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ZTUzNTgxYzEzYTRhMWM4ODc2MTE5ZjVmNzIzNDEifQ=="/>
  </w:docVars>
  <w:rsids>
    <w:rsidRoot w:val="00000000"/>
    <w:rsid w:val="283A6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2024-09-11T06:44:40Z</dcterms:created>
  <dc:creator>Administrator</dc:creator>
  <cp:lastModifiedBy>安安</cp:lastModifiedBy>
  <dcterms:modified xsi:type="dcterms:W3CDTF">2024-09-11T06:46:23Z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C1AB070DAFC14FDB93A25282A3D41C5A_12</vt:lpwstr>
  </property>
</Properties>
</file>