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4BA67">
      <w:pPr>
        <w:overflowPunct w:val="0"/>
        <w:topLinePunct/>
        <w:spacing w:line="440" w:lineRule="exact"/>
        <w:jc w:val="center"/>
        <w:rPr>
          <w:rFonts w:hint="default" w:ascii="仿宋" w:hAnsi="仿宋" w:eastAsia="仿宋"/>
          <w:b/>
          <w:sz w:val="36"/>
          <w:szCs w:val="36"/>
          <w:highlight w:val="yellow"/>
          <w:lang w:val="en-US" w:eastAsia="zh-CN"/>
        </w:rPr>
      </w:pPr>
      <w:r>
        <w:rPr>
          <w:rFonts w:hint="eastAsia" w:ascii="仿宋" w:hAnsi="仿宋" w:eastAsia="仿宋"/>
          <w:b/>
          <w:sz w:val="36"/>
          <w:szCs w:val="36"/>
          <w:highlight w:val="none"/>
          <w:lang w:val="en-US" w:eastAsia="zh-CN"/>
        </w:rPr>
        <w:t>拟签订的合同文本</w:t>
      </w:r>
    </w:p>
    <w:p w14:paraId="25AFE048">
      <w:pPr>
        <w:keepNext w:val="0"/>
        <w:keepLines w:val="0"/>
        <w:pageBreakBefore w:val="0"/>
        <w:widowControl w:val="0"/>
        <w:kinsoku/>
        <w:wordWrap/>
        <w:autoSpaceDE w:val="0"/>
        <w:autoSpaceDN w:val="0"/>
        <w:bidi w:val="0"/>
        <w:adjustRightInd w:val="0"/>
        <w:snapToGrid/>
        <w:spacing w:line="500" w:lineRule="exact"/>
        <w:ind w:firstLine="481"/>
        <w:jc w:val="left"/>
        <w:textAlignment w:val="auto"/>
        <w:rPr>
          <w:rFonts w:hint="eastAsia" w:ascii="仿宋" w:hAnsi="仿宋" w:eastAsia="仿宋" w:cs="仿宋"/>
          <w:b/>
          <w:sz w:val="28"/>
          <w:szCs w:val="28"/>
          <w:u w:val="single"/>
        </w:rPr>
      </w:pPr>
      <w:bookmarkStart w:id="0" w:name="_Toc5692"/>
      <w:bookmarkStart w:id="1" w:name="_Toc5163"/>
      <w:bookmarkStart w:id="2" w:name="_Toc24356"/>
      <w:bookmarkStart w:id="3" w:name="_Toc32018"/>
      <w:bookmarkStart w:id="4" w:name="_Toc19026"/>
      <w:r>
        <w:rPr>
          <w:rFonts w:hint="eastAsia" w:ascii="仿宋" w:hAnsi="仿宋" w:eastAsia="仿宋" w:cs="仿宋"/>
          <w:b/>
          <w:sz w:val="28"/>
          <w:szCs w:val="28"/>
          <w:u w:val="single"/>
        </w:rPr>
        <w:t>注：本合同仅为合同的参考文本，合同签订双方可根据项目的具体要求进行修订。</w:t>
      </w:r>
      <w:bookmarkEnd w:id="0"/>
      <w:bookmarkEnd w:id="1"/>
      <w:bookmarkEnd w:id="2"/>
      <w:bookmarkEnd w:id="3"/>
      <w:bookmarkEnd w:id="4"/>
    </w:p>
    <w:p w14:paraId="7A400C52">
      <w:pPr>
        <w:keepNext w:val="0"/>
        <w:keepLines w:val="0"/>
        <w:pageBreakBefore w:val="0"/>
        <w:widowControl w:val="0"/>
        <w:kinsoku/>
        <w:wordWrap/>
        <w:autoSpaceDE w:val="0"/>
        <w:autoSpaceDN w:val="0"/>
        <w:bidi w:val="0"/>
        <w:adjustRightInd w:val="0"/>
        <w:snapToGrid/>
        <w:spacing w:line="500" w:lineRule="exact"/>
        <w:ind w:firstLine="481"/>
        <w:jc w:val="left"/>
        <w:textAlignment w:val="auto"/>
        <w:rPr>
          <w:rFonts w:hint="eastAsia" w:ascii="仿宋" w:hAnsi="仿宋" w:eastAsia="仿宋" w:cs="仿宋"/>
          <w:b/>
          <w:sz w:val="28"/>
          <w:szCs w:val="28"/>
        </w:rPr>
      </w:pPr>
    </w:p>
    <w:p w14:paraId="4A1143F7">
      <w:pPr>
        <w:keepNext w:val="0"/>
        <w:keepLines w:val="0"/>
        <w:pageBreakBefore w:val="0"/>
        <w:widowControl w:val="0"/>
        <w:kinsoku/>
        <w:wordWrap/>
        <w:autoSpaceDE w:val="0"/>
        <w:autoSpaceDN w:val="0"/>
        <w:bidi w:val="0"/>
        <w:adjustRightInd w:val="0"/>
        <w:snapToGrid/>
        <w:spacing w:line="500" w:lineRule="exact"/>
        <w:jc w:val="center"/>
        <w:textAlignment w:val="auto"/>
        <w:outlineLvl w:val="1"/>
        <w:rPr>
          <w:rFonts w:hint="eastAsia" w:ascii="仿宋" w:hAnsi="仿宋" w:eastAsia="仿宋" w:cs="仿宋"/>
          <w:bCs/>
          <w:color w:val="FF0000"/>
          <w:sz w:val="28"/>
          <w:szCs w:val="28"/>
        </w:rPr>
      </w:pPr>
      <w:bookmarkStart w:id="5" w:name="_Toc12983"/>
      <w:bookmarkStart w:id="6" w:name="_Toc16020"/>
      <w:bookmarkStart w:id="7" w:name="_Toc13138"/>
      <w:bookmarkStart w:id="8" w:name="_Toc31133"/>
      <w:bookmarkStart w:id="9" w:name="_Toc21158"/>
      <w:bookmarkStart w:id="10" w:name="_Toc20697"/>
      <w:bookmarkStart w:id="11" w:name="_Toc15856"/>
      <w:bookmarkStart w:id="12" w:name="_Toc11344"/>
      <w:r>
        <w:rPr>
          <w:rFonts w:hint="eastAsia" w:ascii="仿宋" w:hAnsi="仿宋" w:eastAsia="仿宋" w:cs="仿宋"/>
          <w:bCs/>
          <w:color w:val="FF0000"/>
          <w:sz w:val="28"/>
          <w:szCs w:val="28"/>
        </w:rPr>
        <w:t>一、政府采购合同</w:t>
      </w:r>
      <w:bookmarkEnd w:id="5"/>
      <w:bookmarkEnd w:id="6"/>
      <w:bookmarkEnd w:id="7"/>
      <w:bookmarkEnd w:id="8"/>
      <w:bookmarkEnd w:id="9"/>
      <w:bookmarkEnd w:id="10"/>
      <w:bookmarkEnd w:id="11"/>
      <w:bookmarkEnd w:id="12"/>
    </w:p>
    <w:p w14:paraId="3FAE3827">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年</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月</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日</w:t>
      </w:r>
      <w:r>
        <w:rPr>
          <w:rFonts w:hint="eastAsia" w:ascii="仿宋" w:hAnsi="仿宋" w:eastAsia="仿宋" w:cs="仿宋"/>
          <w:sz w:val="28"/>
          <w:szCs w:val="28"/>
        </w:rPr>
        <w:t>，</w:t>
      </w:r>
      <w:r>
        <w:rPr>
          <w:rFonts w:hint="eastAsia" w:ascii="仿宋" w:hAnsi="仿宋" w:eastAsia="仿宋" w:cs="仿宋"/>
          <w:b/>
          <w:bCs/>
          <w:sz w:val="28"/>
          <w:szCs w:val="28"/>
          <w:u w:val="single"/>
          <w:lang w:val="en-US" w:eastAsia="zh-CN"/>
        </w:rPr>
        <w:t>采购人全称</w:t>
      </w:r>
      <w:r>
        <w:rPr>
          <w:rFonts w:hint="eastAsia" w:ascii="仿宋" w:hAnsi="仿宋" w:eastAsia="仿宋" w:cs="仿宋"/>
          <w:sz w:val="28"/>
          <w:szCs w:val="28"/>
        </w:rPr>
        <w:t>（以下简称“甲方”）以竞争性磋商方式对“</w:t>
      </w:r>
      <w:r>
        <w:rPr>
          <w:rFonts w:hint="eastAsia" w:ascii="仿宋" w:hAnsi="仿宋" w:eastAsia="仿宋" w:cs="仿宋"/>
          <w:sz w:val="28"/>
          <w:szCs w:val="28"/>
          <w:lang w:val="en-US" w:eastAsia="zh-CN"/>
        </w:rPr>
        <w:t>项目全称</w:t>
      </w:r>
      <w:r>
        <w:rPr>
          <w:rFonts w:hint="eastAsia" w:ascii="仿宋" w:hAnsi="仿宋" w:eastAsia="仿宋" w:cs="仿宋"/>
          <w:sz w:val="28"/>
          <w:szCs w:val="28"/>
        </w:rPr>
        <w:t>”（项目编号：</w:t>
      </w:r>
      <w:r>
        <w:rPr>
          <w:rFonts w:hint="eastAsia" w:ascii="仿宋" w:hAnsi="仿宋" w:eastAsia="仿宋" w:cs="仿宋"/>
          <w:sz w:val="28"/>
          <w:szCs w:val="28"/>
          <w:lang w:val="en-US" w:eastAsia="zh-CN"/>
        </w:rPr>
        <w:t>XHZB-CG2023XXX</w:t>
      </w:r>
      <w:r>
        <w:rPr>
          <w:rFonts w:hint="eastAsia" w:ascii="仿宋" w:hAnsi="仿宋" w:eastAsia="仿宋" w:cs="仿宋"/>
          <w:sz w:val="28"/>
          <w:szCs w:val="28"/>
        </w:rPr>
        <w:t>）进行了采购。经磋商小组评定，</w:t>
      </w:r>
      <w:r>
        <w:rPr>
          <w:rFonts w:hint="eastAsia" w:ascii="仿宋" w:hAnsi="仿宋" w:eastAsia="仿宋" w:cs="仿宋"/>
          <w:sz w:val="28"/>
          <w:szCs w:val="28"/>
          <w:u w:val="single"/>
        </w:rPr>
        <w:t>（成交供应商名称）</w:t>
      </w:r>
      <w:r>
        <w:rPr>
          <w:rFonts w:hint="eastAsia" w:ascii="仿宋" w:hAnsi="仿宋" w:eastAsia="仿宋" w:cs="仿宋"/>
          <w:sz w:val="28"/>
          <w:szCs w:val="28"/>
        </w:rPr>
        <w:t>（以下简称“乙方”）为该项目成交供应商。现于成交通知书发出之日起三十日内，按照采购文件确定的事项签订本合同。</w:t>
      </w:r>
    </w:p>
    <w:p w14:paraId="0C458118">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zh-CN"/>
        </w:rPr>
        <w:t>根据《中华人民共和国</w:t>
      </w:r>
      <w:r>
        <w:rPr>
          <w:rFonts w:hint="eastAsia" w:ascii="仿宋" w:hAnsi="仿宋" w:eastAsia="仿宋" w:cs="仿宋"/>
          <w:sz w:val="28"/>
          <w:szCs w:val="28"/>
          <w:lang w:val="en-US" w:eastAsia="zh-CN"/>
        </w:rPr>
        <w:t>民法典</w:t>
      </w:r>
      <w:r>
        <w:rPr>
          <w:rFonts w:hint="eastAsia" w:ascii="仿宋" w:hAnsi="仿宋" w:eastAsia="仿宋" w:cs="仿宋"/>
          <w:sz w:val="28"/>
          <w:szCs w:val="28"/>
          <w:lang w:val="zh-CN"/>
        </w:rPr>
        <w:t>》、《中华人民共和国政府采购法》等相关法律法规之规定，按照平等、自愿、公平和诚实信用的原则，经甲方和乙方协商一致，约定以下合同</w:t>
      </w:r>
      <w:r>
        <w:rPr>
          <w:rFonts w:hint="eastAsia" w:ascii="仿宋" w:hAnsi="仿宋" w:eastAsia="仿宋" w:cs="仿宋"/>
          <w:sz w:val="28"/>
          <w:szCs w:val="28"/>
        </w:rPr>
        <w:t>条款，以兹共同遵守、全面履行。</w:t>
      </w:r>
    </w:p>
    <w:p w14:paraId="05121841">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sz w:val="28"/>
          <w:szCs w:val="28"/>
        </w:rPr>
      </w:pPr>
      <w:bookmarkStart w:id="13" w:name="_Toc6601"/>
      <w:bookmarkStart w:id="14" w:name="_Toc26482"/>
      <w:bookmarkStart w:id="15" w:name="_Toc19514"/>
      <w:bookmarkStart w:id="16" w:name="_Toc15367"/>
      <w:bookmarkStart w:id="17" w:name="_Toc22967"/>
      <w:bookmarkStart w:id="18" w:name="_Toc28855"/>
      <w:bookmarkStart w:id="19" w:name="_Toc20421"/>
      <w:bookmarkStart w:id="20" w:name="_Toc9470"/>
      <w:bookmarkStart w:id="21" w:name="_Toc30395"/>
      <w:r>
        <w:rPr>
          <w:rFonts w:hint="eastAsia" w:ascii="仿宋" w:hAnsi="仿宋" w:eastAsia="仿宋" w:cs="仿宋"/>
          <w:b/>
          <w:sz w:val="28"/>
          <w:szCs w:val="28"/>
        </w:rPr>
        <w:t>1.1 合同组成部分</w:t>
      </w:r>
      <w:bookmarkEnd w:id="13"/>
      <w:bookmarkEnd w:id="14"/>
      <w:bookmarkEnd w:id="15"/>
      <w:bookmarkEnd w:id="16"/>
      <w:bookmarkEnd w:id="17"/>
      <w:bookmarkEnd w:id="18"/>
      <w:bookmarkEnd w:id="19"/>
      <w:bookmarkEnd w:id="20"/>
    </w:p>
    <w:p w14:paraId="3F954CBC">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293C5178">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1.1.1 本合同及其补充合同、变更协议；</w:t>
      </w:r>
    </w:p>
    <w:p w14:paraId="40C186DD">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1.1.2 成交通知书；</w:t>
      </w:r>
    </w:p>
    <w:p w14:paraId="2091C2FD">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1.1.3 响应文件（含澄清或者说明文件）；</w:t>
      </w:r>
    </w:p>
    <w:p w14:paraId="3ED242F2">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1.1.4 竞争性磋商文件（含澄清或者修改文件）；</w:t>
      </w:r>
    </w:p>
    <w:p w14:paraId="3A146080">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1.1.5 其他相关采购文件。</w:t>
      </w:r>
    </w:p>
    <w:p w14:paraId="7B2B499F">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bookmarkStart w:id="22" w:name="_Toc27126"/>
      <w:bookmarkStart w:id="23" w:name="_Toc24300"/>
      <w:bookmarkStart w:id="24" w:name="_Toc12433"/>
      <w:bookmarkStart w:id="25" w:name="_Toc21295"/>
      <w:bookmarkStart w:id="26" w:name="_Toc5635"/>
      <w:bookmarkStart w:id="27" w:name="_Toc4929"/>
      <w:bookmarkStart w:id="28" w:name="_Toc21782"/>
      <w:bookmarkStart w:id="29" w:name="_Toc25535"/>
      <w:bookmarkStart w:id="30" w:name="_Toc1386"/>
      <w:bookmarkStart w:id="31" w:name="_Toc6409"/>
      <w:bookmarkStart w:id="32" w:name="_Toc13918"/>
      <w:bookmarkStart w:id="33" w:name="_Toc21124"/>
      <w:bookmarkStart w:id="34" w:name="_Toc20141"/>
      <w:r>
        <w:rPr>
          <w:rFonts w:hint="eastAsia" w:ascii="仿宋" w:hAnsi="仿宋" w:eastAsia="仿宋" w:cs="仿宋"/>
          <w:b/>
          <w:sz w:val="28"/>
          <w:szCs w:val="28"/>
        </w:rPr>
        <w:t>1.2货物</w:t>
      </w:r>
      <w:bookmarkEnd w:id="22"/>
      <w:bookmarkEnd w:id="23"/>
      <w:bookmarkEnd w:id="24"/>
      <w:bookmarkEnd w:id="25"/>
    </w:p>
    <w:p w14:paraId="331393A3">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1.2.1货物</w:t>
      </w:r>
      <w:r>
        <w:rPr>
          <w:rFonts w:hint="eastAsia" w:ascii="仿宋" w:hAnsi="仿宋" w:eastAsia="仿宋" w:cs="仿宋"/>
          <w:sz w:val="28"/>
          <w:szCs w:val="28"/>
          <w:highlight w:val="none"/>
          <w:lang w:val="en-US" w:eastAsia="zh-CN"/>
        </w:rPr>
        <w:t>名</w:t>
      </w:r>
      <w:r>
        <w:rPr>
          <w:rFonts w:hint="eastAsia" w:ascii="仿宋" w:hAnsi="仿宋" w:eastAsia="仿宋" w:cs="仿宋"/>
          <w:sz w:val="28"/>
          <w:szCs w:val="28"/>
          <w:highlight w:val="none"/>
          <w:lang w:val="zh-CN"/>
        </w:rPr>
        <w:t>称：</w:t>
      </w:r>
      <w:r>
        <w:rPr>
          <w:rFonts w:hint="eastAsia" w:ascii="仿宋" w:hAnsi="仿宋" w:eastAsia="仿宋" w:cs="仿宋"/>
          <w:sz w:val="28"/>
          <w:szCs w:val="28"/>
          <w:highlight w:val="none"/>
          <w:u w:val="single"/>
          <w:lang w:val="zh-CN"/>
        </w:rPr>
        <w:t xml:space="preserve">                                       </w:t>
      </w:r>
      <w:r>
        <w:rPr>
          <w:rFonts w:hint="eastAsia" w:ascii="仿宋" w:hAnsi="仿宋" w:eastAsia="仿宋" w:cs="仿宋"/>
          <w:sz w:val="28"/>
          <w:szCs w:val="28"/>
          <w:highlight w:val="none"/>
          <w:lang w:val="zh-CN"/>
        </w:rPr>
        <w:t>；</w:t>
      </w:r>
    </w:p>
    <w:p w14:paraId="023C380E">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1.2.2货物数量：</w:t>
      </w:r>
      <w:r>
        <w:rPr>
          <w:rFonts w:hint="eastAsia" w:ascii="仿宋" w:hAnsi="仿宋" w:eastAsia="仿宋" w:cs="仿宋"/>
          <w:sz w:val="28"/>
          <w:szCs w:val="28"/>
          <w:highlight w:val="none"/>
          <w:u w:val="single"/>
          <w:lang w:val="zh-CN"/>
        </w:rPr>
        <w:t xml:space="preserve">                                   </w:t>
      </w:r>
      <w:r>
        <w:rPr>
          <w:rFonts w:hint="eastAsia" w:ascii="仿宋" w:hAnsi="仿宋" w:eastAsia="仿宋" w:cs="仿宋"/>
          <w:sz w:val="28"/>
          <w:szCs w:val="28"/>
          <w:highlight w:val="none"/>
          <w:lang w:val="zh-CN"/>
        </w:rPr>
        <w:t>；</w:t>
      </w:r>
    </w:p>
    <w:p w14:paraId="7B979B9D">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1.2.3货物质量：</w:t>
      </w:r>
      <w:r>
        <w:rPr>
          <w:rFonts w:hint="eastAsia" w:ascii="仿宋" w:hAnsi="仿宋" w:eastAsia="仿宋" w:cs="仿宋"/>
          <w:sz w:val="28"/>
          <w:szCs w:val="28"/>
          <w:highlight w:val="none"/>
          <w:u w:val="single"/>
          <w:lang w:val="zh-CN"/>
        </w:rPr>
        <w:t>　　　　　　</w:t>
      </w:r>
      <w:bookmarkStart w:id="270" w:name="_GoBack"/>
      <w:bookmarkEnd w:id="270"/>
      <w:r>
        <w:rPr>
          <w:rFonts w:hint="eastAsia" w:ascii="仿宋" w:hAnsi="仿宋" w:eastAsia="仿宋" w:cs="仿宋"/>
          <w:sz w:val="28"/>
          <w:szCs w:val="28"/>
          <w:highlight w:val="none"/>
          <w:u w:val="single"/>
          <w:lang w:val="zh-CN"/>
        </w:rPr>
        <w:t xml:space="preserve">                  　   </w:t>
      </w:r>
      <w:r>
        <w:rPr>
          <w:rFonts w:hint="eastAsia" w:ascii="仿宋" w:hAnsi="仿宋" w:eastAsia="仿宋" w:cs="仿宋"/>
          <w:sz w:val="28"/>
          <w:szCs w:val="28"/>
          <w:highlight w:val="none"/>
          <w:lang w:val="zh-CN"/>
        </w:rPr>
        <w:t>。</w:t>
      </w:r>
    </w:p>
    <w:p w14:paraId="4A278665">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1.3 价款</w:t>
      </w:r>
      <w:bookmarkEnd w:id="26"/>
      <w:bookmarkEnd w:id="27"/>
      <w:bookmarkEnd w:id="28"/>
      <w:bookmarkEnd w:id="29"/>
      <w:bookmarkEnd w:id="30"/>
      <w:bookmarkEnd w:id="31"/>
      <w:bookmarkEnd w:id="32"/>
      <w:bookmarkEnd w:id="33"/>
      <w:bookmarkEnd w:id="34"/>
    </w:p>
    <w:p w14:paraId="514A88EA">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本合同总价为：￥</w:t>
      </w:r>
      <w:r>
        <w:rPr>
          <w:rFonts w:hint="eastAsia" w:ascii="仿宋" w:hAnsi="仿宋" w:eastAsia="仿宋" w:cs="仿宋"/>
          <w:sz w:val="28"/>
          <w:szCs w:val="28"/>
          <w:u w:val="single"/>
        </w:rPr>
        <w:t xml:space="preserve">           </w:t>
      </w:r>
      <w:r>
        <w:rPr>
          <w:rFonts w:hint="eastAsia" w:ascii="仿宋" w:hAnsi="仿宋" w:eastAsia="仿宋" w:cs="仿宋"/>
          <w:sz w:val="28"/>
          <w:szCs w:val="28"/>
        </w:rPr>
        <w:t>元（大写：</w:t>
      </w:r>
      <w:r>
        <w:rPr>
          <w:rFonts w:hint="eastAsia" w:ascii="仿宋" w:hAnsi="仿宋" w:eastAsia="仿宋" w:cs="仿宋"/>
          <w:sz w:val="28"/>
          <w:szCs w:val="28"/>
          <w:u w:val="single"/>
        </w:rPr>
        <w:t xml:space="preserve">                 </w:t>
      </w:r>
      <w:r>
        <w:rPr>
          <w:rFonts w:hint="eastAsia" w:ascii="仿宋" w:hAnsi="仿宋" w:eastAsia="仿宋" w:cs="仿宋"/>
          <w:sz w:val="28"/>
          <w:szCs w:val="28"/>
        </w:rPr>
        <w:t>元人民币）。</w:t>
      </w:r>
    </w:p>
    <w:p w14:paraId="2E221DA6">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u w:val="single"/>
        </w:rPr>
      </w:pPr>
      <w:r>
        <w:rPr>
          <w:rFonts w:hint="eastAsia" w:ascii="仿宋" w:hAnsi="仿宋" w:eastAsia="仿宋" w:cs="仿宋"/>
          <w:sz w:val="28"/>
          <w:szCs w:val="28"/>
        </w:rPr>
        <w:t>分项价格：</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7137A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18F91076">
            <w:pPr>
              <w:pStyle w:val="5"/>
              <w:keepNext w:val="0"/>
              <w:keepLines w:val="0"/>
              <w:pageBreakBefore w:val="0"/>
              <w:widowControl w:val="0"/>
              <w:kinsoku/>
              <w:wordWrap/>
              <w:autoSpaceDE w:val="0"/>
              <w:autoSpaceDN w:val="0"/>
              <w:bidi w:val="0"/>
              <w:adjustRightInd w:val="0"/>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序号</w:t>
            </w:r>
          </w:p>
        </w:tc>
        <w:tc>
          <w:tcPr>
            <w:tcW w:w="3402" w:type="dxa"/>
            <w:noWrap w:val="0"/>
            <w:vAlign w:val="center"/>
          </w:tcPr>
          <w:p w14:paraId="24C35935">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r>
              <w:rPr>
                <w:rFonts w:hint="eastAsia" w:ascii="仿宋" w:hAnsi="仿宋" w:eastAsia="仿宋" w:cs="仿宋"/>
                <w:sz w:val="28"/>
                <w:szCs w:val="28"/>
              </w:rPr>
              <w:t>分项名称</w:t>
            </w:r>
          </w:p>
        </w:tc>
        <w:tc>
          <w:tcPr>
            <w:tcW w:w="2552" w:type="dxa"/>
            <w:noWrap w:val="0"/>
            <w:vAlign w:val="center"/>
          </w:tcPr>
          <w:p w14:paraId="5F065FCD">
            <w:pPr>
              <w:pStyle w:val="5"/>
              <w:keepNext w:val="0"/>
              <w:keepLines w:val="0"/>
              <w:pageBreakBefore w:val="0"/>
              <w:widowControl w:val="0"/>
              <w:kinsoku/>
              <w:wordWrap/>
              <w:autoSpaceDE w:val="0"/>
              <w:autoSpaceDN w:val="0"/>
              <w:bidi w:val="0"/>
              <w:adjustRightInd w:val="0"/>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分项价格</w:t>
            </w:r>
          </w:p>
        </w:tc>
      </w:tr>
      <w:tr w14:paraId="4C1E6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038EDF47">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3402" w:type="dxa"/>
            <w:noWrap w:val="0"/>
            <w:vAlign w:val="center"/>
          </w:tcPr>
          <w:p w14:paraId="4E294F38">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2552" w:type="dxa"/>
            <w:noWrap w:val="0"/>
            <w:vAlign w:val="center"/>
          </w:tcPr>
          <w:p w14:paraId="774EFAA8">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r>
      <w:tr w14:paraId="0CADC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13D36879">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3402" w:type="dxa"/>
            <w:noWrap w:val="0"/>
            <w:vAlign w:val="center"/>
          </w:tcPr>
          <w:p w14:paraId="1D69DE39">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2552" w:type="dxa"/>
            <w:noWrap w:val="0"/>
            <w:vAlign w:val="center"/>
          </w:tcPr>
          <w:p w14:paraId="66E7C73F">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r>
      <w:tr w14:paraId="51CC9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6BF36D2D">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3402" w:type="dxa"/>
            <w:noWrap w:val="0"/>
            <w:vAlign w:val="center"/>
          </w:tcPr>
          <w:p w14:paraId="4F6821F7">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2552" w:type="dxa"/>
            <w:noWrap w:val="0"/>
            <w:vAlign w:val="center"/>
          </w:tcPr>
          <w:p w14:paraId="73450525">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r>
      <w:tr w14:paraId="18196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267FC83F">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3402" w:type="dxa"/>
            <w:noWrap w:val="0"/>
            <w:vAlign w:val="center"/>
          </w:tcPr>
          <w:p w14:paraId="4120DC94">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2552" w:type="dxa"/>
            <w:noWrap w:val="0"/>
            <w:vAlign w:val="center"/>
          </w:tcPr>
          <w:p w14:paraId="7AF37141">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r>
      <w:tr w14:paraId="02CEF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14:paraId="12D19972">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r>
              <w:rPr>
                <w:rFonts w:hint="eastAsia" w:ascii="仿宋" w:hAnsi="仿宋" w:eastAsia="仿宋" w:cs="仿宋"/>
                <w:sz w:val="28"/>
                <w:szCs w:val="28"/>
              </w:rPr>
              <w:t>总价</w:t>
            </w:r>
          </w:p>
        </w:tc>
        <w:tc>
          <w:tcPr>
            <w:tcW w:w="2552" w:type="dxa"/>
            <w:noWrap w:val="0"/>
            <w:vAlign w:val="center"/>
          </w:tcPr>
          <w:p w14:paraId="1796BA32">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r>
    </w:tbl>
    <w:p w14:paraId="00041E49">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bookmarkStart w:id="35" w:name="_Toc3654"/>
      <w:bookmarkStart w:id="36" w:name="_Toc26916"/>
      <w:bookmarkStart w:id="37" w:name="_Toc30506"/>
      <w:bookmarkStart w:id="38" w:name="_Toc30158"/>
      <w:bookmarkStart w:id="39" w:name="_Toc15617"/>
      <w:bookmarkStart w:id="40" w:name="_Toc17639"/>
      <w:bookmarkStart w:id="41" w:name="_Toc14993"/>
      <w:bookmarkStart w:id="42" w:name="_Toc13174"/>
      <w:bookmarkStart w:id="43" w:name="_Toc13113"/>
      <w:r>
        <w:rPr>
          <w:rFonts w:hint="eastAsia" w:ascii="仿宋" w:hAnsi="仿宋" w:eastAsia="仿宋" w:cs="仿宋"/>
          <w:b/>
          <w:sz w:val="28"/>
          <w:szCs w:val="28"/>
        </w:rPr>
        <w:t>1.4 付款方式和发票开具方式</w:t>
      </w:r>
      <w:bookmarkEnd w:id="35"/>
      <w:bookmarkEnd w:id="36"/>
      <w:bookmarkEnd w:id="37"/>
      <w:bookmarkEnd w:id="38"/>
      <w:bookmarkEnd w:id="39"/>
      <w:bookmarkEnd w:id="40"/>
      <w:bookmarkEnd w:id="41"/>
      <w:bookmarkEnd w:id="42"/>
      <w:bookmarkEnd w:id="43"/>
    </w:p>
    <w:p w14:paraId="1ABB8EA8">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bookmarkStart w:id="44" w:name="_Toc19039"/>
      <w:bookmarkStart w:id="45" w:name="_Toc3625"/>
      <w:bookmarkStart w:id="46" w:name="_Toc4760"/>
      <w:bookmarkStart w:id="47" w:name="_Toc31421"/>
      <w:bookmarkStart w:id="48" w:name="_Toc11108"/>
      <w:bookmarkStart w:id="49" w:name="_Toc8772"/>
      <w:bookmarkStart w:id="50" w:name="_Toc18630"/>
      <w:bookmarkStart w:id="51" w:name="_Toc17784"/>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1</w:t>
      </w:r>
      <w:r>
        <w:rPr>
          <w:rFonts w:hint="eastAsia" w:ascii="仿宋" w:hAnsi="仿宋" w:eastAsia="仿宋" w:cs="仿宋"/>
          <w:sz w:val="28"/>
          <w:szCs w:val="28"/>
          <w:highlight w:val="none"/>
          <w:lang w:eastAsia="zh-CN"/>
        </w:rPr>
        <w:t>）</w:t>
      </w:r>
    </w:p>
    <w:p w14:paraId="461D2099">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2</w:t>
      </w:r>
      <w:r>
        <w:rPr>
          <w:rFonts w:hint="eastAsia" w:ascii="仿宋" w:hAnsi="仿宋" w:eastAsia="仿宋" w:cs="仿宋"/>
          <w:sz w:val="28"/>
          <w:szCs w:val="28"/>
          <w:highlight w:val="none"/>
          <w:lang w:eastAsia="zh-CN"/>
        </w:rPr>
        <w:t>）</w:t>
      </w:r>
    </w:p>
    <w:p w14:paraId="0327B43F">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w:t>
      </w:r>
    </w:p>
    <w:p w14:paraId="6B420AFF">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p>
    <w:p w14:paraId="3CE797F7">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（5）</w:t>
      </w:r>
    </w:p>
    <w:p w14:paraId="70BFFAA5">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1.5 履行期限、地点和方式</w:t>
      </w:r>
      <w:bookmarkEnd w:id="44"/>
      <w:bookmarkEnd w:id="45"/>
      <w:bookmarkEnd w:id="46"/>
      <w:bookmarkEnd w:id="47"/>
      <w:bookmarkEnd w:id="48"/>
      <w:bookmarkEnd w:id="49"/>
      <w:bookmarkEnd w:id="50"/>
      <w:bookmarkEnd w:id="51"/>
    </w:p>
    <w:p w14:paraId="4F6DE584">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1.5.1 项目</w:t>
      </w:r>
      <w:r>
        <w:rPr>
          <w:rFonts w:hint="eastAsia" w:ascii="仿宋" w:hAnsi="仿宋" w:eastAsia="仿宋" w:cs="仿宋"/>
          <w:sz w:val="28"/>
          <w:szCs w:val="28"/>
          <w:highlight w:val="none"/>
          <w:lang w:val="en-US" w:eastAsia="zh-CN"/>
        </w:rPr>
        <w:t>完成</w:t>
      </w:r>
      <w:r>
        <w:rPr>
          <w:rFonts w:hint="eastAsia" w:ascii="仿宋" w:hAnsi="仿宋" w:eastAsia="仿宋" w:cs="仿宋"/>
          <w:sz w:val="28"/>
          <w:szCs w:val="28"/>
          <w:highlight w:val="none"/>
        </w:rPr>
        <w:t>期限：合同签订后</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天；</w:t>
      </w:r>
    </w:p>
    <w:p w14:paraId="745BE74C">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1.5.2 履行地点：</w:t>
      </w:r>
      <w:r>
        <w:rPr>
          <w:rFonts w:hint="eastAsia" w:ascii="仿宋" w:hAnsi="仿宋" w:eastAsia="仿宋" w:cs="仿宋"/>
          <w:sz w:val="28"/>
          <w:szCs w:val="28"/>
          <w:highlight w:val="none"/>
          <w:u w:val="single"/>
        </w:rPr>
        <w:t>采购人指定地点</w:t>
      </w:r>
      <w:r>
        <w:rPr>
          <w:rFonts w:hint="eastAsia" w:ascii="仿宋" w:hAnsi="仿宋" w:eastAsia="仿宋" w:cs="仿宋"/>
          <w:sz w:val="28"/>
          <w:szCs w:val="28"/>
          <w:highlight w:val="none"/>
        </w:rPr>
        <w:t>。</w:t>
      </w:r>
    </w:p>
    <w:p w14:paraId="553E0E6C">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sz w:val="28"/>
          <w:szCs w:val="28"/>
          <w:u w:val="single"/>
        </w:rPr>
      </w:pPr>
      <w:bookmarkStart w:id="52" w:name="_Toc3079"/>
      <w:bookmarkStart w:id="53" w:name="_Toc5698"/>
      <w:bookmarkStart w:id="54" w:name="_Toc2375"/>
      <w:bookmarkStart w:id="55" w:name="_Toc18097"/>
      <w:bookmarkStart w:id="56" w:name="_Toc8586"/>
      <w:bookmarkStart w:id="57" w:name="_Toc14539"/>
      <w:bookmarkStart w:id="58" w:name="_Toc3232"/>
      <w:bookmarkStart w:id="59" w:name="_Toc24662"/>
      <w:bookmarkStart w:id="60" w:name="_Toc15869"/>
      <w:r>
        <w:rPr>
          <w:rFonts w:hint="eastAsia" w:ascii="仿宋" w:hAnsi="仿宋" w:eastAsia="仿宋" w:cs="仿宋"/>
          <w:b/>
          <w:sz w:val="28"/>
          <w:szCs w:val="28"/>
        </w:rPr>
        <w:t>1.6 违约责任</w:t>
      </w:r>
      <w:bookmarkEnd w:id="52"/>
      <w:bookmarkEnd w:id="53"/>
      <w:bookmarkEnd w:id="54"/>
      <w:bookmarkEnd w:id="55"/>
      <w:bookmarkEnd w:id="56"/>
      <w:bookmarkEnd w:id="57"/>
      <w:bookmarkEnd w:id="58"/>
      <w:bookmarkEnd w:id="59"/>
      <w:bookmarkEnd w:id="60"/>
    </w:p>
    <w:p w14:paraId="7C0F2ECF">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1.6.1 除不可抗力外，如果乙方没有按照本合同约定的期限、地点和方式履行，那么甲方可要求乙方支付违约金，违约金按每迟延履行一日的应提供而未提供服务价格的</w:t>
      </w:r>
      <w:r>
        <w:rPr>
          <w:rFonts w:hint="eastAsia" w:ascii="仿宋" w:hAnsi="仿宋" w:eastAsia="仿宋" w:cs="仿宋"/>
          <w:sz w:val="28"/>
          <w:szCs w:val="28"/>
          <w:u w:val="single"/>
        </w:rPr>
        <w:t>0.5</w:t>
      </w:r>
      <w:r>
        <w:rPr>
          <w:rFonts w:hint="eastAsia" w:ascii="仿宋" w:hAnsi="仿宋" w:eastAsia="仿宋" w:cs="仿宋"/>
          <w:sz w:val="28"/>
          <w:szCs w:val="28"/>
        </w:rPr>
        <w:t>%计算，最高限额为本合同总价的</w:t>
      </w:r>
      <w:r>
        <w:rPr>
          <w:rFonts w:hint="eastAsia" w:ascii="仿宋" w:hAnsi="仿宋" w:eastAsia="仿宋" w:cs="仿宋"/>
          <w:sz w:val="28"/>
          <w:szCs w:val="28"/>
          <w:u w:val="single"/>
        </w:rPr>
        <w:t>5</w:t>
      </w:r>
      <w:r>
        <w:rPr>
          <w:rFonts w:hint="eastAsia" w:ascii="仿宋" w:hAnsi="仿宋" w:eastAsia="仿宋" w:cs="仿宋"/>
          <w:sz w:val="28"/>
          <w:szCs w:val="28"/>
        </w:rPr>
        <w:t>%；迟延履行的违约金计算数额达到前述最高限额之日起，甲方有权在要求乙方支付违约金的同时，书面通知乙方解除本合同；</w:t>
      </w:r>
    </w:p>
    <w:p w14:paraId="7E095421">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1.6.2 除不可抗力外，如果甲方没有按照本合同约定的付款方式付款，那么乙方可要求甲方支付违约金，违约金按每迟延付款一日的应付而未付款的</w:t>
      </w:r>
      <w:r>
        <w:rPr>
          <w:rFonts w:hint="eastAsia" w:ascii="仿宋" w:hAnsi="仿宋" w:eastAsia="仿宋" w:cs="仿宋"/>
          <w:sz w:val="28"/>
          <w:szCs w:val="28"/>
          <w:u w:val="single"/>
        </w:rPr>
        <w:t>0.5</w:t>
      </w:r>
      <w:r>
        <w:rPr>
          <w:rFonts w:hint="eastAsia" w:ascii="仿宋" w:hAnsi="仿宋" w:eastAsia="仿宋" w:cs="仿宋"/>
          <w:sz w:val="28"/>
          <w:szCs w:val="28"/>
        </w:rPr>
        <w:t>%计算，最高限额为本合同总价的</w:t>
      </w:r>
      <w:r>
        <w:rPr>
          <w:rFonts w:hint="eastAsia" w:ascii="仿宋" w:hAnsi="仿宋" w:eastAsia="仿宋" w:cs="仿宋"/>
          <w:sz w:val="28"/>
          <w:szCs w:val="28"/>
          <w:u w:val="single"/>
        </w:rPr>
        <w:t>5</w:t>
      </w:r>
      <w:r>
        <w:rPr>
          <w:rFonts w:hint="eastAsia" w:ascii="仿宋" w:hAnsi="仿宋" w:eastAsia="仿宋" w:cs="仿宋"/>
          <w:sz w:val="28"/>
          <w:szCs w:val="28"/>
        </w:rPr>
        <w:t>%；迟延付款的违约金计算数额达到前述最高限额之日起，乙方有权在要求甲方支付违约金的同时，书面通知甲方解除本合同；</w:t>
      </w:r>
    </w:p>
    <w:p w14:paraId="4D455E34">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64C4293A">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47138DAC">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493EEB78">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1.6.6 如果出现政府采购监督管理部门在处理投诉事项期间，书面通知甲方暂停采购活动的情形，或者询问或质疑事项可能影响成交结果的，导致甲方</w:t>
      </w:r>
      <w:r>
        <w:rPr>
          <w:rFonts w:hint="eastAsia" w:ascii="仿宋" w:hAnsi="仿宋" w:eastAsia="仿宋" w:cs="仿宋"/>
          <w:sz w:val="28"/>
          <w:szCs w:val="28"/>
          <w:lang w:eastAsia="zh-CN"/>
        </w:rPr>
        <w:t>终止</w:t>
      </w:r>
      <w:r>
        <w:rPr>
          <w:rFonts w:hint="eastAsia" w:ascii="仿宋" w:hAnsi="仿宋" w:eastAsia="仿宋" w:cs="仿宋"/>
          <w:sz w:val="28"/>
          <w:szCs w:val="28"/>
        </w:rPr>
        <w:t>履行合同的情形，均不视为甲方违约。</w:t>
      </w:r>
    </w:p>
    <w:p w14:paraId="1A85DEB5">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bookmarkStart w:id="61" w:name="_Toc14686"/>
      <w:bookmarkStart w:id="62" w:name="_Toc14537"/>
      <w:bookmarkStart w:id="63" w:name="_Toc29170"/>
      <w:bookmarkStart w:id="64" w:name="_Toc26807"/>
      <w:bookmarkStart w:id="65" w:name="_Toc9497"/>
      <w:bookmarkStart w:id="66" w:name="_Toc30824"/>
      <w:bookmarkStart w:id="67" w:name="_Toc30329"/>
      <w:bookmarkStart w:id="68" w:name="_Toc32454"/>
      <w:bookmarkStart w:id="69" w:name="_Toc18683"/>
      <w:r>
        <w:rPr>
          <w:rFonts w:hint="eastAsia" w:ascii="仿宋" w:hAnsi="仿宋" w:eastAsia="仿宋" w:cs="仿宋"/>
          <w:b/>
          <w:sz w:val="28"/>
          <w:szCs w:val="28"/>
        </w:rPr>
        <w:t>1.7 合同争议的解决</w:t>
      </w:r>
      <w:bookmarkEnd w:id="61"/>
      <w:bookmarkEnd w:id="62"/>
      <w:bookmarkEnd w:id="63"/>
      <w:bookmarkEnd w:id="64"/>
      <w:bookmarkEnd w:id="65"/>
      <w:bookmarkEnd w:id="66"/>
      <w:bookmarkEnd w:id="67"/>
      <w:bookmarkEnd w:id="68"/>
      <w:bookmarkEnd w:id="69"/>
    </w:p>
    <w:p w14:paraId="3DBFC820">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本合同履行过程中发生的任何争议，双方当事人均可通过和解或者调解解决；不愿和解、调解或者和解、调解不成的，可以选择下列第</w:t>
      </w:r>
      <w:r>
        <w:rPr>
          <w:rFonts w:hint="eastAsia" w:ascii="仿宋" w:hAnsi="仿宋" w:eastAsia="仿宋" w:cs="仿宋"/>
          <w:sz w:val="28"/>
          <w:szCs w:val="28"/>
          <w:u w:val="single"/>
        </w:rPr>
        <w:t>1.7.2款</w:t>
      </w:r>
      <w:r>
        <w:rPr>
          <w:rFonts w:hint="eastAsia" w:ascii="仿宋" w:hAnsi="仿宋" w:eastAsia="仿宋" w:cs="仿宋"/>
          <w:sz w:val="28"/>
          <w:szCs w:val="28"/>
        </w:rPr>
        <w:t>方式解决：</w:t>
      </w:r>
    </w:p>
    <w:p w14:paraId="29C77E36">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1.7.1 将争议提交</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仲裁委员会依申请仲裁时其现行有效的仲裁规则裁决；</w:t>
      </w:r>
    </w:p>
    <w:p w14:paraId="705C343D">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1.7.2 向</w:t>
      </w:r>
      <w:r>
        <w:rPr>
          <w:rFonts w:hint="eastAsia" w:ascii="仿宋" w:hAnsi="仿宋" w:eastAsia="仿宋" w:cs="仿宋"/>
          <w:sz w:val="28"/>
          <w:szCs w:val="28"/>
          <w:u w:val="single"/>
        </w:rPr>
        <w:t xml:space="preserve">   合同签订地   </w:t>
      </w:r>
      <w:r>
        <w:rPr>
          <w:rFonts w:hint="eastAsia" w:ascii="仿宋" w:hAnsi="仿宋" w:eastAsia="仿宋" w:cs="仿宋"/>
          <w:sz w:val="28"/>
          <w:szCs w:val="28"/>
        </w:rPr>
        <w:t>人民法院起诉。</w:t>
      </w:r>
    </w:p>
    <w:p w14:paraId="51C8C2A3">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bookmarkStart w:id="70" w:name="_Toc26227"/>
      <w:bookmarkStart w:id="71" w:name="_Toc15436"/>
      <w:bookmarkStart w:id="72" w:name="_Toc23784"/>
      <w:bookmarkStart w:id="73" w:name="_Toc12273"/>
      <w:bookmarkStart w:id="74" w:name="_Toc17829"/>
      <w:bookmarkStart w:id="75" w:name="_Toc1835"/>
      <w:bookmarkStart w:id="76" w:name="_Toc16417"/>
      <w:bookmarkStart w:id="77" w:name="_Toc15827"/>
      <w:bookmarkStart w:id="78" w:name="_Toc58"/>
      <w:r>
        <w:rPr>
          <w:rFonts w:hint="eastAsia" w:ascii="仿宋" w:hAnsi="仿宋" w:eastAsia="仿宋" w:cs="仿宋"/>
          <w:b/>
          <w:sz w:val="28"/>
          <w:szCs w:val="28"/>
        </w:rPr>
        <w:t>1.8 合同生效</w:t>
      </w:r>
      <w:bookmarkEnd w:id="70"/>
      <w:bookmarkEnd w:id="71"/>
      <w:bookmarkEnd w:id="72"/>
      <w:bookmarkEnd w:id="73"/>
      <w:bookmarkEnd w:id="74"/>
      <w:bookmarkEnd w:id="75"/>
      <w:bookmarkEnd w:id="76"/>
      <w:bookmarkEnd w:id="77"/>
      <w:bookmarkEnd w:id="78"/>
    </w:p>
    <w:p w14:paraId="4FC41BF9">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b/>
          <w:sz w:val="28"/>
          <w:szCs w:val="28"/>
        </w:rPr>
      </w:pPr>
      <w:r>
        <w:rPr>
          <w:rFonts w:hint="eastAsia" w:ascii="仿宋" w:hAnsi="仿宋" w:eastAsia="仿宋" w:cs="仿宋"/>
          <w:sz w:val="28"/>
          <w:szCs w:val="28"/>
        </w:rPr>
        <w:t>本合同自双方当事人盖章或者签字时生效。</w:t>
      </w:r>
    </w:p>
    <w:p w14:paraId="5DF327DB">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3D7F20A6">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lang w:val="zh-CN"/>
        </w:rPr>
      </w:pPr>
      <w:r>
        <w:rPr>
          <w:rFonts w:hint="eastAsia" w:ascii="仿宋" w:hAnsi="仿宋" w:eastAsia="仿宋" w:cs="仿宋"/>
          <w:b/>
          <w:bCs/>
          <w:sz w:val="28"/>
          <w:szCs w:val="28"/>
          <w:lang w:val="zh-CN"/>
        </w:rPr>
        <w:t>甲方：                                   乙方：</w:t>
      </w:r>
    </w:p>
    <w:p w14:paraId="2E6E8AB5">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086498CF">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住所：                                   住所：</w:t>
      </w:r>
    </w:p>
    <w:p w14:paraId="3CD3D2AA">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66716415">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法定代表人或                             法定代表人</w:t>
      </w:r>
    </w:p>
    <w:p w14:paraId="4C517013">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授权代表（签字）：                       或授权代表（签字）:</w:t>
      </w:r>
    </w:p>
    <w:p w14:paraId="68B46BBA">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7E557DA3">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联系人：                                 联系人：</w:t>
      </w:r>
    </w:p>
    <w:p w14:paraId="306CE765">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2C312975">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电话:                                    电话:</w:t>
      </w:r>
    </w:p>
    <w:p w14:paraId="5ACEDDB8">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002F3613">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zh-CN"/>
        </w:rPr>
        <w:t>电子邮箱：                               电子邮箱：</w:t>
      </w:r>
    </w:p>
    <w:p w14:paraId="3EE84CB7">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p>
    <w:p w14:paraId="3648462D">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开户银行：                               开户银行：</w:t>
      </w:r>
    </w:p>
    <w:p w14:paraId="50E26B10">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p>
    <w:p w14:paraId="4E4E7122">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开户名称：                               开户名称：</w:t>
      </w:r>
    </w:p>
    <w:p w14:paraId="52E112D3">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p>
    <w:p w14:paraId="509072F2">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开户账号：</w:t>
      </w:r>
      <w:r>
        <w:rPr>
          <w:rFonts w:hint="eastAsia" w:ascii="仿宋" w:hAnsi="仿宋" w:eastAsia="仿宋" w:cs="仿宋"/>
          <w:sz w:val="28"/>
          <w:szCs w:val="28"/>
          <w:lang w:val="zh-CN"/>
        </w:rPr>
        <w:t xml:space="preserve">                               </w:t>
      </w:r>
      <w:r>
        <w:rPr>
          <w:rFonts w:hint="eastAsia" w:ascii="仿宋" w:hAnsi="仿宋" w:eastAsia="仿宋" w:cs="仿宋"/>
          <w:sz w:val="28"/>
          <w:szCs w:val="28"/>
        </w:rPr>
        <w:t>开户账号：</w:t>
      </w:r>
    </w:p>
    <w:p w14:paraId="3EAA87C2">
      <w:pPr>
        <w:keepNext w:val="0"/>
        <w:keepLines w:val="0"/>
        <w:pageBreakBefore w:val="0"/>
        <w:widowControl w:val="0"/>
        <w:kinsoku/>
        <w:wordWrap/>
        <w:autoSpaceDE w:val="0"/>
        <w:autoSpaceDN w:val="0"/>
        <w:bidi w:val="0"/>
        <w:adjustRightInd w:val="0"/>
        <w:snapToGrid/>
        <w:spacing w:line="500" w:lineRule="exact"/>
        <w:jc w:val="center"/>
        <w:textAlignment w:val="auto"/>
        <w:outlineLvl w:val="1"/>
        <w:rPr>
          <w:rFonts w:hint="eastAsia" w:ascii="仿宋" w:hAnsi="仿宋" w:eastAsia="仿宋" w:cs="仿宋"/>
          <w:sz w:val="28"/>
          <w:szCs w:val="28"/>
        </w:rPr>
      </w:pPr>
      <w:r>
        <w:rPr>
          <w:rFonts w:hint="eastAsia" w:ascii="仿宋" w:hAnsi="仿宋" w:eastAsia="仿宋" w:cs="仿宋"/>
          <w:sz w:val="28"/>
          <w:szCs w:val="28"/>
        </w:rPr>
        <w:br w:type="page"/>
      </w:r>
      <w:bookmarkStart w:id="79" w:name="_Toc13453"/>
      <w:bookmarkStart w:id="80" w:name="_Toc31851"/>
      <w:bookmarkStart w:id="81" w:name="_Toc6700"/>
      <w:bookmarkStart w:id="82" w:name="_Toc9912"/>
      <w:bookmarkStart w:id="83" w:name="_Toc10793"/>
      <w:bookmarkStart w:id="84" w:name="_Toc25949"/>
      <w:r>
        <w:rPr>
          <w:rFonts w:hint="eastAsia" w:ascii="仿宋" w:hAnsi="仿宋" w:eastAsia="仿宋" w:cs="仿宋"/>
          <w:sz w:val="28"/>
          <w:szCs w:val="28"/>
        </w:rPr>
        <w:t>二、合同一般条款</w:t>
      </w:r>
      <w:bookmarkEnd w:id="21"/>
      <w:bookmarkEnd w:id="79"/>
      <w:bookmarkEnd w:id="80"/>
      <w:bookmarkEnd w:id="81"/>
      <w:bookmarkEnd w:id="82"/>
      <w:bookmarkEnd w:id="83"/>
      <w:bookmarkEnd w:id="84"/>
    </w:p>
    <w:p w14:paraId="595A3A1D">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highlight w:val="none"/>
        </w:rPr>
      </w:pPr>
      <w:bookmarkStart w:id="85" w:name="_Ref467379101"/>
      <w:bookmarkStart w:id="86" w:name="_Ref467379094"/>
      <w:bookmarkStart w:id="87" w:name="_Toc259093669"/>
      <w:bookmarkStart w:id="88" w:name="_Ref467378463"/>
      <w:bookmarkStart w:id="89" w:name="_Ref467378404"/>
      <w:bookmarkStart w:id="90" w:name="_Ref467379214"/>
      <w:bookmarkStart w:id="91" w:name="_Toc19614"/>
      <w:bookmarkStart w:id="92" w:name="_Ref467379205"/>
      <w:bookmarkStart w:id="93" w:name="_Ref467378499"/>
      <w:bookmarkStart w:id="94" w:name="_Toc16917"/>
      <w:bookmarkStart w:id="95" w:name="_Ref467379195"/>
      <w:bookmarkStart w:id="96" w:name="_Toc28763"/>
      <w:bookmarkStart w:id="97" w:name="_Toc279701240"/>
      <w:bookmarkStart w:id="98" w:name="_Toc13903"/>
      <w:bookmarkStart w:id="99" w:name="_Ref467379225"/>
      <w:bookmarkStart w:id="100" w:name="_Ref467379109"/>
      <w:bookmarkStart w:id="101" w:name="_Toc2429"/>
      <w:bookmarkStart w:id="102" w:name="_Toc487900349"/>
      <w:r>
        <w:rPr>
          <w:rFonts w:hint="eastAsia" w:ascii="仿宋" w:hAnsi="仿宋" w:eastAsia="仿宋" w:cs="仿宋"/>
          <w:b/>
          <w:bCs/>
          <w:sz w:val="28"/>
          <w:szCs w:val="28"/>
          <w:highlight w:val="none"/>
        </w:rPr>
        <w:t>2.1定义</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295FFC6D">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本合同中的下列词语应按以下内容进行解释：</w:t>
      </w:r>
    </w:p>
    <w:p w14:paraId="2F3A1FC4">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2.1.1“合同”系指采购人和</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供应商签订的载明双方当事人所达成的协议，并包括所有的附件、附录和构成合同的其他文件。</w:t>
      </w:r>
    </w:p>
    <w:p w14:paraId="48887BE2">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2.1.2“合同价”系指根据合同约定，</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供应商在完全履行合同义务后，采购人应支付给</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供应商的价格。</w:t>
      </w:r>
    </w:p>
    <w:p w14:paraId="340612A2">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2.1.3“货物”系指</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供应商根据合同约定应向采购人交付的一切各种形态和种类的物品，包括原材料、燃料、设备、机械、仪表、备件、计算机软件、产品等，并包括工具、手册等其他相关资料。</w:t>
      </w:r>
    </w:p>
    <w:p w14:paraId="5323CF84">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103" w:name="_Ref467378840"/>
      <w:r>
        <w:rPr>
          <w:rFonts w:hint="eastAsia" w:ascii="仿宋" w:hAnsi="仿宋" w:eastAsia="仿宋" w:cs="仿宋"/>
          <w:sz w:val="28"/>
          <w:szCs w:val="28"/>
          <w:highlight w:val="none"/>
        </w:rPr>
        <w:t>2.1.4“甲方”系指与</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供应商签署合同的采购人</w:t>
      </w:r>
      <w:bookmarkEnd w:id="103"/>
      <w:r>
        <w:rPr>
          <w:rFonts w:hint="eastAsia" w:ascii="仿宋" w:hAnsi="仿宋" w:eastAsia="仿宋" w:cs="仿宋"/>
          <w:sz w:val="28"/>
          <w:szCs w:val="28"/>
          <w:highlight w:val="none"/>
        </w:rPr>
        <w:t>；采购人委托采购代理机构代表其与乙方签订合同的，采购人的授权委托书作为合同附件。</w:t>
      </w:r>
    </w:p>
    <w:p w14:paraId="2C688A4B">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104" w:name="_Ref467379400"/>
      <w:r>
        <w:rPr>
          <w:rFonts w:hint="eastAsia" w:ascii="仿宋" w:hAnsi="仿宋" w:eastAsia="仿宋" w:cs="仿宋"/>
          <w:sz w:val="28"/>
          <w:szCs w:val="28"/>
          <w:highlight w:val="none"/>
        </w:rPr>
        <w:t>2.1.5“乙方”系指根据合同约定交付货物的</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w:t>
      </w:r>
      <w:bookmarkEnd w:id="104"/>
      <w:r>
        <w:rPr>
          <w:rFonts w:hint="eastAsia" w:ascii="仿宋" w:hAnsi="仿宋" w:eastAsia="仿宋" w:cs="仿宋"/>
          <w:sz w:val="28"/>
          <w:szCs w:val="28"/>
          <w:highlight w:val="none"/>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41901DF4">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105" w:name="_Ref467379436"/>
      <w:r>
        <w:rPr>
          <w:rFonts w:hint="eastAsia" w:ascii="仿宋" w:hAnsi="仿宋" w:eastAsia="仿宋" w:cs="仿宋"/>
          <w:sz w:val="28"/>
          <w:szCs w:val="28"/>
          <w:highlight w:val="none"/>
        </w:rPr>
        <w:t>2.1.6“现场”系指合同约定货物将要运至或者安装的地点。</w:t>
      </w:r>
      <w:bookmarkEnd w:id="105"/>
    </w:p>
    <w:p w14:paraId="4AE63990">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06" w:name="_Toc279701241"/>
      <w:bookmarkStart w:id="107" w:name="_Toc11370"/>
      <w:bookmarkStart w:id="108" w:name="_Toc32504"/>
      <w:bookmarkStart w:id="109" w:name="_Toc259093670"/>
      <w:bookmarkStart w:id="110" w:name="_Toc32452"/>
      <w:bookmarkStart w:id="111" w:name="_Toc487900350"/>
      <w:bookmarkStart w:id="112" w:name="_Toc13336"/>
      <w:bookmarkStart w:id="113" w:name="_Toc27635"/>
      <w:r>
        <w:rPr>
          <w:rFonts w:hint="eastAsia" w:ascii="仿宋" w:hAnsi="仿宋" w:eastAsia="仿宋" w:cs="仿宋"/>
          <w:b/>
          <w:bCs/>
          <w:sz w:val="28"/>
          <w:szCs w:val="28"/>
          <w:highlight w:val="none"/>
        </w:rPr>
        <w:t>2.2技术规范</w:t>
      </w:r>
      <w:bookmarkEnd w:id="106"/>
      <w:bookmarkEnd w:id="107"/>
      <w:bookmarkEnd w:id="108"/>
      <w:bookmarkEnd w:id="109"/>
      <w:bookmarkEnd w:id="110"/>
      <w:bookmarkEnd w:id="111"/>
      <w:bookmarkEnd w:id="112"/>
      <w:bookmarkEnd w:id="113"/>
    </w:p>
    <w:p w14:paraId="02DC80F7">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货物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3A9537B7">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14" w:name="_Toc259093671"/>
      <w:bookmarkStart w:id="115" w:name="_Toc487900351"/>
      <w:bookmarkStart w:id="116" w:name="_Toc22130"/>
      <w:bookmarkStart w:id="117" w:name="_Toc31634"/>
      <w:bookmarkStart w:id="118" w:name="_Toc27853"/>
      <w:bookmarkStart w:id="119" w:name="_Toc9829"/>
      <w:bookmarkStart w:id="120" w:name="_Toc19358"/>
      <w:bookmarkStart w:id="121" w:name="_Toc279701242"/>
      <w:r>
        <w:rPr>
          <w:rFonts w:hint="eastAsia" w:ascii="仿宋" w:hAnsi="仿宋" w:eastAsia="仿宋" w:cs="仿宋"/>
          <w:b/>
          <w:bCs/>
          <w:sz w:val="28"/>
          <w:szCs w:val="28"/>
          <w:highlight w:val="none"/>
        </w:rPr>
        <w:t>2.3知识产权</w:t>
      </w:r>
      <w:bookmarkEnd w:id="114"/>
      <w:bookmarkEnd w:id="115"/>
      <w:bookmarkEnd w:id="116"/>
      <w:bookmarkEnd w:id="117"/>
      <w:bookmarkEnd w:id="118"/>
      <w:bookmarkEnd w:id="119"/>
      <w:bookmarkEnd w:id="120"/>
      <w:bookmarkEnd w:id="121"/>
    </w:p>
    <w:p w14:paraId="0AB3F356">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2.3.1乙方应保证甲方在使用该货物或其任何一部分时不受任何第三方提出的侵犯其著作权、商标权、专利权等知识产权方面的起诉；如果任何第三方提出侵权指控，那么乙方须与该第三方交涉并承担由此发生的一切责任、费用和赔偿；</w:t>
      </w:r>
    </w:p>
    <w:p w14:paraId="636E83A0">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2.3.2具有知识产权的计算机软件等货物的知识产权归属，详见</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w:t>
      </w:r>
    </w:p>
    <w:p w14:paraId="45E10BCD">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22" w:name="_Toc27872"/>
      <w:bookmarkStart w:id="123" w:name="_Toc25809"/>
      <w:bookmarkStart w:id="124" w:name="_Toc11932"/>
      <w:bookmarkStart w:id="125" w:name="_Toc29149"/>
      <w:bookmarkStart w:id="126" w:name="_Toc4194"/>
      <w:r>
        <w:rPr>
          <w:rFonts w:hint="eastAsia" w:ascii="仿宋" w:hAnsi="仿宋" w:eastAsia="仿宋" w:cs="仿宋"/>
          <w:b/>
          <w:bCs/>
          <w:sz w:val="28"/>
          <w:szCs w:val="28"/>
          <w:highlight w:val="none"/>
        </w:rPr>
        <w:t>2.4包装和装运</w:t>
      </w:r>
      <w:bookmarkEnd w:id="122"/>
      <w:bookmarkEnd w:id="123"/>
      <w:bookmarkEnd w:id="124"/>
      <w:bookmarkEnd w:id="125"/>
      <w:bookmarkEnd w:id="126"/>
    </w:p>
    <w:p w14:paraId="5F5C8563">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2.4.1除</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14:paraId="6C55C1F3">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2.4.2装运货物的要求和通知，详见</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w:t>
      </w:r>
    </w:p>
    <w:p w14:paraId="1F50DFF0">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27" w:name="_Ref467379527"/>
      <w:bookmarkStart w:id="128" w:name="_Toc487900354"/>
      <w:bookmarkStart w:id="129" w:name="_Ref467378591"/>
      <w:bookmarkStart w:id="130" w:name="_Ref467378541"/>
      <w:bookmarkStart w:id="131" w:name="_Ref467379536"/>
      <w:bookmarkStart w:id="132" w:name="_Ref467379542"/>
      <w:bookmarkStart w:id="133" w:name="_Toc259093674"/>
      <w:bookmarkStart w:id="134" w:name="_Toc279701245"/>
      <w:bookmarkStart w:id="135" w:name="_Toc30272"/>
      <w:bookmarkStart w:id="136" w:name="_Toc26182"/>
      <w:bookmarkStart w:id="137" w:name="_Toc17719"/>
      <w:bookmarkStart w:id="138" w:name="_Toc19074"/>
      <w:bookmarkStart w:id="139" w:name="_Toc672"/>
      <w:r>
        <w:rPr>
          <w:rFonts w:hint="eastAsia" w:ascii="仿宋" w:hAnsi="仿宋" w:eastAsia="仿宋" w:cs="仿宋"/>
          <w:b/>
          <w:bCs/>
          <w:sz w:val="28"/>
          <w:szCs w:val="28"/>
          <w:highlight w:val="none"/>
        </w:rPr>
        <w:t>2.</w:t>
      </w:r>
      <w:bookmarkEnd w:id="127"/>
      <w:bookmarkEnd w:id="128"/>
      <w:bookmarkEnd w:id="129"/>
      <w:bookmarkEnd w:id="130"/>
      <w:bookmarkEnd w:id="131"/>
      <w:bookmarkEnd w:id="132"/>
      <w:bookmarkEnd w:id="133"/>
      <w:bookmarkEnd w:id="134"/>
      <w:r>
        <w:rPr>
          <w:rFonts w:hint="eastAsia" w:ascii="仿宋" w:hAnsi="仿宋" w:eastAsia="仿宋" w:cs="仿宋"/>
          <w:b/>
          <w:bCs/>
          <w:sz w:val="28"/>
          <w:szCs w:val="28"/>
          <w:highlight w:val="none"/>
        </w:rPr>
        <w:t>5履约检查和问题反馈</w:t>
      </w:r>
      <w:bookmarkEnd w:id="135"/>
      <w:bookmarkEnd w:id="136"/>
      <w:bookmarkEnd w:id="137"/>
      <w:bookmarkEnd w:id="138"/>
      <w:bookmarkEnd w:id="139"/>
    </w:p>
    <w:p w14:paraId="598FFC7D">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140" w:name="_Ref467379657"/>
      <w:r>
        <w:rPr>
          <w:rFonts w:hint="eastAsia" w:ascii="仿宋" w:hAnsi="仿宋" w:eastAsia="仿宋" w:cs="仿宋"/>
          <w:sz w:val="28"/>
          <w:szCs w:val="28"/>
          <w:highlight w:val="none"/>
        </w:rPr>
        <w:t>2.5.1</w:t>
      </w:r>
      <w:bookmarkEnd w:id="140"/>
      <w:bookmarkStart w:id="141" w:name="_Toc186431854"/>
      <w:bookmarkStart w:id="142" w:name="_Ref467379807"/>
      <w:bookmarkStart w:id="143" w:name="_Ref467379793"/>
      <w:bookmarkStart w:id="144" w:name="_Toc487900357"/>
      <w:bookmarkStart w:id="145" w:name="_Toc259093676"/>
      <w:bookmarkStart w:id="146" w:name="_Toc279701247"/>
      <w:r>
        <w:rPr>
          <w:rFonts w:hint="eastAsia" w:ascii="仿宋" w:hAnsi="仿宋" w:eastAsia="仿宋" w:cs="仿宋"/>
          <w:sz w:val="28"/>
          <w:szCs w:val="28"/>
          <w:highlight w:val="none"/>
        </w:rPr>
        <w:t>甲方有权在其认为必要时，对乙方是否能够按照合同约定交付货物进行履约检查，以确保乙方所交付的货物能够依约满足甲方之项目需求，但不得因履约检查妨碍乙方的正常工作，乙方应予积极配合；</w:t>
      </w:r>
    </w:p>
    <w:p w14:paraId="774654BC">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2.5.2合同履行期间，甲方有权将履行过程中出现的问题反馈给乙方，双方当事人应以书面形式约定需要完善和改进的内容</w:t>
      </w:r>
      <w:bookmarkEnd w:id="141"/>
      <w:bookmarkStart w:id="147" w:name="_Toc186431855"/>
      <w:r>
        <w:rPr>
          <w:rFonts w:hint="eastAsia" w:ascii="仿宋" w:hAnsi="仿宋" w:eastAsia="仿宋" w:cs="仿宋"/>
          <w:sz w:val="28"/>
          <w:szCs w:val="28"/>
          <w:highlight w:val="none"/>
        </w:rPr>
        <w:t>。</w:t>
      </w:r>
    </w:p>
    <w:bookmarkEnd w:id="147"/>
    <w:p w14:paraId="26D7BCDF">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48" w:name="_Toc28451"/>
      <w:bookmarkStart w:id="149" w:name="_Toc19219"/>
      <w:bookmarkStart w:id="150" w:name="_Toc7836"/>
      <w:bookmarkStart w:id="151" w:name="_Toc29418"/>
      <w:bookmarkStart w:id="152" w:name="_Toc7611"/>
      <w:r>
        <w:rPr>
          <w:rFonts w:hint="eastAsia" w:ascii="仿宋" w:hAnsi="仿宋" w:eastAsia="仿宋" w:cs="仿宋"/>
          <w:b/>
          <w:bCs/>
          <w:sz w:val="28"/>
          <w:szCs w:val="28"/>
          <w:highlight w:val="none"/>
        </w:rPr>
        <w:t>2.6结算方式和付款条件</w:t>
      </w:r>
      <w:bookmarkEnd w:id="142"/>
      <w:bookmarkEnd w:id="143"/>
      <w:bookmarkEnd w:id="144"/>
      <w:bookmarkEnd w:id="145"/>
      <w:bookmarkEnd w:id="146"/>
      <w:bookmarkEnd w:id="148"/>
      <w:bookmarkEnd w:id="149"/>
      <w:bookmarkEnd w:id="150"/>
      <w:bookmarkEnd w:id="151"/>
      <w:bookmarkEnd w:id="152"/>
    </w:p>
    <w:p w14:paraId="5E68D716">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bookmarkStart w:id="153" w:name="_Ref467379863"/>
      <w:bookmarkStart w:id="154" w:name="_Ref467379852"/>
      <w:bookmarkStart w:id="155" w:name="_Toc487900358"/>
      <w:bookmarkStart w:id="156" w:name="_Toc259093677"/>
      <w:bookmarkStart w:id="157" w:name="_Ref467379923"/>
      <w:bookmarkStart w:id="158" w:name="_Toc279701248"/>
      <w:bookmarkStart w:id="159" w:name="_Toc16110"/>
      <w:bookmarkStart w:id="160" w:name="_Toc4677"/>
      <w:bookmarkStart w:id="161" w:name="_Toc29466"/>
      <w:bookmarkStart w:id="162" w:name="_Toc774"/>
      <w:bookmarkStart w:id="163" w:name="_Toc3225"/>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1</w:t>
      </w:r>
      <w:r>
        <w:rPr>
          <w:rFonts w:hint="eastAsia" w:ascii="仿宋" w:hAnsi="仿宋" w:eastAsia="仿宋" w:cs="仿宋"/>
          <w:sz w:val="28"/>
          <w:szCs w:val="28"/>
          <w:highlight w:val="none"/>
          <w:lang w:eastAsia="zh-CN"/>
        </w:rPr>
        <w:t>）</w:t>
      </w:r>
    </w:p>
    <w:p w14:paraId="030A7479">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2</w:t>
      </w:r>
      <w:r>
        <w:rPr>
          <w:rFonts w:hint="eastAsia" w:ascii="仿宋" w:hAnsi="仿宋" w:eastAsia="仿宋" w:cs="仿宋"/>
          <w:sz w:val="28"/>
          <w:szCs w:val="28"/>
          <w:highlight w:val="none"/>
          <w:lang w:eastAsia="zh-CN"/>
        </w:rPr>
        <w:t>）</w:t>
      </w:r>
    </w:p>
    <w:p w14:paraId="23209775">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w:t>
      </w:r>
    </w:p>
    <w:p w14:paraId="4363E5A6">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供应商承诺在采购人办理以上各期付款的支付手续前，为采购人出具等额的符合国家规定的发票；</w:t>
      </w:r>
    </w:p>
    <w:p w14:paraId="5EE435F7">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上述时间不包括采购人正常办理支付报批手续的时间。</w:t>
      </w:r>
    </w:p>
    <w:p w14:paraId="301912B9">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2.7技术资料</w:t>
      </w:r>
      <w:bookmarkEnd w:id="153"/>
      <w:bookmarkEnd w:id="154"/>
      <w:bookmarkEnd w:id="155"/>
      <w:bookmarkEnd w:id="156"/>
      <w:bookmarkEnd w:id="157"/>
      <w:bookmarkEnd w:id="158"/>
      <w:r>
        <w:rPr>
          <w:rFonts w:hint="eastAsia" w:ascii="仿宋" w:hAnsi="仿宋" w:eastAsia="仿宋" w:cs="仿宋"/>
          <w:b/>
          <w:bCs/>
          <w:sz w:val="28"/>
          <w:szCs w:val="28"/>
          <w:highlight w:val="none"/>
        </w:rPr>
        <w:t>和保密义务</w:t>
      </w:r>
      <w:bookmarkEnd w:id="159"/>
      <w:bookmarkEnd w:id="160"/>
      <w:bookmarkEnd w:id="161"/>
      <w:bookmarkEnd w:id="162"/>
      <w:bookmarkEnd w:id="163"/>
    </w:p>
    <w:p w14:paraId="0A86A50E">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2.7.1乙方有权依据合同约定和项目需要，向甲方了解有关情况，调阅有关资料等，甲方应予积极配合；</w:t>
      </w:r>
    </w:p>
    <w:p w14:paraId="05EAFF9F">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2.7.2乙方有义务妥善保管和保护由甲方提供的前款信息和资料等；</w:t>
      </w:r>
    </w:p>
    <w:p w14:paraId="19AA32C8">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2.7.</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149C44DD">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64" w:name="_Toc13519"/>
      <w:bookmarkStart w:id="165" w:name="_Toc4695"/>
      <w:bookmarkStart w:id="166" w:name="_Toc7860"/>
      <w:r>
        <w:rPr>
          <w:rFonts w:hint="eastAsia" w:ascii="仿宋" w:hAnsi="仿宋" w:eastAsia="仿宋" w:cs="仿宋"/>
          <w:b/>
          <w:bCs/>
          <w:sz w:val="28"/>
          <w:szCs w:val="28"/>
          <w:highlight w:val="none"/>
        </w:rPr>
        <w:t>2.8质量保证</w:t>
      </w:r>
      <w:bookmarkEnd w:id="164"/>
      <w:bookmarkEnd w:id="165"/>
      <w:bookmarkEnd w:id="166"/>
    </w:p>
    <w:p w14:paraId="725039E5">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2.8.1乙方应建立和完善履行合同的内部质量保证体系，并提供相关内部规章制度给甲方，以便甲方进行监督检查；</w:t>
      </w:r>
    </w:p>
    <w:p w14:paraId="1B42DCA8">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2.8.2乙方应保证履行合同的人员数量和素质、软件和硬件设备的配置、场地、环境和设施等满足全面履行合同的要求，并应接受甲方的监督检查。</w:t>
      </w:r>
    </w:p>
    <w:p w14:paraId="01FAE36E">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67" w:name="_Toc18578"/>
      <w:bookmarkStart w:id="168" w:name="_Toc12609"/>
      <w:bookmarkStart w:id="169" w:name="_Toc17244"/>
      <w:bookmarkStart w:id="170" w:name="_Toc259093681"/>
      <w:bookmarkStart w:id="171" w:name="_Toc487900362"/>
      <w:bookmarkStart w:id="172" w:name="_Toc279701252"/>
      <w:r>
        <w:rPr>
          <w:rFonts w:hint="eastAsia" w:ascii="仿宋" w:hAnsi="仿宋" w:eastAsia="仿宋" w:cs="仿宋"/>
          <w:b/>
          <w:bCs/>
          <w:sz w:val="28"/>
          <w:szCs w:val="28"/>
          <w:highlight w:val="none"/>
        </w:rPr>
        <w:t>2.9货物的风险负担</w:t>
      </w:r>
      <w:bookmarkEnd w:id="167"/>
      <w:bookmarkEnd w:id="168"/>
      <w:bookmarkEnd w:id="169"/>
    </w:p>
    <w:p w14:paraId="4569D5CC">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货物或者在途货物或者交付给第一承运人后的货物毁损、灭失的风险负担详见</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w:t>
      </w:r>
    </w:p>
    <w:p w14:paraId="6351EAF0">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73" w:name="_Toc25487"/>
      <w:bookmarkStart w:id="174" w:name="_Toc3733"/>
      <w:bookmarkStart w:id="175" w:name="_Toc14055"/>
      <w:r>
        <w:rPr>
          <w:rFonts w:hint="eastAsia" w:ascii="仿宋" w:hAnsi="仿宋" w:eastAsia="仿宋" w:cs="仿宋"/>
          <w:b/>
          <w:bCs/>
          <w:sz w:val="28"/>
          <w:szCs w:val="28"/>
          <w:highlight w:val="none"/>
        </w:rPr>
        <w:t>2.10延迟交货</w:t>
      </w:r>
      <w:bookmarkEnd w:id="170"/>
      <w:bookmarkEnd w:id="171"/>
      <w:bookmarkEnd w:id="172"/>
      <w:bookmarkEnd w:id="173"/>
      <w:bookmarkEnd w:id="174"/>
      <w:bookmarkEnd w:id="175"/>
    </w:p>
    <w:p w14:paraId="517DB457">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在合同履行过程中，如果乙方遇到不能按时交付货物的情况，应及时以书面形式将不能按时交付货物的理由、预期延误时间通知甲方；甲方收到乙方通知后，认为其理由正当的，可以书面形式酌情同意乙方可以延长交货的具体时间。</w:t>
      </w:r>
    </w:p>
    <w:p w14:paraId="536A740D">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76" w:name="_Toc11512"/>
      <w:bookmarkStart w:id="177" w:name="_Toc16913"/>
      <w:bookmarkStart w:id="178" w:name="_Toc7502"/>
      <w:bookmarkStart w:id="179" w:name="_Toc279701254"/>
      <w:bookmarkStart w:id="180" w:name="_Ref467378121"/>
      <w:bookmarkStart w:id="181" w:name="_Toc487900364"/>
      <w:bookmarkStart w:id="182" w:name="_Toc259093683"/>
      <w:r>
        <w:rPr>
          <w:rFonts w:hint="eastAsia" w:ascii="仿宋" w:hAnsi="仿宋" w:eastAsia="仿宋" w:cs="仿宋"/>
          <w:b/>
          <w:bCs/>
          <w:sz w:val="28"/>
          <w:szCs w:val="28"/>
          <w:highlight w:val="none"/>
        </w:rPr>
        <w:t>2.11合同变更</w:t>
      </w:r>
      <w:bookmarkEnd w:id="176"/>
      <w:bookmarkEnd w:id="177"/>
      <w:bookmarkEnd w:id="178"/>
    </w:p>
    <w:p w14:paraId="75CAF130">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2.11.1双方当事人协商一致，可以签订书面补充合同的形式变更合同，但不得违背采购文件确定的事项，且如果系追加与合同标的相同的货物的，那么所有补充合同的采购金额不得超过原合同价的10%；</w:t>
      </w:r>
    </w:p>
    <w:p w14:paraId="70D09D63">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2.11.2合同继续履行将损害国家利益和社会公共利益的，双方当事人应当以书面形式变更合同。有过错的一方应当承担赔偿责任，双方当事人都有过错的，各自承担相应的责任。</w:t>
      </w:r>
      <w:bookmarkStart w:id="183" w:name="_Toc487900369"/>
      <w:bookmarkStart w:id="184" w:name="_Toc279701259"/>
      <w:bookmarkStart w:id="185" w:name="_Toc259093688"/>
    </w:p>
    <w:p w14:paraId="7BC206EA">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86" w:name="_Toc27152"/>
      <w:bookmarkStart w:id="187" w:name="_Toc10366"/>
      <w:bookmarkStart w:id="188" w:name="_Toc22955"/>
      <w:bookmarkStart w:id="189" w:name="_Toc15237"/>
      <w:bookmarkStart w:id="190" w:name="_Toc6182"/>
      <w:r>
        <w:rPr>
          <w:rFonts w:hint="eastAsia" w:ascii="仿宋" w:hAnsi="仿宋" w:eastAsia="仿宋" w:cs="仿宋"/>
          <w:b/>
          <w:bCs/>
          <w:sz w:val="28"/>
          <w:szCs w:val="28"/>
          <w:highlight w:val="none"/>
        </w:rPr>
        <w:t>2.12合同转让</w:t>
      </w:r>
      <w:bookmarkEnd w:id="183"/>
      <w:bookmarkEnd w:id="184"/>
      <w:bookmarkEnd w:id="185"/>
      <w:r>
        <w:rPr>
          <w:rFonts w:hint="eastAsia" w:ascii="仿宋" w:hAnsi="仿宋" w:eastAsia="仿宋" w:cs="仿宋"/>
          <w:b/>
          <w:bCs/>
          <w:sz w:val="28"/>
          <w:szCs w:val="28"/>
          <w:highlight w:val="none"/>
        </w:rPr>
        <w:t>和分包</w:t>
      </w:r>
      <w:bookmarkEnd w:id="186"/>
      <w:bookmarkEnd w:id="187"/>
      <w:bookmarkEnd w:id="188"/>
      <w:bookmarkEnd w:id="189"/>
      <w:bookmarkEnd w:id="190"/>
    </w:p>
    <w:p w14:paraId="48D014D4">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3C6C7A35">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91" w:name="_Toc28033"/>
      <w:bookmarkStart w:id="192" w:name="_Toc14066"/>
      <w:bookmarkStart w:id="193" w:name="_Toc13566"/>
      <w:bookmarkStart w:id="194" w:name="_Toc16508"/>
      <w:bookmarkStart w:id="195" w:name="_Toc2942"/>
      <w:r>
        <w:rPr>
          <w:rFonts w:hint="eastAsia" w:ascii="仿宋" w:hAnsi="仿宋" w:eastAsia="仿宋" w:cs="仿宋"/>
          <w:b/>
          <w:bCs/>
          <w:sz w:val="28"/>
          <w:szCs w:val="28"/>
          <w:highlight w:val="none"/>
        </w:rPr>
        <w:t>2.13不可抗力</w:t>
      </w:r>
      <w:bookmarkEnd w:id="191"/>
      <w:bookmarkEnd w:id="192"/>
      <w:bookmarkEnd w:id="193"/>
      <w:bookmarkEnd w:id="194"/>
      <w:bookmarkEnd w:id="195"/>
    </w:p>
    <w:p w14:paraId="073F3916">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2.13.1如果任何一方遭遇法律规定的不可抗力，致使合同履行受阻时，履行合同的期限应予延长，延长的期限应相当于不可抗力所影响的时间；</w:t>
      </w:r>
    </w:p>
    <w:p w14:paraId="2425ED3F">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2.13.2因不可抗力致使不能实现合同目的的，当事人可以解除合同；</w:t>
      </w:r>
    </w:p>
    <w:p w14:paraId="0A905D10">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2.13.3因不可抗力致使合同有变更必要的，双方当事人应在</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约定时间内以书面形式变更合同；</w:t>
      </w:r>
    </w:p>
    <w:p w14:paraId="1956C6A8">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2.13.4受不可抗力影响的一方在不可抗力发生后，应在</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约定时间内以书面形式通知对方当事人，并在</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约定时间内，将有关部门出具的证明文件送达对方当事人。</w:t>
      </w:r>
    </w:p>
    <w:p w14:paraId="2074FCB6">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96" w:name="_Toc259093684"/>
      <w:bookmarkStart w:id="197" w:name="_Toc24304"/>
      <w:bookmarkStart w:id="198" w:name="_Toc6969"/>
      <w:bookmarkStart w:id="199" w:name="_Toc15135"/>
      <w:bookmarkStart w:id="200" w:name="_Toc30676"/>
      <w:bookmarkStart w:id="201" w:name="_Toc487900365"/>
      <w:bookmarkStart w:id="202" w:name="_Toc689"/>
      <w:bookmarkStart w:id="203" w:name="_Toc279701255"/>
      <w:r>
        <w:rPr>
          <w:rFonts w:hint="eastAsia" w:ascii="仿宋" w:hAnsi="仿宋" w:eastAsia="仿宋" w:cs="仿宋"/>
          <w:b/>
          <w:bCs/>
          <w:sz w:val="28"/>
          <w:szCs w:val="28"/>
          <w:highlight w:val="none"/>
        </w:rPr>
        <w:t>2.14税费</w:t>
      </w:r>
      <w:bookmarkEnd w:id="196"/>
      <w:bookmarkEnd w:id="197"/>
      <w:bookmarkEnd w:id="198"/>
      <w:bookmarkEnd w:id="199"/>
      <w:bookmarkEnd w:id="200"/>
      <w:bookmarkEnd w:id="201"/>
      <w:bookmarkEnd w:id="202"/>
      <w:bookmarkEnd w:id="203"/>
    </w:p>
    <w:p w14:paraId="032AF299">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与合同有关的一切税费，均按照中华人民共和国法律的相关规定。</w:t>
      </w:r>
    </w:p>
    <w:p w14:paraId="22A98AC5">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04" w:name="_Toc8298"/>
      <w:bookmarkStart w:id="205" w:name="_Toc7102"/>
      <w:bookmarkStart w:id="206" w:name="_Toc279701258"/>
      <w:bookmarkStart w:id="207" w:name="_Toc487900368"/>
      <w:bookmarkStart w:id="208" w:name="_Toc21389"/>
      <w:bookmarkStart w:id="209" w:name="_Toc16959"/>
      <w:bookmarkStart w:id="210" w:name="_Toc259093687"/>
      <w:bookmarkStart w:id="211" w:name="_Toc4081"/>
      <w:r>
        <w:rPr>
          <w:rFonts w:hint="eastAsia" w:ascii="仿宋" w:hAnsi="仿宋" w:eastAsia="仿宋" w:cs="仿宋"/>
          <w:b/>
          <w:bCs/>
          <w:sz w:val="28"/>
          <w:szCs w:val="28"/>
          <w:highlight w:val="none"/>
        </w:rPr>
        <w:t>2.15乙方破产</w:t>
      </w:r>
      <w:bookmarkEnd w:id="204"/>
      <w:bookmarkEnd w:id="205"/>
      <w:bookmarkEnd w:id="206"/>
      <w:bookmarkEnd w:id="207"/>
      <w:bookmarkEnd w:id="208"/>
      <w:bookmarkEnd w:id="209"/>
      <w:bookmarkEnd w:id="210"/>
      <w:bookmarkEnd w:id="211"/>
    </w:p>
    <w:p w14:paraId="57C0BA3C">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179D597F">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12" w:name="_Toc6134"/>
      <w:bookmarkStart w:id="213" w:name="_Toc9826"/>
      <w:bookmarkStart w:id="214" w:name="_Toc29333"/>
      <w:bookmarkStart w:id="215" w:name="_Toc9288"/>
      <w:bookmarkStart w:id="216" w:name="_Toc15387"/>
      <w:r>
        <w:rPr>
          <w:rFonts w:hint="eastAsia" w:ascii="仿宋" w:hAnsi="仿宋" w:eastAsia="仿宋" w:cs="仿宋"/>
          <w:b/>
          <w:bCs/>
          <w:sz w:val="28"/>
          <w:szCs w:val="28"/>
          <w:highlight w:val="none"/>
        </w:rPr>
        <w:t>2.16合同中止、终止</w:t>
      </w:r>
      <w:bookmarkEnd w:id="212"/>
      <w:bookmarkEnd w:id="213"/>
      <w:bookmarkEnd w:id="214"/>
      <w:bookmarkEnd w:id="215"/>
      <w:bookmarkEnd w:id="216"/>
    </w:p>
    <w:p w14:paraId="43859FD1">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2.16.1双方当事人不得擅自中止或者终止合同；</w:t>
      </w:r>
    </w:p>
    <w:p w14:paraId="27FBA73D">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2.16.2合同继续履行将损害国家利益和社会公共利益的，双方当事人应当中止或者终止合同。有过错的一方应当承担赔偿责任，双方当事人都有过错的，各自承担相应的责任。</w:t>
      </w:r>
    </w:p>
    <w:p w14:paraId="3EEF5BE6">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17" w:name="_Toc14737"/>
      <w:bookmarkStart w:id="218" w:name="_Toc1125"/>
      <w:bookmarkStart w:id="219" w:name="_Toc13585"/>
      <w:bookmarkStart w:id="220" w:name="_Toc6596"/>
      <w:bookmarkStart w:id="221" w:name="_Toc14563"/>
      <w:r>
        <w:rPr>
          <w:rFonts w:hint="eastAsia" w:ascii="仿宋" w:hAnsi="仿宋" w:eastAsia="仿宋" w:cs="仿宋"/>
          <w:b/>
          <w:bCs/>
          <w:sz w:val="28"/>
          <w:szCs w:val="28"/>
          <w:highlight w:val="none"/>
        </w:rPr>
        <w:t>2.17检验和验收</w:t>
      </w:r>
      <w:bookmarkEnd w:id="217"/>
      <w:bookmarkEnd w:id="218"/>
      <w:bookmarkEnd w:id="219"/>
      <w:bookmarkEnd w:id="220"/>
      <w:bookmarkEnd w:id="221"/>
    </w:p>
    <w:p w14:paraId="14056877">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2.17.1货物交付前，乙方应对货物的质量、数量等方面进行详细、全面的检验，并向甲方出具证明货物符合合同约定的文件；货物交付时，乙方在</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约定时间内组织验收，并可依法邀请相关方参加，验收应出具验收书。</w:t>
      </w:r>
    </w:p>
    <w:p w14:paraId="1E91023C">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14:paraId="62825A5F">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2.17.3检验和验收标准、程序等具体内容以及前述验收书的效力详见</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w:t>
      </w:r>
    </w:p>
    <w:bookmarkEnd w:id="179"/>
    <w:bookmarkEnd w:id="180"/>
    <w:bookmarkEnd w:id="181"/>
    <w:bookmarkEnd w:id="182"/>
    <w:p w14:paraId="4F3122E7">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22" w:name="_Toc487900371"/>
      <w:bookmarkStart w:id="223" w:name="_Toc279701261"/>
      <w:bookmarkStart w:id="224" w:name="_Toc259093690"/>
      <w:bookmarkStart w:id="225" w:name="_Toc19604"/>
      <w:bookmarkStart w:id="226" w:name="_Toc17389"/>
      <w:bookmarkStart w:id="227" w:name="_Toc25182"/>
      <w:bookmarkStart w:id="228" w:name="_Toc11284"/>
      <w:bookmarkStart w:id="229" w:name="_Toc18111"/>
      <w:r>
        <w:rPr>
          <w:rFonts w:hint="eastAsia" w:ascii="仿宋" w:hAnsi="仿宋" w:eastAsia="仿宋" w:cs="仿宋"/>
          <w:b/>
          <w:bCs/>
          <w:sz w:val="28"/>
          <w:szCs w:val="28"/>
          <w:highlight w:val="none"/>
        </w:rPr>
        <w:t>2.18通知</w:t>
      </w:r>
      <w:bookmarkEnd w:id="222"/>
      <w:bookmarkEnd w:id="223"/>
      <w:bookmarkEnd w:id="224"/>
      <w:r>
        <w:rPr>
          <w:rFonts w:hint="eastAsia" w:ascii="仿宋" w:hAnsi="仿宋" w:eastAsia="仿宋" w:cs="仿宋"/>
          <w:b/>
          <w:bCs/>
          <w:sz w:val="28"/>
          <w:szCs w:val="28"/>
          <w:highlight w:val="none"/>
        </w:rPr>
        <w:t>和送达</w:t>
      </w:r>
      <w:bookmarkEnd w:id="225"/>
      <w:bookmarkEnd w:id="226"/>
      <w:bookmarkEnd w:id="227"/>
      <w:bookmarkEnd w:id="228"/>
      <w:bookmarkEnd w:id="229"/>
    </w:p>
    <w:p w14:paraId="63C12B26">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230" w:name="_Toc3135"/>
      <w:bookmarkStart w:id="231" w:name="_Toc6698"/>
      <w:bookmarkStart w:id="232" w:name="_Toc487900372"/>
      <w:bookmarkStart w:id="233" w:name="_Toc279701262"/>
      <w:bookmarkStart w:id="234" w:name="_Toc259093691"/>
      <w:r>
        <w:rPr>
          <w:rFonts w:hint="eastAsia" w:ascii="仿宋" w:hAnsi="仿宋" w:eastAsia="仿宋" w:cs="仿宋"/>
          <w:sz w:val="28"/>
          <w:szCs w:val="28"/>
          <w:highlight w:val="none"/>
        </w:rPr>
        <w:t>2.18.1任何一方因履行合同而以合同第一部分尾部所列明的发出的所有通知、文件、材料，均视为已向对方当事人送达；任何一方变更上述送达方式或者地址的，应于   个工作日内书面通知对方当事人，在对方当事人收到有关变更通知之前，变更前的约定送达方式或者地址仍视为有效。</w:t>
      </w:r>
      <w:bookmarkEnd w:id="230"/>
      <w:bookmarkEnd w:id="231"/>
    </w:p>
    <w:p w14:paraId="5F9CA9E7">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235" w:name="_Toc23294"/>
      <w:bookmarkStart w:id="236" w:name="_Toc23128"/>
      <w:r>
        <w:rPr>
          <w:rFonts w:hint="eastAsia" w:ascii="仿宋" w:hAnsi="仿宋" w:eastAsia="仿宋" w:cs="仿宋"/>
          <w:sz w:val="28"/>
          <w:szCs w:val="28"/>
          <w:highlight w:val="none"/>
        </w:rPr>
        <w:t>2.18.2以当面交付方式送达的，交付之时视为送达；以电子邮件方式送达的，发出电子邮件之时视为送达；以传真方式送达的，发出传真之时视为送达；以邮寄方式送达的，邮件挂号寄出或者交邮之日之次日视为送达。</w:t>
      </w:r>
      <w:bookmarkEnd w:id="235"/>
      <w:bookmarkEnd w:id="236"/>
    </w:p>
    <w:p w14:paraId="38508F68">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37" w:name="_Toc25677"/>
      <w:bookmarkStart w:id="238" w:name="_Toc32070"/>
      <w:bookmarkStart w:id="239" w:name="_Toc4355"/>
      <w:bookmarkStart w:id="240" w:name="_Toc30599"/>
      <w:bookmarkStart w:id="241" w:name="_Toc18540"/>
      <w:r>
        <w:rPr>
          <w:rFonts w:hint="eastAsia" w:ascii="仿宋" w:hAnsi="仿宋" w:eastAsia="仿宋" w:cs="仿宋"/>
          <w:b/>
          <w:bCs/>
          <w:sz w:val="28"/>
          <w:szCs w:val="28"/>
          <w:highlight w:val="none"/>
        </w:rPr>
        <w:t>2.19计量单位</w:t>
      </w:r>
      <w:bookmarkEnd w:id="232"/>
      <w:bookmarkEnd w:id="233"/>
      <w:bookmarkEnd w:id="234"/>
      <w:bookmarkEnd w:id="237"/>
      <w:bookmarkEnd w:id="238"/>
      <w:bookmarkEnd w:id="239"/>
      <w:bookmarkEnd w:id="240"/>
      <w:bookmarkEnd w:id="241"/>
    </w:p>
    <w:p w14:paraId="31D463A9">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除技术规范中另有规定外,合同的计量单位均使用国家法定计量单位。</w:t>
      </w:r>
    </w:p>
    <w:p w14:paraId="46BEA5BA">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42" w:name="_Toc12270"/>
      <w:bookmarkStart w:id="243" w:name="_Toc18567"/>
      <w:bookmarkStart w:id="244" w:name="_Toc487900373"/>
      <w:bookmarkStart w:id="245" w:name="_Toc12773"/>
      <w:bookmarkStart w:id="246" w:name="_Toc25407"/>
      <w:bookmarkStart w:id="247" w:name="_Toc10330"/>
      <w:bookmarkStart w:id="248" w:name="_Toc259093692"/>
      <w:bookmarkStart w:id="249" w:name="_Toc279701263"/>
      <w:r>
        <w:rPr>
          <w:rFonts w:hint="eastAsia" w:ascii="仿宋" w:hAnsi="仿宋" w:eastAsia="仿宋" w:cs="仿宋"/>
          <w:b/>
          <w:bCs/>
          <w:sz w:val="28"/>
          <w:szCs w:val="28"/>
          <w:highlight w:val="none"/>
        </w:rPr>
        <w:t>2.20合同使用的文字和适用的法律</w:t>
      </w:r>
      <w:bookmarkEnd w:id="242"/>
      <w:bookmarkEnd w:id="243"/>
      <w:bookmarkEnd w:id="244"/>
      <w:bookmarkEnd w:id="245"/>
      <w:bookmarkEnd w:id="246"/>
      <w:bookmarkEnd w:id="247"/>
      <w:bookmarkEnd w:id="248"/>
      <w:bookmarkEnd w:id="249"/>
    </w:p>
    <w:p w14:paraId="6A7503EE">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2.20.1合同使用汉语书就、变更和解释；</w:t>
      </w:r>
    </w:p>
    <w:p w14:paraId="36517351">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2.20.2合同适用中华人民共和国法律。</w:t>
      </w:r>
    </w:p>
    <w:p w14:paraId="754C838E">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50" w:name="_Toc2674"/>
      <w:bookmarkStart w:id="251" w:name="_Toc279701264"/>
      <w:bookmarkStart w:id="252" w:name="_Toc12004"/>
      <w:bookmarkStart w:id="253" w:name="_Toc16673"/>
      <w:bookmarkStart w:id="254" w:name="_Toc259093693"/>
      <w:bookmarkStart w:id="255" w:name="_Toc3148"/>
      <w:bookmarkStart w:id="256" w:name="_Toc10983"/>
      <w:bookmarkStart w:id="257" w:name="_Toc487900374"/>
      <w:r>
        <w:rPr>
          <w:rFonts w:hint="eastAsia" w:ascii="仿宋" w:hAnsi="仿宋" w:eastAsia="仿宋" w:cs="仿宋"/>
          <w:b/>
          <w:bCs/>
          <w:sz w:val="28"/>
          <w:szCs w:val="28"/>
          <w:highlight w:val="none"/>
        </w:rPr>
        <w:t>2.21履约保证金</w:t>
      </w:r>
      <w:bookmarkEnd w:id="250"/>
      <w:bookmarkEnd w:id="251"/>
      <w:bookmarkEnd w:id="252"/>
      <w:bookmarkEnd w:id="253"/>
      <w:bookmarkEnd w:id="254"/>
      <w:bookmarkEnd w:id="255"/>
      <w:bookmarkEnd w:id="256"/>
    </w:p>
    <w:p w14:paraId="11E8ED23">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2.21.1采购文件要求乙方提交履约保证金的，乙方应按</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约定的方式，以支票、汇票、本票或者金融机构、担保机构出具的保函等非现金形式，提交不超过合同价10%的履约保证金；</w:t>
      </w:r>
    </w:p>
    <w:p w14:paraId="4572C456">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2.21.2履约保证金在</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约定期间内或者货物质量保证期内不予退还或者应完全有效，前述约定期间届满或者货物质量保证期届满之日起  个工作日内，甲方应将履约保证金退还乙方；</w:t>
      </w:r>
    </w:p>
    <w:p w14:paraId="21BA0979">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2.21.3如果乙方不履行合同，履约保证金不予退还；如果乙方未能按合同约定全面履行义务，那么甲方有权从履约保证金中取得补偿或赔偿，同时不影响甲方要求乙方承担合同约定的超过履约保证金的违约责任的权利。</w:t>
      </w:r>
    </w:p>
    <w:bookmarkEnd w:id="257"/>
    <w:p w14:paraId="7A4C877E">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58" w:name="_Toc14001"/>
      <w:bookmarkStart w:id="259" w:name="_Toc990"/>
      <w:bookmarkStart w:id="260" w:name="_Toc6885"/>
      <w:bookmarkStart w:id="261" w:name="_Toc19890"/>
      <w:bookmarkStart w:id="262" w:name="_Toc6250"/>
      <w:r>
        <w:rPr>
          <w:rFonts w:hint="eastAsia" w:ascii="仿宋" w:hAnsi="仿宋" w:eastAsia="仿宋" w:cs="仿宋"/>
          <w:b/>
          <w:bCs/>
          <w:sz w:val="28"/>
          <w:szCs w:val="28"/>
          <w:highlight w:val="none"/>
        </w:rPr>
        <w:t>2.22合同份数</w:t>
      </w:r>
      <w:bookmarkEnd w:id="258"/>
      <w:bookmarkEnd w:id="259"/>
      <w:bookmarkEnd w:id="260"/>
      <w:bookmarkEnd w:id="261"/>
      <w:bookmarkEnd w:id="262"/>
    </w:p>
    <w:p w14:paraId="41DA3071">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合同份数按</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规定，每份均具有同等法律效力。</w:t>
      </w:r>
    </w:p>
    <w:p w14:paraId="77748BAA">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b/>
          <w:bCs/>
          <w:sz w:val="28"/>
          <w:szCs w:val="28"/>
        </w:rPr>
      </w:pPr>
    </w:p>
    <w:p w14:paraId="1A4391CA">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b/>
          <w:bCs/>
          <w:sz w:val="28"/>
          <w:szCs w:val="28"/>
        </w:rPr>
      </w:pPr>
    </w:p>
    <w:p w14:paraId="44D7285D">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b/>
          <w:bCs/>
          <w:sz w:val="28"/>
          <w:szCs w:val="28"/>
        </w:rPr>
      </w:pPr>
    </w:p>
    <w:p w14:paraId="4FDF0F3D">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b/>
          <w:bCs/>
          <w:sz w:val="28"/>
          <w:szCs w:val="28"/>
        </w:rPr>
      </w:pPr>
    </w:p>
    <w:p w14:paraId="099484EC">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b/>
          <w:bCs/>
          <w:sz w:val="28"/>
          <w:szCs w:val="28"/>
        </w:rPr>
      </w:pPr>
    </w:p>
    <w:p w14:paraId="585D9901">
      <w:pPr>
        <w:keepNext w:val="0"/>
        <w:keepLines w:val="0"/>
        <w:pageBreakBefore w:val="0"/>
        <w:widowControl w:val="0"/>
        <w:kinsoku/>
        <w:wordWrap/>
        <w:autoSpaceDE w:val="0"/>
        <w:autoSpaceDN w:val="0"/>
        <w:bidi w:val="0"/>
        <w:adjustRightInd w:val="0"/>
        <w:snapToGrid/>
        <w:spacing w:line="500" w:lineRule="exact"/>
        <w:jc w:val="center"/>
        <w:textAlignment w:val="auto"/>
        <w:outlineLvl w:val="1"/>
        <w:rPr>
          <w:rFonts w:hint="eastAsia" w:ascii="仿宋" w:hAnsi="仿宋" w:eastAsia="仿宋" w:cs="仿宋"/>
          <w:sz w:val="28"/>
          <w:szCs w:val="28"/>
        </w:rPr>
      </w:pPr>
      <w:bookmarkStart w:id="263" w:name="_Toc29847"/>
      <w:r>
        <w:rPr>
          <w:rFonts w:hint="eastAsia" w:ascii="仿宋" w:hAnsi="仿宋" w:eastAsia="仿宋" w:cs="仿宋"/>
          <w:sz w:val="28"/>
          <w:szCs w:val="28"/>
        </w:rPr>
        <w:br w:type="page"/>
      </w:r>
      <w:bookmarkStart w:id="264" w:name="_Toc21063"/>
      <w:bookmarkStart w:id="265" w:name="_Toc11417"/>
      <w:bookmarkStart w:id="266" w:name="_Toc31860"/>
      <w:bookmarkStart w:id="267" w:name="_Toc2315"/>
      <w:bookmarkStart w:id="268" w:name="_Toc28328"/>
      <w:bookmarkStart w:id="269" w:name="_Toc7721"/>
      <w:r>
        <w:rPr>
          <w:rFonts w:hint="eastAsia" w:ascii="仿宋" w:hAnsi="仿宋" w:eastAsia="仿宋" w:cs="仿宋"/>
          <w:sz w:val="28"/>
          <w:szCs w:val="28"/>
        </w:rPr>
        <w:t>三、合同专用条款</w:t>
      </w:r>
      <w:bookmarkEnd w:id="263"/>
      <w:bookmarkEnd w:id="264"/>
      <w:bookmarkEnd w:id="265"/>
      <w:bookmarkEnd w:id="266"/>
      <w:bookmarkEnd w:id="267"/>
      <w:bookmarkEnd w:id="268"/>
      <w:bookmarkEnd w:id="269"/>
    </w:p>
    <w:p w14:paraId="1E5B7223">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rPr>
      </w:pPr>
      <w:r>
        <w:rPr>
          <w:rFonts w:hint="eastAsia" w:ascii="仿宋" w:hAnsi="仿宋" w:eastAsia="仿宋" w:cs="仿宋"/>
          <w:sz w:val="28"/>
          <w:szCs w:val="28"/>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3407DC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noWrap w:val="0"/>
            <w:vAlign w:val="center"/>
          </w:tcPr>
          <w:p w14:paraId="7259C545">
            <w:pPr>
              <w:keepNext w:val="0"/>
              <w:keepLines w:val="0"/>
              <w:pageBreakBefore w:val="0"/>
              <w:widowControl w:val="0"/>
              <w:kinsoku/>
              <w:wordWrap/>
              <w:autoSpaceDE w:val="0"/>
              <w:autoSpaceDN w:val="0"/>
              <w:bidi w:val="0"/>
              <w:adjustRightInd w:val="0"/>
              <w:snapToGrid/>
              <w:spacing w:line="50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条款号</w:t>
            </w:r>
          </w:p>
        </w:tc>
        <w:tc>
          <w:tcPr>
            <w:tcW w:w="7633" w:type="dxa"/>
            <w:noWrap w:val="0"/>
            <w:vAlign w:val="center"/>
          </w:tcPr>
          <w:p w14:paraId="6C13480D">
            <w:pPr>
              <w:keepNext w:val="0"/>
              <w:keepLines w:val="0"/>
              <w:pageBreakBefore w:val="0"/>
              <w:widowControl w:val="0"/>
              <w:kinsoku/>
              <w:wordWrap/>
              <w:autoSpaceDE w:val="0"/>
              <w:autoSpaceDN w:val="0"/>
              <w:bidi w:val="0"/>
              <w:adjustRightInd w:val="0"/>
              <w:snapToGrid/>
              <w:spacing w:line="50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约定内容</w:t>
            </w:r>
          </w:p>
        </w:tc>
      </w:tr>
      <w:tr w14:paraId="6CF09BC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noWrap w:val="0"/>
            <w:vAlign w:val="center"/>
          </w:tcPr>
          <w:p w14:paraId="45353FDE">
            <w:pPr>
              <w:keepNext w:val="0"/>
              <w:keepLines w:val="0"/>
              <w:pageBreakBefore w:val="0"/>
              <w:widowControl w:val="0"/>
              <w:kinsoku/>
              <w:wordWrap/>
              <w:autoSpaceDE w:val="0"/>
              <w:autoSpaceDN w:val="0"/>
              <w:bidi w:val="0"/>
              <w:adjustRightInd w:val="0"/>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1</w:t>
            </w:r>
          </w:p>
        </w:tc>
        <w:tc>
          <w:tcPr>
            <w:tcW w:w="7633" w:type="dxa"/>
            <w:noWrap w:val="0"/>
            <w:vAlign w:val="center"/>
          </w:tcPr>
          <w:p w14:paraId="068208D1">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t>按照磋商文件</w:t>
            </w:r>
            <w:r>
              <w:rPr>
                <w:rFonts w:hint="eastAsia" w:ascii="仿宋" w:hAnsi="仿宋" w:eastAsia="仿宋" w:cs="仿宋"/>
                <w:b/>
                <w:i/>
                <w:sz w:val="28"/>
                <w:szCs w:val="28"/>
                <w:u w:val="single"/>
                <w:lang w:val="en-US" w:eastAsia="zh-CN"/>
              </w:rPr>
              <w:t>采购要求与需求</w:t>
            </w:r>
            <w:r>
              <w:rPr>
                <w:rFonts w:hint="eastAsia" w:ascii="仿宋" w:hAnsi="仿宋" w:eastAsia="仿宋" w:cs="仿宋"/>
                <w:sz w:val="28"/>
                <w:szCs w:val="28"/>
              </w:rPr>
              <w:t>的约定执行。</w:t>
            </w:r>
          </w:p>
        </w:tc>
      </w:tr>
      <w:tr w14:paraId="51E95E6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1BCFDF2C">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58515097">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2B0101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5ED61674">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5198BCB6">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0B3E4A9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559CA7B3">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4BD937EC">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450007B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1348EC70">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5BA97E0E">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u w:val="single"/>
              </w:rPr>
            </w:pPr>
          </w:p>
        </w:tc>
      </w:tr>
      <w:tr w14:paraId="659B845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5DA12185">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3886EB6B">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3163BE1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33B5E034">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17028AD9">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u w:val="single"/>
              </w:rPr>
            </w:pPr>
          </w:p>
        </w:tc>
      </w:tr>
      <w:tr w14:paraId="6179348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509A043D">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42D5F064">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1EA1874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5D67FDC1">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6BDFBDF7">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0658F9F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0A4A567B">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111559B7">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4932BA7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14:paraId="27D9783A">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14:paraId="23EFE7F9">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421B662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14:paraId="65F8680B">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14:paraId="3A50C9D2">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bl>
    <w:p w14:paraId="3F4A3A53">
      <w:pPr>
        <w:keepNext w:val="0"/>
        <w:keepLines w:val="0"/>
        <w:pageBreakBefore w:val="0"/>
        <w:widowControl w:val="0"/>
        <w:tabs>
          <w:tab w:val="left" w:pos="1155"/>
        </w:tabs>
        <w:kinsoku/>
        <w:wordWrap/>
        <w:overflowPunct w:val="0"/>
        <w:topLinePunct/>
        <w:autoSpaceDE w:val="0"/>
        <w:autoSpaceDN w:val="0"/>
        <w:bidi w:val="0"/>
        <w:adjustRightInd w:val="0"/>
        <w:snapToGrid/>
        <w:spacing w:line="500" w:lineRule="exact"/>
        <w:ind w:firstLine="548" w:firstLineChars="196"/>
        <w:jc w:val="both"/>
        <w:textAlignment w:val="auto"/>
        <w:rPr>
          <w:rFonts w:hint="eastAsia" w:ascii="仿宋" w:hAnsi="仿宋" w:eastAsia="仿宋" w:cs="仿宋"/>
          <w:b/>
          <w:sz w:val="28"/>
          <w:szCs w:val="28"/>
        </w:rPr>
      </w:pPr>
      <w:r>
        <w:rPr>
          <w:rFonts w:hint="eastAsia" w:ascii="仿宋" w:hAnsi="仿宋" w:eastAsia="仿宋" w:cs="仿宋"/>
          <w:sz w:val="28"/>
          <w:szCs w:val="28"/>
        </w:rPr>
        <w:t>注：最终以成交供应商响应文件响应条款为准修订。</w:t>
      </w:r>
    </w:p>
    <w:p w14:paraId="421AE5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kNTM5ODg4ZDA0MjI5MDA5NDFhZTRjYjdhNTc0MzcifQ=="/>
  </w:docVars>
  <w:rsids>
    <w:rsidRoot w:val="194C6A8A"/>
    <w:rsid w:val="194C6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customStyle="1" w:styleId="5">
    <w:name w:val="纯文本1"/>
    <w:basedOn w:val="1"/>
    <w:qFormat/>
    <w:uiPriority w:val="0"/>
    <w:rPr>
      <w:rFonts w:ascii="宋体" w:hAnsi="Courier New"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2024-09-02T10:49:00Z</dcterms:created>
  <dc:creator>信禾工程项目管理</dc:creator>
  <cp:lastModifiedBy>信禾工程项目管理</cp:lastModifiedBy>
  <dcterms:modified xsi:type="dcterms:W3CDTF">2024-09-02T10:50:03Z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B449525FFD144B819D9DFACA38CBF26F_11</vt:lpwstr>
  </property>
</Properties>
</file>