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举办2024年全国老年人太极拳交流活动采购项目(二次)</w:t>
      </w:r>
    </w:p>
    <w:p>
      <w:pPr>
        <w:pStyle w:val="null3"/>
        <w:jc w:val="center"/>
        <w:outlineLvl w:val="5"/>
      </w:pPr>
      <w:r>
        <w:rPr>
          <w:sz w:val="15"/>
          <w:b/>
        </w:rPr>
        <w:t xml:space="preserve">采购项目编号: </w:t>
      </w:r>
      <w:r>
        <w:rPr>
          <w:sz w:val="15"/>
          <w:b/>
        </w:rPr>
        <w:t>SDZC2024-227</w:t>
      </w:r>
      <w:r>
        <w:br/>
      </w:r>
      <w:r>
        <w:br/>
      </w:r>
      <w:r>
        <w:br/>
      </w:r>
    </w:p>
    <w:p>
      <w:pPr>
        <w:pStyle w:val="null3"/>
        <w:jc w:val="center"/>
        <w:outlineLvl w:val="5"/>
      </w:pPr>
      <w:r>
        <w:rPr>
          <w:sz w:val="15"/>
          <w:b/>
        </w:rPr>
        <w:t>陕西省体育局机关</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2024年09月03日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陕西省体育局机关</w:t>
      </w:r>
      <w:r>
        <w:rPr/>
        <w:t>委托，拟对</w:t>
      </w:r>
      <w:r>
        <w:rPr/>
        <w:t>举办2024年全国老年人太极拳交流活动采购项目(二次)</w:t>
      </w:r>
      <w:r>
        <w:rPr/>
        <w:t>采用单一来源方式进行采购，现邀请贵公司参加该项目的协商。</w:t>
      </w:r>
    </w:p>
    <w:p>
      <w:pPr>
        <w:pStyle w:val="null3"/>
        <w:outlineLvl w:val="2"/>
      </w:pPr>
      <w:r>
        <w:rPr>
          <w:sz w:val="28"/>
          <w:b/>
        </w:rPr>
        <w:t xml:space="preserve"> 一、采购项目编号：</w:t>
      </w:r>
      <w:r>
        <w:rPr>
          <w:sz w:val="28"/>
          <w:b/>
        </w:rPr>
        <w:t>SDZC2024-227</w:t>
      </w:r>
    </w:p>
    <w:p>
      <w:pPr>
        <w:pStyle w:val="null3"/>
        <w:outlineLvl w:val="2"/>
      </w:pPr>
      <w:r>
        <w:rPr>
          <w:sz w:val="28"/>
          <w:b/>
        </w:rPr>
        <w:t xml:space="preserve"> 二、采购项目名称：</w:t>
      </w:r>
      <w:r>
        <w:rPr>
          <w:sz w:val="28"/>
          <w:b/>
        </w:rPr>
        <w:t>举办2024年全国老年人太极拳交流活动采购项目(二次)</w:t>
      </w:r>
    </w:p>
    <w:p>
      <w:pPr>
        <w:pStyle w:val="null3"/>
        <w:outlineLvl w:val="2"/>
      </w:pPr>
      <w:r>
        <w:rPr>
          <w:sz w:val="28"/>
          <w:b/>
        </w:rPr>
        <w:t>三、协商项目简介：</w:t>
      </w:r>
    </w:p>
    <w:p>
      <w:pPr>
        <w:pStyle w:val="null3"/>
        <w:ind w:firstLine="480"/>
      </w:pPr>
      <w:r>
        <w:rPr/>
        <w:t>举办2024年全国老年人太极拳交流活动</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1、具有独立承担民事责任的能力：具有独立承担民事责任的能力；（提供书面声明，加盖供应商公章）；供应商需在项目电子化交易系统中按要求上传相应证明文件并进行电子签章。</w:t>
      </w:r>
    </w:p>
    <w:p>
      <w:pPr>
        <w:pStyle w:val="null3"/>
      </w:pPr>
      <w:r>
        <w:rPr/>
        <w:t>2、具有良好的商业信誉和健全的财务会计制度，具有依法缴纳税收和社会保障金的良好记录：具有良好的商业信誉和健全的财务会计制度，具有依法缴纳税收和社会保障金的良好记录；（提供书面声明，加盖供应商公章）；供应商需在项目电子化交易系统中按要求上传相应证明文件并进行电子签章。</w:t>
      </w:r>
    </w:p>
    <w:p>
      <w:pPr>
        <w:pStyle w:val="null3"/>
      </w:pPr>
      <w:r>
        <w:rPr/>
        <w:t>3、说明及承诺：提供具有履行本合同所必需的设备和专业技术能力的说明及承诺；（提供书面说明及承诺，加盖供应商公章）；供应商需在项目电子化交易系统中按要求上传相应证明文件并进行电子签章。</w:t>
      </w:r>
    </w:p>
    <w:p>
      <w:pPr>
        <w:pStyle w:val="null3"/>
      </w:pPr>
      <w:r>
        <w:rPr/>
        <w:t>4、声明：提供参加政府采购活动前三年内在经营活动中没有重大违法记录的书面声明。（提供书面声明，加盖供应商公章）；供应商需在项目电子化交易系统中按要求上传相应证明文件并进行电子签章。</w:t>
      </w:r>
    </w:p>
    <w:p>
      <w:pPr>
        <w:pStyle w:val="null3"/>
      </w:pPr>
      <w:r>
        <w:rPr/>
        <w:t>5、合法注册的法人或其他组织，并出具合法有效的营业执照/事业单位法人证书/非企业专业服务机构执业许可证/民办非企业单位登记证书：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p>
      <w:pPr>
        <w:pStyle w:val="null3"/>
      </w:pPr>
      <w:r>
        <w:rPr/>
        <w:t>6、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p>
      <w:pPr>
        <w:pStyle w:val="null3"/>
      </w:pPr>
      <w:r>
        <w:rPr/>
        <w:t>7、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陕西省体育局机关</w:t>
      </w:r>
    </w:p>
    <w:p>
      <w:pPr>
        <w:pStyle w:val="null3"/>
      </w:pPr>
      <w:r>
        <w:rPr/>
        <w:t xml:space="preserve"> 地址： </w:t>
      </w:r>
      <w:r>
        <w:rPr/>
        <w:t>西安市碑林区长安北路14号</w:t>
      </w:r>
    </w:p>
    <w:p>
      <w:pPr>
        <w:pStyle w:val="null3"/>
      </w:pPr>
      <w:r>
        <w:rPr/>
        <w:t xml:space="preserve"> 邮编： </w:t>
      </w:r>
      <w:r>
        <w:rPr/>
        <w:t>710061</w:t>
      </w:r>
    </w:p>
    <w:p>
      <w:pPr>
        <w:pStyle w:val="null3"/>
      </w:pPr>
      <w:r>
        <w:rPr/>
        <w:t xml:space="preserve"> 联系人： </w:t>
      </w:r>
      <w:r>
        <w:rPr/>
        <w:t>常老师</w:t>
      </w:r>
    </w:p>
    <w:p>
      <w:pPr>
        <w:pStyle w:val="null3"/>
      </w:pPr>
      <w:r>
        <w:rPr/>
        <w:t xml:space="preserve"> 联系电话： </w:t>
      </w:r>
      <w:r>
        <w:rPr/>
        <w:t>029-83690926</w:t>
      </w:r>
    </w:p>
    <w:p>
      <w:pPr>
        <w:pStyle w:val="null3"/>
        <w:outlineLvl w:val="2"/>
      </w:pPr>
      <w:r>
        <w:rPr>
          <w:sz w:val="28"/>
          <w:b/>
        </w:rPr>
        <w:t xml:space="preserve"> 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赵倩茹（9号工位）、杨宗峰</w:t>
      </w:r>
    </w:p>
    <w:p>
      <w:pPr>
        <w:pStyle w:val="null3"/>
      </w:pPr>
      <w:r>
        <w:rPr/>
        <w:t xml:space="preserve"> 联系电话： </w:t>
      </w:r>
      <w:r>
        <w:rPr/>
        <w:t>029-86673953/86518381/89299829/89293231转8009</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3. （1）开户行名称：陕西上德招标有限公司 （2）开 户 行：西安银行股份有限公司文景路支行 （3）账 号：707011510000013522 （4）财务部联系方式：029-86673953、029-86518381、029-89299829、029-89293231 转8033 备注：投标人在汇款（招标代理服务费）时须注明项目编号+项目简称</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陕西省体育局机关</w:t>
      </w:r>
      <w:r>
        <w:rPr/>
        <w:t>和</w:t>
      </w:r>
      <w:r>
        <w:rPr/>
        <w:t>陕西上德招标有限公司</w:t>
      </w:r>
      <w:r>
        <w:rPr/>
        <w:t>享有。对采购文件中供应商参加本次政府采购活动应当具备的条件、项目技术、服务、商务及其他要求，评审标准由采购人负责解释。除前述采购文件内容，其他内容由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陕西省体育局机关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符合国家规范，服务期间提供保障的服务达到采购方要求标准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举办2024年全国老年人太极拳交流活动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赛事活动组织</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标的名称：赛事活动组织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名称</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内容要求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项目名称</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举办</w:t>
                  </w:r>
                  <w:r>
                    <w:rPr>
                      <w:rFonts w:ascii="宋体" w:hAnsi="宋体" w:cs="宋体" w:eastAsia="宋体"/>
                      <w:sz w:val="28"/>
                    </w:rPr>
                    <w:t>2024年全国老年人太极拳交流活动</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预算金额（万元）</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50万元</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活动地点</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西安</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活动安排、</w:t>
                  </w:r>
                </w:p>
                <w:p>
                  <w:pPr>
                    <w:pStyle w:val="null3"/>
                  </w:pPr>
                  <w:r>
                    <w:rPr>
                      <w:rFonts w:ascii="宋体" w:hAnsi="宋体" w:cs="宋体" w:eastAsia="宋体"/>
                      <w:sz w:val="28"/>
                    </w:rPr>
                    <w:t>举办时间、天数</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根据采购人要求安排活动时间，为期</w:t>
                  </w:r>
                  <w:r>
                    <w:rPr>
                      <w:rFonts w:ascii="宋体" w:hAnsi="宋体" w:cs="宋体" w:eastAsia="宋体"/>
                      <w:sz w:val="28"/>
                    </w:rPr>
                    <w:t>2个月</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活动规模、</w:t>
                  </w:r>
                </w:p>
                <w:p>
                  <w:pPr>
                    <w:pStyle w:val="null3"/>
                  </w:pPr>
                  <w:r>
                    <w:rPr>
                      <w:rFonts w:ascii="宋体" w:hAnsi="宋体" w:cs="宋体" w:eastAsia="宋体"/>
                      <w:sz w:val="28"/>
                    </w:rPr>
                    <w:t>参与人员及人数</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活动人数：</w:t>
                  </w:r>
                  <w:r>
                    <w:rPr>
                      <w:rFonts w:ascii="宋体" w:hAnsi="宋体" w:cs="宋体" w:eastAsia="宋体"/>
                      <w:sz w:val="28"/>
                    </w:rPr>
                    <w:t>700余人</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需投入的设备、</w:t>
                  </w:r>
                </w:p>
                <w:p>
                  <w:pPr>
                    <w:pStyle w:val="null3"/>
                  </w:pPr>
                  <w:r>
                    <w:rPr>
                      <w:rFonts w:ascii="宋体" w:hAnsi="宋体" w:cs="宋体" w:eastAsia="宋体"/>
                      <w:sz w:val="28"/>
                    </w:rPr>
                    <w:t>材料、仪器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服装、音响、话筒、摄像机、照相机、以及太极拳活动所需配套的器材</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媒体宣传推广</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媒体宣传包含但不限于：中省主流媒体报道，微信、微博、抖音等新媒体等。邀请西安当地媒体现场采访并进行及时报道。</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后勤保障</w:t>
                  </w:r>
                </w:p>
                <w:p>
                  <w:pPr>
                    <w:pStyle w:val="null3"/>
                  </w:pPr>
                  <w:r>
                    <w:rPr>
                      <w:rFonts w:ascii="宋体" w:hAnsi="宋体" w:cs="宋体" w:eastAsia="宋体"/>
                      <w:sz w:val="28"/>
                    </w:rPr>
                    <w:t>（交通、住宿、</w:t>
                  </w:r>
                </w:p>
                <w:p>
                  <w:pPr>
                    <w:pStyle w:val="null3"/>
                  </w:pPr>
                  <w:r>
                    <w:rPr>
                      <w:rFonts w:ascii="宋体" w:hAnsi="宋体" w:cs="宋体" w:eastAsia="宋体"/>
                      <w:sz w:val="28"/>
                    </w:rPr>
                    <w:t>餐饮等）</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一、食宿保障。首先做好食品供应服务是十分重要的环节，活动期间所有参赛人员及相关工作人员原则上应到项目活动统一安排的食堂就餐，餐饮安排由当天明确的组织人员统一标准上报，统一安排。若有特殊情况由后勤活动总负责人亲自安排。以上所有情况须有对接人员全程参与协调解决。住宿安排须由明确的工作人员统一组织，包括住宿登记、房卡的发放、住宿期间所产生的一切问题以及退房事宜。住宿地是赛事参与人员主要的聚集地，也是参赛人员停留时间最长的地方。除了把</w:t>
                  </w:r>
                  <w:r>
                    <w:rPr>
                      <w:rFonts w:ascii="宋体" w:hAnsi="宋体" w:cs="宋体" w:eastAsia="宋体"/>
                      <w:sz w:val="28"/>
                    </w:rPr>
                    <w:t>“安全、安静、舒适、卫生”放在首位外，住宿地应尽量安排在活动场地附近，尽量保证“公平待遇、便捷”，还要兼顾不同体型参赛人员的需求。安排专门工作人员进行协调和管理。</w:t>
                  </w:r>
                </w:p>
                <w:p>
                  <w:pPr>
                    <w:pStyle w:val="null3"/>
                  </w:pPr>
                  <w:r>
                    <w:rPr>
                      <w:rFonts w:ascii="宋体" w:hAnsi="宋体" w:cs="宋体" w:eastAsia="宋体"/>
                      <w:sz w:val="28"/>
                    </w:rPr>
                    <w:t>二、交通保障。交通保障分为项目活动公共交通用车，项目活动工作人员常规用车，活动期间紧急车辆调度。</w:t>
                  </w:r>
                  <w:r>
                    <w:rPr>
                      <w:rFonts w:ascii="宋体" w:hAnsi="宋体" w:cs="宋体" w:eastAsia="宋体"/>
                      <w:sz w:val="28"/>
                    </w:rPr>
                    <w:t>1、公共交通安排，租赁大巴车辆接送参赛活动人员。按照设定好的行驶路线安全行驶。2、项目活动工作人员车辆两台，用于项目活动期间保障用车。3、所有车辆司机在任务执行完毕，需向后勤车辆负责人汇报，在项目活动场地待命。所有车辆调配需由后勤车辆负责人统一调配。</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场馆</w:t>
                  </w:r>
                  <w:r>
                    <w:rPr>
                      <w:rFonts w:ascii="宋体" w:hAnsi="宋体" w:cs="宋体" w:eastAsia="宋体"/>
                      <w:sz w:val="28"/>
                    </w:rPr>
                    <w:t>/场地布置      （面积大小、要求等）</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比赛场地为室内场地，约</w:t>
                  </w:r>
                  <w:r>
                    <w:rPr>
                      <w:rFonts w:ascii="宋体" w:hAnsi="宋体" w:cs="宋体" w:eastAsia="宋体"/>
                      <w:sz w:val="28"/>
                    </w:rPr>
                    <w:t>8000㎡。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商务开发</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无</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运动员服务、</w:t>
                  </w:r>
                </w:p>
                <w:p>
                  <w:pPr>
                    <w:pStyle w:val="null3"/>
                  </w:pPr>
                  <w:r>
                    <w:rPr>
                      <w:rFonts w:ascii="宋体" w:hAnsi="宋体" w:cs="宋体" w:eastAsia="宋体"/>
                      <w:sz w:val="28"/>
                    </w:rPr>
                    <w:t>志愿者服务</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能招募积极热情、良好习惯，有较强的合作意识的参加志愿服务工作，在活动期间负责比赛场地的引导，维持看台观众秩序，协调场内事务，由承办方负责</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医疗救援工作</w:t>
                  </w:r>
                </w:p>
                <w:p>
                  <w:pPr>
                    <w:pStyle w:val="null3"/>
                  </w:pPr>
                  <w:r>
                    <w:rPr>
                      <w:rFonts w:ascii="宋体" w:hAnsi="宋体" w:cs="宋体" w:eastAsia="宋体"/>
                      <w:sz w:val="28"/>
                    </w:rPr>
                    <w:t>（活动现场救护人员、救护车、救护仪器等）</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有完善的医疗保障方案和相关医疗保障人员和设备，派驻两名医护人员以及救护仪器，在项目活动场地现场处理突发的紧急事故。</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活动安保工作</w:t>
                  </w:r>
                  <w:r>
                    <w:rPr>
                      <w:rFonts w:ascii="宋体" w:hAnsi="宋体" w:cs="宋体" w:eastAsia="宋体"/>
                      <w:sz w:val="28"/>
                    </w:rPr>
                    <w:t>（配备安保人员及要求）</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有完善的安保方案以及不低于</w:t>
                  </w:r>
                  <w:r>
                    <w:rPr>
                      <w:rFonts w:ascii="宋体" w:hAnsi="宋体" w:cs="宋体" w:eastAsia="宋体"/>
                      <w:sz w:val="28"/>
                    </w:rPr>
                    <w:t>40人或与活动规模相适应的安保力量。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活动财务工作（资金分配要求）</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1、场地租赁费</w:t>
                  </w:r>
                </w:p>
                <w:p>
                  <w:pPr>
                    <w:pStyle w:val="null3"/>
                  </w:pPr>
                  <w:r>
                    <w:rPr>
                      <w:rFonts w:ascii="宋体" w:hAnsi="宋体" w:cs="宋体" w:eastAsia="宋体"/>
                      <w:sz w:val="28"/>
                    </w:rPr>
                    <w:t>2、场地布置费（包含背景板设计、音响、搭建主席台）</w:t>
                  </w:r>
                </w:p>
                <w:p>
                  <w:pPr>
                    <w:pStyle w:val="null3"/>
                  </w:pPr>
                  <w:r>
                    <w:rPr>
                      <w:rFonts w:ascii="宋体" w:hAnsi="宋体" w:cs="宋体" w:eastAsia="宋体"/>
                      <w:sz w:val="28"/>
                    </w:rPr>
                    <w:t>3、裁判费</w:t>
                  </w:r>
                </w:p>
                <w:p>
                  <w:pPr>
                    <w:pStyle w:val="null3"/>
                  </w:pPr>
                  <w:r>
                    <w:rPr>
                      <w:rFonts w:ascii="宋体" w:hAnsi="宋体" w:cs="宋体" w:eastAsia="宋体"/>
                      <w:sz w:val="28"/>
                    </w:rPr>
                    <w:t>4、交通租车费</w:t>
                  </w:r>
                </w:p>
                <w:p>
                  <w:pPr>
                    <w:pStyle w:val="null3"/>
                  </w:pPr>
                  <w:r>
                    <w:rPr>
                      <w:rFonts w:ascii="宋体" w:hAnsi="宋体" w:cs="宋体" w:eastAsia="宋体"/>
                      <w:sz w:val="28"/>
                    </w:rPr>
                    <w:t>5、媒体宣传费</w:t>
                  </w:r>
                </w:p>
                <w:p>
                  <w:pPr>
                    <w:pStyle w:val="null3"/>
                  </w:pPr>
                  <w:r>
                    <w:rPr>
                      <w:rFonts w:ascii="宋体" w:hAnsi="宋体" w:cs="宋体" w:eastAsia="宋体"/>
                      <w:sz w:val="28"/>
                    </w:rPr>
                    <w:t>6、开幕式训练和演出费</w:t>
                  </w:r>
                </w:p>
                <w:p>
                  <w:pPr>
                    <w:pStyle w:val="null3"/>
                  </w:pPr>
                  <w:r>
                    <w:rPr>
                      <w:rFonts w:ascii="宋体" w:hAnsi="宋体" w:cs="宋体" w:eastAsia="宋体"/>
                      <w:sz w:val="28"/>
                    </w:rPr>
                    <w:t>7、各代表队食宿补差和工作人员食宿费用</w:t>
                  </w:r>
                </w:p>
                <w:p>
                  <w:pPr>
                    <w:pStyle w:val="null3"/>
                  </w:pPr>
                  <w:r>
                    <w:rPr>
                      <w:rFonts w:ascii="宋体" w:hAnsi="宋体" w:cs="宋体" w:eastAsia="宋体"/>
                      <w:sz w:val="28"/>
                    </w:rPr>
                    <w:t>8、参赛证、奖牌、秩序册、成绩册制作费</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应急预案</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有完善的应急预案以及和活动规模相适应的应急救援力量。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开闭幕式策划及演出</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1.会场开幕式现场气拱门、彩旗、横幅若干。</w:t>
                  </w:r>
                </w:p>
                <w:p>
                  <w:pPr>
                    <w:pStyle w:val="null3"/>
                  </w:pPr>
                  <w:r>
                    <w:rPr>
                      <w:rFonts w:ascii="宋体" w:hAnsi="宋体" w:cs="宋体" w:eastAsia="宋体"/>
                      <w:sz w:val="28"/>
                    </w:rPr>
                    <w:t>2.活动现场视频摄像、视频制作</w:t>
                  </w:r>
                </w:p>
                <w:p>
                  <w:pPr>
                    <w:pStyle w:val="null3"/>
                  </w:pPr>
                  <w:r>
                    <w:rPr>
                      <w:rFonts w:ascii="宋体" w:hAnsi="宋体" w:cs="宋体" w:eastAsia="宋体"/>
                      <w:sz w:val="28"/>
                    </w:rPr>
                    <w:t>3.活动全程邀请主流媒体现场采访并进行及时报道</w:t>
                  </w:r>
                </w:p>
                <w:p>
                  <w:pPr>
                    <w:pStyle w:val="null3"/>
                  </w:pPr>
                  <w:r>
                    <w:rPr>
                      <w:rFonts w:ascii="宋体" w:hAnsi="宋体" w:cs="宋体" w:eastAsia="宋体"/>
                      <w:sz w:val="28"/>
                    </w:rPr>
                    <w:t>4.开幕式表演</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安全责任划分</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由承办方承担</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购买保险要求</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为所有参加人员购买覆盖活动周期的人身意外伤害险和突发急性病身故险。</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预期成果、效果</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根据中国老体协要求，为全国各地老年太极拳爱好者展示技艺、学习交流提供了难得的机遇，对贯彻实施全民健身和积极应对人口老龄化国家战略，推进健康中国和体育强国建设，满足老年人体育健身的多元化需求，发挥全国老年人体育赛事的示范引领作用具有十分重要的意义。</w:t>
                  </w:r>
                </w:p>
                <w:p>
                  <w:pPr>
                    <w:pStyle w:val="null3"/>
                  </w:pPr>
                  <w:r>
                    <w:rPr>
                      <w:rFonts w:ascii="宋体" w:hAnsi="宋体" w:cs="宋体" w:eastAsia="宋体"/>
                      <w:sz w:val="28"/>
                    </w:rPr>
                    <w:t>通过举办重要的全国性老年人体育交流活动，也为陕西省和西安市创造了一个举办大型活动实践机会，既锻炼了队伍、更学习积累了丰富的办赛经验，也为今后进一步推动老年人体育活动实现高质量发展打下良好的基础。</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其它要求</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无</w:t>
                  </w:r>
                </w:p>
              </w:tc>
            </w:tr>
          </w:tbl>
          <w:p/>
        </w:tc>
      </w:tr>
    </w:tbl>
    <w:p>
      <w:pPr>
        <w:pStyle w:val="null3"/>
        <w:outlineLvl w:val="3"/>
      </w:pPr>
      <w:r>
        <w:rPr>
          <w:sz w:val="24"/>
          <w:b/>
        </w:rPr>
        <w:t>3.2.3人员配置要求</w:t>
      </w:r>
    </w:p>
    <w:p>
      <w:pPr>
        <w:pStyle w:val="null3"/>
      </w:pPr>
      <w:r>
        <w:rPr/>
        <w:t>采购包1：</w:t>
      </w:r>
    </w:p>
    <w:p>
      <w:pPr>
        <w:pStyle w:val="null3"/>
      </w:pPr>
      <w:r>
        <w:rPr/>
        <w:t>根据项目需求配置</w:t>
      </w:r>
    </w:p>
    <w:p>
      <w:pPr>
        <w:pStyle w:val="null3"/>
        <w:outlineLvl w:val="3"/>
      </w:pPr>
      <w:r>
        <w:rPr>
          <w:sz w:val="24"/>
          <w:b/>
        </w:rPr>
        <w:t>3.2.4设施设备要求</w:t>
      </w:r>
    </w:p>
    <w:p>
      <w:pPr>
        <w:pStyle w:val="null3"/>
      </w:pPr>
      <w:r>
        <w:rPr/>
        <w:t>采购包1：</w:t>
      </w:r>
    </w:p>
    <w:p>
      <w:pPr>
        <w:pStyle w:val="null3"/>
      </w:pPr>
      <w:r>
        <w:rPr/>
        <w:t>根据项目需求配置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根据采购人要求提供完整服务</w:t>
      </w:r>
    </w:p>
    <w:p>
      <w:pPr>
        <w:pStyle w:val="null3"/>
        <w:outlineLvl w:val="3"/>
      </w:pPr>
      <w:r>
        <w:rPr>
          <w:sz w:val="24"/>
          <w:b/>
        </w:rPr>
        <w:t>3.3.2服务地点</w:t>
      </w:r>
    </w:p>
    <w:p>
      <w:pPr>
        <w:pStyle w:val="null3"/>
      </w:pPr>
      <w:r>
        <w:rPr/>
        <w:t>采购包1：</w:t>
      </w:r>
    </w:p>
    <w:p>
      <w:pPr>
        <w:pStyle w:val="null3"/>
      </w:pPr>
      <w:r>
        <w:rPr/>
        <w:t>根据活动需求确定</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甲方收到乙方提供的经项目实施管理方签署的“政府采购项目（服务）验收结果报告单”及合同总金额等额发票，甲方审查合格后的15个工作日内向乙方支付100%合同款项</w:t>
      </w:r>
      <w:r>
        <w:rPr/>
        <w:t xml:space="preserve"> ，达到付款条件起 </w:t>
      </w:r>
      <w:r>
        <w:rPr/>
        <w:t>15</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符合国家规范，服务期间提供保障的服务达到采购方要求标准</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2.未按合同要求的提供服务或服务质量不能满足甲方要求，甲方有权终止合同，甚至对乙方违约行为进行追究: 3.如有纠纷，双方友好协商解决，协商不成时可诉讼到甲方所在地人民法院解决。</w:t>
      </w:r>
    </w:p>
    <w:p>
      <w:pPr>
        <w:pStyle w:val="null3"/>
        <w:outlineLvl w:val="2"/>
      </w:pPr>
      <w:r>
        <w:rPr>
          <w:sz w:val="28"/>
          <w:b/>
        </w:rPr>
        <w:t>3.4其他要求</w:t>
      </w:r>
    </w:p>
    <w:p>
      <w:pPr>
        <w:pStyle w:val="null3"/>
      </w:pPr>
      <w:r>
        <w:rPr/>
        <w:t>采购包1：</w:t>
      </w:r>
    </w:p>
    <w:p>
      <w:pPr>
        <w:pStyle w:val="null3"/>
      </w:pPr>
      <w:r>
        <w:rPr/>
        <w:t>一、质量要求：符合国家规范，服务期间提供保障的服务达到采购方要求标准。 二、其他事项 1.采购、单一来源采购活动受国家法律保护和约束。采购单一来源采购双方遵守法律、法规和职业道德，凡在单一来源采购过程中弄虚作假，一经查出，追究责任方的法律、经济责任。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4.成交单位不得对赛事服务业务分包或转包。否则招标人有权终止合同，成交单位要承担由此造成的一切经济损失。 5.成交单位不得在服务期间对项目管理人员进行更换，如遇特殊情况须经招标人同意；招标人发现项目管理人员工作不力时，有权提出更换人员，更换的人员必须及时到场。 三、成交人在领取成交通知书时提供一正两副纸质单一来源采购响应文件，纸质单一来源采购响应文件采用书籍（胶装）方式装订成册，与电子单一来源采购响应文件一致的签字、盖章的完整版本。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具有独立承担民事责任的能力；（提供书面声明，加盖供应商公章）；供应商需在项目电子化交易系统中按要求上传相应证明文件并进行电子签章。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具有良好的商业信誉和健全的财务会计制度，具有依法缴纳税收和社会保障金的良好记录</w:t>
            </w:r>
          </w:p>
        </w:tc>
        <w:tc>
          <w:tcPr>
            <w:tcW w:type="dxa" w:w="3322"/>
          </w:tcPr>
          <w:p>
            <w:pPr>
              <w:pStyle w:val="null3"/>
            </w:pPr>
            <w:r>
              <w:rPr/>
              <w:t>具有良好的商业信誉和健全的财务会计制度，具有依法缴纳税收和社会保障金的良好记录；（提供书面声明，加盖供应商公章）；供应商需在项目电子化交易系统中按要求上传相应证明文件并进行电子签章。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说明及承诺</w:t>
            </w:r>
          </w:p>
        </w:tc>
        <w:tc>
          <w:tcPr>
            <w:tcW w:type="dxa" w:w="3322"/>
          </w:tcPr>
          <w:p>
            <w:pPr>
              <w:pStyle w:val="null3"/>
            </w:pPr>
            <w:r>
              <w:rPr/>
              <w:t>提供具有履行本合同所必需的设备和专业技术能力的说明及承诺；（提供书面说明及承诺，加盖供应商公章）；供应商需在项目电子化交易系统中按要求上传相应证明文件并进行电子签章。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声明</w:t>
            </w:r>
          </w:p>
        </w:tc>
        <w:tc>
          <w:tcPr>
            <w:tcW w:type="dxa" w:w="3322"/>
          </w:tcPr>
          <w:p>
            <w:pPr>
              <w:pStyle w:val="null3"/>
            </w:pPr>
            <w:r>
              <w:rPr/>
              <w:t>提供参加政府采购活动前三年内在经营活动中没有重大违法记录的书面声明。（提供书面声明，加盖供应商公章）；供应商需在项目电子化交易系统中按要求上传相应证明文件并进行电子签章。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合法注册的法人或其他组织，并出具合法有效的营业执照/事业单位法人证书/非企业专业服务机构执业许可证/民办非企业单位登记证书</w:t>
            </w:r>
          </w:p>
        </w:tc>
        <w:tc>
          <w:tcPr>
            <w:tcW w:type="dxa" w:w="3322"/>
          </w:tcPr>
          <w:p>
            <w:pPr>
              <w:pStyle w:val="null3"/>
            </w:pPr>
            <w:r>
              <w:rPr/>
              <w:t>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供应商名称与登记领取单一来源采购文件的单位名称一致</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5</w:t>
            </w:r>
          </w:p>
        </w:tc>
        <w:tc>
          <w:tcPr>
            <w:tcW w:type="dxa" w:w="2492"/>
          </w:tcPr>
          <w:p>
            <w:pPr>
              <w:pStyle w:val="null3"/>
            </w:pPr>
            <w:r>
              <w:rPr/>
              <w:t>格式编制</w:t>
            </w:r>
          </w:p>
        </w:tc>
        <w:tc>
          <w:tcPr>
            <w:tcW w:type="dxa" w:w="3322"/>
          </w:tcPr>
          <w:p>
            <w:pPr>
              <w:pStyle w:val="null3"/>
            </w:pPr>
            <w:r>
              <w:rPr/>
              <w:t>除明确允许供应商可以自行编写的外，单一来源采购响应文件按照单一来源采购文件给定的格式编制</w:t>
            </w:r>
          </w:p>
        </w:tc>
        <w:tc>
          <w:tcPr>
            <w:tcW w:type="dxa" w:w="1661"/>
          </w:tcPr>
          <w:p>
            <w:pPr>
              <w:pStyle w:val="null3"/>
            </w:pPr>
            <w:r>
              <w:rPr/>
              <w:t>分项报价表 《供应商参与采购活动的承诺函》 中小企业声明函 报价表 商务条款响应偏离表 响应文件封面 资格证明文件 残疾人福利性单位声明函 标的清单 法定代表人授权委托书（格式） 《拒绝政府采购领域商业贿赂承诺书》 响应函 服务内容及技术要求响应偏离表 监狱企业的证明文件</w:t>
            </w:r>
          </w:p>
        </w:tc>
      </w:tr>
      <w:tr>
        <w:tc>
          <w:tcPr>
            <w:tcW w:type="dxa" w:w="831"/>
          </w:tcPr>
          <w:p>
            <w:pPr>
              <w:pStyle w:val="null3"/>
            </w:pPr>
            <w:r>
              <w:rPr/>
              <w:t>6</w:t>
            </w:r>
          </w:p>
        </w:tc>
        <w:tc>
          <w:tcPr>
            <w:tcW w:type="dxa" w:w="2492"/>
          </w:tcPr>
          <w:p>
            <w:pPr>
              <w:pStyle w:val="null3"/>
            </w:pPr>
            <w:r>
              <w:rPr/>
              <w:t>盖章签字</w:t>
            </w:r>
          </w:p>
        </w:tc>
        <w:tc>
          <w:tcPr>
            <w:tcW w:type="dxa" w:w="3322"/>
          </w:tcPr>
          <w:p>
            <w:pPr>
              <w:pStyle w:val="null3"/>
            </w:pPr>
            <w:r>
              <w:rPr/>
              <w:t>单一来源采购响应文件按照单一来源采购文件的要求盖章签字</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7</w:t>
            </w:r>
          </w:p>
        </w:tc>
        <w:tc>
          <w:tcPr>
            <w:tcW w:type="dxa" w:w="2492"/>
          </w:tcPr>
          <w:p>
            <w:pPr>
              <w:pStyle w:val="null3"/>
            </w:pPr>
            <w:r>
              <w:rPr/>
              <w:t>协商报价</w:t>
            </w:r>
          </w:p>
        </w:tc>
        <w:tc>
          <w:tcPr>
            <w:tcW w:type="dxa" w:w="3322"/>
          </w:tcPr>
          <w:p>
            <w:pPr>
              <w:pStyle w:val="null3"/>
            </w:pPr>
            <w:r>
              <w:rPr/>
              <w:t>协商报价不能超过最高限价</w:t>
            </w:r>
          </w:p>
        </w:tc>
        <w:tc>
          <w:tcPr>
            <w:tcW w:type="dxa" w:w="1661"/>
          </w:tcPr>
          <w:p>
            <w:pPr>
              <w:pStyle w:val="null3"/>
            </w:pPr>
            <w:r>
              <w:rPr/>
              <w:t>报价表 响应函</w:t>
            </w:r>
          </w:p>
        </w:tc>
      </w:tr>
      <w:tr>
        <w:tc>
          <w:tcPr>
            <w:tcW w:type="dxa" w:w="831"/>
          </w:tcPr>
          <w:p>
            <w:pPr>
              <w:pStyle w:val="null3"/>
            </w:pPr>
            <w:r>
              <w:rPr/>
              <w:t>8</w:t>
            </w:r>
          </w:p>
        </w:tc>
        <w:tc>
          <w:tcPr>
            <w:tcW w:type="dxa" w:w="2492"/>
          </w:tcPr>
          <w:p>
            <w:pPr>
              <w:pStyle w:val="null3"/>
            </w:pPr>
            <w:r>
              <w:rPr/>
              <w:t>单一来源响应有效期</w:t>
            </w:r>
          </w:p>
        </w:tc>
        <w:tc>
          <w:tcPr>
            <w:tcW w:type="dxa" w:w="3322"/>
          </w:tcPr>
          <w:p>
            <w:pPr>
              <w:pStyle w:val="null3"/>
            </w:pPr>
            <w:r>
              <w:rPr/>
              <w:t>单一来源响应有效期符合单一来源采购文件的要求</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单一来源采购响应文件是否含有采购人不能接受的附加条件</w:t>
            </w:r>
          </w:p>
        </w:tc>
        <w:tc>
          <w:tcPr>
            <w:tcW w:type="dxa" w:w="3322"/>
          </w:tcPr>
          <w:p>
            <w:pPr>
              <w:pStyle w:val="null3"/>
            </w:pPr>
            <w:r>
              <w:rPr/>
              <w:t>单一来源采购响应文件不能含有采购人不能接受的附加条件</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详见附件：服务内容及技术要求响应偏离表</w:t>
      </w:r>
    </w:p>
    <w:p>
      <w:pPr>
        <w:pStyle w:val="null3"/>
        <w:ind w:firstLine="960"/>
      </w:pPr>
      <w:r>
        <w:rPr/>
        <w:t>详见附件：项目组人员配置</w:t>
      </w:r>
    </w:p>
    <w:p>
      <w:pPr>
        <w:pStyle w:val="null3"/>
        <w:ind w:firstLine="960"/>
      </w:pPr>
      <w:r>
        <w:rPr/>
        <w:t>详见附件：服务方案</w:t>
      </w:r>
    </w:p>
    <w:p>
      <w:pPr>
        <w:pStyle w:val="null3"/>
        <w:ind w:firstLine="960"/>
      </w:pPr>
      <w:r>
        <w:rPr/>
        <w:t>详见附件：成功案例</w:t>
      </w:r>
    </w:p>
    <w:p>
      <w:pPr>
        <w:pStyle w:val="null3"/>
        <w:ind w:firstLine="960"/>
      </w:pPr>
      <w:r>
        <w:rPr/>
        <w:t>详见附件：拟投入的设备</w:t>
      </w:r>
    </w:p>
    <w:p>
      <w:pPr>
        <w:pStyle w:val="null3"/>
        <w:ind w:firstLine="960"/>
      </w:pPr>
      <w:r>
        <w:rPr/>
        <w:t>详见附件：供应商认为有必要说明的事宜</w:t>
      </w:r>
    </w:p>
    <w:p>
      <w:pPr>
        <w:pStyle w:val="null3"/>
        <w:ind w:firstLine="960"/>
      </w:pPr>
      <w:r>
        <w:rPr/>
        <w:t>详见附件：《供应商参与采购活动的承诺函》</w:t>
      </w:r>
    </w:p>
    <w:p>
      <w:pPr>
        <w:pStyle w:val="null3"/>
        <w:ind w:firstLine="960"/>
      </w:pPr>
      <w:r>
        <w:rPr/>
        <w:t>详见附件：《拒绝政府采购领域商业贿赂承诺书》</w:t>
      </w:r>
    </w:p>
    <w:p>
      <w:pPr>
        <w:pStyle w:val="null3"/>
        <w:ind w:firstLine="960"/>
      </w:pPr>
      <w:r>
        <w:rPr/>
        <w:t>详见附件：商务条款响应偏离表</w:t>
      </w:r>
    </w:p>
    <w:p>
      <w:pPr>
        <w:pStyle w:val="null3"/>
        <w:ind w:firstLine="960"/>
      </w:pPr>
      <w:r>
        <w:rPr/>
        <w:t>详见附件：法定代表人授权委托书（格式）</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