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3263B5">
      <w:pPr>
        <w:adjustRightInd w:val="0"/>
        <w:snapToGrid w:val="0"/>
        <w:jc w:val="center"/>
        <w:rPr>
          <w:rFonts w:hint="eastAsia" w:ascii="黑体" w:eastAsia="黑体"/>
          <w:sz w:val="36"/>
          <w:szCs w:val="36"/>
        </w:rPr>
      </w:pPr>
      <w:r>
        <w:rPr>
          <w:rFonts w:hint="eastAsia" w:ascii="黑体" w:eastAsia="黑体"/>
          <w:sz w:val="36"/>
          <w:szCs w:val="36"/>
        </w:rPr>
        <w:t>仪器设备类采购合同示范文本</w:t>
      </w:r>
    </w:p>
    <w:p w14:paraId="6857151F">
      <w:pPr>
        <w:adjustRightInd w:val="0"/>
        <w:snapToGrid w:val="0"/>
        <w:jc w:val="center"/>
        <w:rPr>
          <w:rFonts w:hint="eastAsia" w:ascii="黑体" w:eastAsia="黑体"/>
          <w:sz w:val="36"/>
          <w:szCs w:val="36"/>
          <w:lang w:eastAsia="zh-CN"/>
        </w:rPr>
      </w:pPr>
      <w:bookmarkStart w:id="22" w:name="_GoBack"/>
      <w:bookmarkEnd w:id="22"/>
      <w:r>
        <w:rPr>
          <w:rFonts w:hint="eastAsia" w:ascii="黑体" w:eastAsia="黑体"/>
          <w:sz w:val="36"/>
          <w:szCs w:val="36"/>
          <w:lang w:eastAsia="zh-CN"/>
        </w:rPr>
        <w:t>（</w:t>
      </w:r>
      <w:r>
        <w:rPr>
          <w:rFonts w:hint="eastAsia" w:ascii="黑体" w:eastAsia="黑体"/>
          <w:sz w:val="36"/>
          <w:szCs w:val="36"/>
          <w:lang w:val="en-US" w:eastAsia="zh-CN"/>
        </w:rPr>
        <w:t>仅供参考</w:t>
      </w:r>
      <w:r>
        <w:rPr>
          <w:rFonts w:hint="eastAsia" w:ascii="黑体" w:eastAsia="黑体"/>
          <w:sz w:val="36"/>
          <w:szCs w:val="36"/>
          <w:lang w:eastAsia="zh-CN"/>
        </w:rPr>
        <w:t>）</w:t>
      </w:r>
    </w:p>
    <w:p w14:paraId="04F4DEDC">
      <w:pPr>
        <w:spacing w:line="480" w:lineRule="exact"/>
        <w:ind w:firstLine="480" w:firstLineChars="200"/>
        <w:rPr>
          <w:rFonts w:ascii="宋体" w:hAnsi="宋体" w:cs="华文仿宋"/>
          <w:sz w:val="24"/>
        </w:rPr>
      </w:pPr>
    </w:p>
    <w:p w14:paraId="76832274">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甲方：</w:t>
      </w:r>
      <w:r>
        <w:rPr>
          <w:rFonts w:hint="eastAsia" w:cs="华文仿宋" w:asciiTheme="minorEastAsia" w:hAnsiTheme="minorEastAsia" w:eastAsiaTheme="minorEastAsia"/>
          <w:sz w:val="24"/>
          <w:szCs w:val="24"/>
          <w:u w:val="single"/>
        </w:rPr>
        <w:t xml:space="preserve">  西安建筑科技大学   </w:t>
      </w:r>
    </w:p>
    <w:p w14:paraId="10C9FD0D">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乙方：</w:t>
      </w:r>
      <w:r>
        <w:rPr>
          <w:rFonts w:hint="eastAsia" w:cs="华文仿宋" w:asciiTheme="minorEastAsia" w:hAnsiTheme="minorEastAsia" w:eastAsiaTheme="minorEastAsia"/>
          <w:sz w:val="24"/>
          <w:szCs w:val="24"/>
          <w:u w:val="single"/>
        </w:rPr>
        <w:t xml:space="preserve">                     </w:t>
      </w:r>
    </w:p>
    <w:p w14:paraId="35C314B7">
      <w:pPr>
        <w:spacing w:line="480" w:lineRule="exact"/>
        <w:ind w:firstLine="480" w:firstLineChars="200"/>
        <w:rPr>
          <w:rFonts w:ascii="宋体" w:hAnsi="宋体" w:cs="华文仿宋"/>
          <w:sz w:val="24"/>
        </w:rPr>
      </w:pPr>
    </w:p>
    <w:p w14:paraId="30841CBB">
      <w:pPr>
        <w:widowControl/>
        <w:spacing w:line="480" w:lineRule="exact"/>
        <w:ind w:firstLine="482"/>
        <w:jc w:val="left"/>
        <w:rPr>
          <w:rFonts w:ascii="宋体" w:hAnsi="宋体"/>
          <w:kern w:val="0"/>
          <w:sz w:val="24"/>
          <w:szCs w:val="24"/>
        </w:rPr>
      </w:pPr>
      <w:r>
        <w:rPr>
          <w:rFonts w:hint="eastAsia" w:ascii="宋体" w:hAnsi="宋体"/>
          <w:kern w:val="0"/>
          <w:sz w:val="24"/>
          <w:szCs w:val="24"/>
        </w:rPr>
        <w:t>依据《中华人民共和国政府采购法》《中华人民共和国民法典》等相关法律法规，以及</w:t>
      </w:r>
      <w:r>
        <w:rPr>
          <w:rFonts w:hint="eastAsia" w:asciiTheme="minorEastAsia" w:hAnsiTheme="minorEastAsia" w:eastAsiaTheme="minorEastAsia"/>
          <w:kern w:val="0"/>
          <w:sz w:val="24"/>
          <w:szCs w:val="24"/>
          <w:u w:val="single"/>
        </w:rPr>
        <w:t xml:space="preserve">                 </w:t>
      </w:r>
      <w:r>
        <w:rPr>
          <w:rFonts w:hint="eastAsia" w:ascii="宋体" w:hAnsi="宋体"/>
          <w:kern w:val="0"/>
          <w:sz w:val="24"/>
          <w:szCs w:val="24"/>
        </w:rPr>
        <w:t>项目的采购结果，乙方为成交（中标）人。</w:t>
      </w:r>
      <w:r>
        <w:rPr>
          <w:rFonts w:ascii="宋体" w:hAnsi="宋体"/>
          <w:kern w:val="0"/>
          <w:sz w:val="24"/>
          <w:szCs w:val="24"/>
        </w:rPr>
        <w:t>现经甲乙</w:t>
      </w:r>
      <w:r>
        <w:rPr>
          <w:rFonts w:hint="eastAsia" w:ascii="宋体" w:hAnsi="宋体"/>
          <w:kern w:val="0"/>
          <w:sz w:val="24"/>
          <w:szCs w:val="24"/>
        </w:rPr>
        <w:t>双方协商一致，签订本合同。详细技术说明及其他有关合同货物的特定信息等由合同附件予以说明，所有附件及本项目的招标文件、投标文件等均为本合同不可分割之一部分。</w:t>
      </w:r>
    </w:p>
    <w:p w14:paraId="21EB30D7">
      <w:pPr>
        <w:widowControl/>
        <w:spacing w:line="480" w:lineRule="exact"/>
        <w:ind w:firstLine="482"/>
        <w:jc w:val="left"/>
        <w:rPr>
          <w:rFonts w:ascii="宋体" w:hAnsi="宋体"/>
          <w:b/>
          <w:kern w:val="0"/>
          <w:sz w:val="28"/>
          <w:szCs w:val="28"/>
        </w:rPr>
      </w:pPr>
      <w:r>
        <w:rPr>
          <w:rFonts w:hint="eastAsia" w:ascii="宋体" w:hAnsi="宋体"/>
          <w:b/>
          <w:kern w:val="0"/>
          <w:sz w:val="28"/>
          <w:szCs w:val="28"/>
        </w:rPr>
        <w:t>一、合同标的</w:t>
      </w:r>
    </w:p>
    <w:p w14:paraId="63FBE7D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1.标的明细清单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4B140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tcMar>
              <w:top w:w="20" w:type="dxa"/>
              <w:left w:w="20" w:type="dxa"/>
              <w:bottom w:w="0" w:type="dxa"/>
              <w:right w:w="20" w:type="dxa"/>
            </w:tcMar>
            <w:vAlign w:val="center"/>
          </w:tcPr>
          <w:p w14:paraId="33B132BC">
            <w:pPr>
              <w:spacing w:line="360" w:lineRule="auto"/>
              <w:jc w:val="center"/>
              <w:rPr>
                <w:b/>
                <w:szCs w:val="21"/>
              </w:rPr>
            </w:pPr>
            <w:r>
              <w:rPr>
                <w:b/>
                <w:szCs w:val="21"/>
              </w:rPr>
              <w:t>序号</w:t>
            </w:r>
          </w:p>
        </w:tc>
        <w:tc>
          <w:tcPr>
            <w:tcW w:w="1805" w:type="dxa"/>
            <w:noWrap/>
            <w:tcMar>
              <w:top w:w="20" w:type="dxa"/>
              <w:left w:w="20" w:type="dxa"/>
              <w:bottom w:w="0" w:type="dxa"/>
              <w:right w:w="20" w:type="dxa"/>
            </w:tcMar>
            <w:vAlign w:val="center"/>
          </w:tcPr>
          <w:p w14:paraId="3B2C094A">
            <w:pPr>
              <w:spacing w:line="360" w:lineRule="auto"/>
              <w:jc w:val="center"/>
              <w:rPr>
                <w:b/>
                <w:szCs w:val="21"/>
              </w:rPr>
            </w:pPr>
            <w:r>
              <w:rPr>
                <w:b/>
                <w:szCs w:val="21"/>
              </w:rPr>
              <w:t>设备名称</w:t>
            </w:r>
          </w:p>
        </w:tc>
        <w:tc>
          <w:tcPr>
            <w:tcW w:w="1980" w:type="dxa"/>
            <w:noWrap/>
            <w:tcMar>
              <w:top w:w="20" w:type="dxa"/>
              <w:left w:w="20" w:type="dxa"/>
              <w:bottom w:w="0" w:type="dxa"/>
              <w:right w:w="20" w:type="dxa"/>
            </w:tcMar>
            <w:vAlign w:val="center"/>
          </w:tcPr>
          <w:p w14:paraId="653BA661">
            <w:pPr>
              <w:spacing w:line="360" w:lineRule="auto"/>
              <w:jc w:val="center"/>
              <w:rPr>
                <w:b/>
                <w:szCs w:val="21"/>
              </w:rPr>
            </w:pPr>
            <w:r>
              <w:rPr>
                <w:b/>
                <w:szCs w:val="21"/>
              </w:rPr>
              <w:t>品牌、规格、型号</w:t>
            </w:r>
          </w:p>
        </w:tc>
        <w:tc>
          <w:tcPr>
            <w:tcW w:w="886" w:type="dxa"/>
            <w:noWrap/>
            <w:tcMar>
              <w:top w:w="20" w:type="dxa"/>
              <w:left w:w="20" w:type="dxa"/>
              <w:bottom w:w="0" w:type="dxa"/>
              <w:right w:w="20" w:type="dxa"/>
            </w:tcMar>
            <w:vAlign w:val="center"/>
          </w:tcPr>
          <w:p w14:paraId="65ADF61B">
            <w:pPr>
              <w:spacing w:line="360" w:lineRule="auto"/>
              <w:jc w:val="center"/>
              <w:rPr>
                <w:b/>
                <w:szCs w:val="21"/>
              </w:rPr>
            </w:pPr>
            <w:r>
              <w:rPr>
                <w:b/>
                <w:szCs w:val="21"/>
              </w:rPr>
              <w:t>数量</w:t>
            </w:r>
          </w:p>
          <w:p w14:paraId="349E0BD0">
            <w:pPr>
              <w:spacing w:line="360" w:lineRule="auto"/>
              <w:jc w:val="center"/>
              <w:rPr>
                <w:b/>
                <w:szCs w:val="21"/>
              </w:rPr>
            </w:pPr>
            <w:r>
              <w:rPr>
                <w:b/>
                <w:szCs w:val="21"/>
              </w:rPr>
              <w:t>（台、套）</w:t>
            </w:r>
          </w:p>
        </w:tc>
        <w:tc>
          <w:tcPr>
            <w:tcW w:w="985" w:type="dxa"/>
            <w:noWrap/>
            <w:tcMar>
              <w:top w:w="20" w:type="dxa"/>
              <w:left w:w="20" w:type="dxa"/>
              <w:bottom w:w="0" w:type="dxa"/>
              <w:right w:w="20" w:type="dxa"/>
            </w:tcMar>
            <w:vAlign w:val="center"/>
          </w:tcPr>
          <w:p w14:paraId="50E6CD93">
            <w:pPr>
              <w:spacing w:line="360" w:lineRule="auto"/>
              <w:jc w:val="center"/>
              <w:rPr>
                <w:b/>
                <w:szCs w:val="21"/>
              </w:rPr>
            </w:pPr>
            <w:r>
              <w:rPr>
                <w:b/>
                <w:szCs w:val="21"/>
              </w:rPr>
              <w:t>单价</w:t>
            </w:r>
          </w:p>
          <w:p w14:paraId="1F83AE2B">
            <w:pPr>
              <w:spacing w:line="360" w:lineRule="auto"/>
              <w:jc w:val="center"/>
              <w:rPr>
                <w:b/>
                <w:szCs w:val="21"/>
              </w:rPr>
            </w:pPr>
            <w:r>
              <w:rPr>
                <w:b/>
                <w:szCs w:val="21"/>
              </w:rPr>
              <w:t>(万元)</w:t>
            </w:r>
          </w:p>
        </w:tc>
        <w:tc>
          <w:tcPr>
            <w:tcW w:w="984" w:type="dxa"/>
            <w:noWrap/>
            <w:tcMar>
              <w:top w:w="20" w:type="dxa"/>
              <w:left w:w="20" w:type="dxa"/>
              <w:bottom w:w="0" w:type="dxa"/>
              <w:right w:w="20" w:type="dxa"/>
            </w:tcMar>
            <w:vAlign w:val="center"/>
          </w:tcPr>
          <w:p w14:paraId="0EE614F3">
            <w:pPr>
              <w:spacing w:line="360" w:lineRule="auto"/>
              <w:jc w:val="center"/>
              <w:rPr>
                <w:b/>
                <w:szCs w:val="21"/>
              </w:rPr>
            </w:pPr>
            <w:r>
              <w:rPr>
                <w:b/>
                <w:szCs w:val="21"/>
              </w:rPr>
              <w:t>合计</w:t>
            </w:r>
          </w:p>
          <w:p w14:paraId="40E49D83">
            <w:pPr>
              <w:spacing w:line="360" w:lineRule="auto"/>
              <w:jc w:val="center"/>
              <w:rPr>
                <w:b/>
                <w:szCs w:val="21"/>
              </w:rPr>
            </w:pPr>
            <w:r>
              <w:rPr>
                <w:b/>
                <w:szCs w:val="21"/>
              </w:rPr>
              <w:t>（万元）</w:t>
            </w:r>
          </w:p>
        </w:tc>
        <w:tc>
          <w:tcPr>
            <w:tcW w:w="978" w:type="dxa"/>
            <w:noWrap/>
            <w:vAlign w:val="center"/>
          </w:tcPr>
          <w:p w14:paraId="1FFABFAC">
            <w:pPr>
              <w:spacing w:line="360" w:lineRule="auto"/>
              <w:jc w:val="center"/>
              <w:rPr>
                <w:b/>
                <w:szCs w:val="21"/>
              </w:rPr>
            </w:pPr>
            <w:r>
              <w:rPr>
                <w:b/>
                <w:szCs w:val="21"/>
              </w:rPr>
              <w:t>生产商</w:t>
            </w:r>
          </w:p>
        </w:tc>
        <w:tc>
          <w:tcPr>
            <w:tcW w:w="580" w:type="dxa"/>
            <w:noWrap/>
            <w:tcMar>
              <w:top w:w="20" w:type="dxa"/>
              <w:left w:w="20" w:type="dxa"/>
              <w:bottom w:w="0" w:type="dxa"/>
              <w:right w:w="20" w:type="dxa"/>
            </w:tcMar>
            <w:vAlign w:val="center"/>
          </w:tcPr>
          <w:p w14:paraId="3C8D79E8">
            <w:pPr>
              <w:spacing w:line="360" w:lineRule="auto"/>
              <w:jc w:val="center"/>
              <w:rPr>
                <w:b/>
                <w:szCs w:val="21"/>
              </w:rPr>
            </w:pPr>
            <w:r>
              <w:rPr>
                <w:b/>
                <w:szCs w:val="21"/>
              </w:rPr>
              <w:t>备注</w:t>
            </w:r>
          </w:p>
        </w:tc>
      </w:tr>
      <w:tr w14:paraId="5D920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tcMar>
              <w:top w:w="20" w:type="dxa"/>
              <w:left w:w="20" w:type="dxa"/>
              <w:bottom w:w="0" w:type="dxa"/>
              <w:right w:w="20" w:type="dxa"/>
            </w:tcMar>
            <w:vAlign w:val="center"/>
          </w:tcPr>
          <w:p w14:paraId="1DD7CF90">
            <w:pPr>
              <w:spacing w:line="360" w:lineRule="auto"/>
              <w:jc w:val="center"/>
              <w:rPr>
                <w:szCs w:val="21"/>
              </w:rPr>
            </w:pPr>
            <w:r>
              <w:rPr>
                <w:szCs w:val="21"/>
              </w:rPr>
              <w:t>1</w:t>
            </w:r>
          </w:p>
        </w:tc>
        <w:tc>
          <w:tcPr>
            <w:tcW w:w="1805" w:type="dxa"/>
            <w:noWrap/>
            <w:tcMar>
              <w:top w:w="20" w:type="dxa"/>
              <w:left w:w="20" w:type="dxa"/>
              <w:bottom w:w="0" w:type="dxa"/>
              <w:right w:w="20" w:type="dxa"/>
            </w:tcMar>
            <w:vAlign w:val="center"/>
          </w:tcPr>
          <w:p w14:paraId="47A8A720">
            <w:pPr>
              <w:spacing w:line="360" w:lineRule="auto"/>
              <w:jc w:val="center"/>
              <w:rPr>
                <w:szCs w:val="21"/>
              </w:rPr>
            </w:pPr>
          </w:p>
        </w:tc>
        <w:tc>
          <w:tcPr>
            <w:tcW w:w="1980" w:type="dxa"/>
            <w:noWrap/>
            <w:tcMar>
              <w:top w:w="20" w:type="dxa"/>
              <w:left w:w="20" w:type="dxa"/>
              <w:bottom w:w="0" w:type="dxa"/>
              <w:right w:w="20" w:type="dxa"/>
            </w:tcMar>
            <w:vAlign w:val="center"/>
          </w:tcPr>
          <w:p w14:paraId="2DAFC51C">
            <w:pPr>
              <w:spacing w:line="360" w:lineRule="auto"/>
              <w:jc w:val="center"/>
              <w:rPr>
                <w:szCs w:val="21"/>
              </w:rPr>
            </w:pPr>
          </w:p>
        </w:tc>
        <w:tc>
          <w:tcPr>
            <w:tcW w:w="886" w:type="dxa"/>
            <w:noWrap/>
            <w:tcMar>
              <w:top w:w="20" w:type="dxa"/>
              <w:left w:w="20" w:type="dxa"/>
              <w:bottom w:w="0" w:type="dxa"/>
              <w:right w:w="20" w:type="dxa"/>
            </w:tcMar>
            <w:vAlign w:val="center"/>
          </w:tcPr>
          <w:p w14:paraId="7BB0AC17">
            <w:pPr>
              <w:spacing w:line="360" w:lineRule="auto"/>
              <w:jc w:val="center"/>
              <w:rPr>
                <w:szCs w:val="21"/>
              </w:rPr>
            </w:pPr>
          </w:p>
        </w:tc>
        <w:tc>
          <w:tcPr>
            <w:tcW w:w="985" w:type="dxa"/>
            <w:noWrap/>
            <w:tcMar>
              <w:top w:w="20" w:type="dxa"/>
              <w:left w:w="20" w:type="dxa"/>
              <w:bottom w:w="0" w:type="dxa"/>
              <w:right w:w="20" w:type="dxa"/>
            </w:tcMar>
            <w:vAlign w:val="center"/>
          </w:tcPr>
          <w:p w14:paraId="137C543E">
            <w:pPr>
              <w:spacing w:line="360" w:lineRule="auto"/>
              <w:jc w:val="center"/>
              <w:rPr>
                <w:szCs w:val="21"/>
              </w:rPr>
            </w:pPr>
          </w:p>
        </w:tc>
        <w:tc>
          <w:tcPr>
            <w:tcW w:w="984" w:type="dxa"/>
            <w:noWrap/>
            <w:tcMar>
              <w:top w:w="20" w:type="dxa"/>
              <w:left w:w="20" w:type="dxa"/>
              <w:bottom w:w="0" w:type="dxa"/>
              <w:right w:w="20" w:type="dxa"/>
            </w:tcMar>
            <w:vAlign w:val="center"/>
          </w:tcPr>
          <w:p w14:paraId="56667EA3">
            <w:pPr>
              <w:spacing w:line="360" w:lineRule="auto"/>
              <w:jc w:val="center"/>
              <w:rPr>
                <w:szCs w:val="21"/>
              </w:rPr>
            </w:pPr>
          </w:p>
        </w:tc>
        <w:tc>
          <w:tcPr>
            <w:tcW w:w="978" w:type="dxa"/>
            <w:noWrap/>
            <w:vAlign w:val="center"/>
          </w:tcPr>
          <w:p w14:paraId="596BD078">
            <w:pPr>
              <w:spacing w:line="360" w:lineRule="auto"/>
              <w:jc w:val="center"/>
              <w:rPr>
                <w:szCs w:val="21"/>
              </w:rPr>
            </w:pPr>
          </w:p>
        </w:tc>
        <w:tc>
          <w:tcPr>
            <w:tcW w:w="580" w:type="dxa"/>
            <w:noWrap/>
            <w:tcMar>
              <w:top w:w="20" w:type="dxa"/>
              <w:left w:w="20" w:type="dxa"/>
              <w:bottom w:w="0" w:type="dxa"/>
              <w:right w:w="20" w:type="dxa"/>
            </w:tcMar>
            <w:vAlign w:val="center"/>
          </w:tcPr>
          <w:p w14:paraId="3FBAAE84">
            <w:pPr>
              <w:spacing w:line="360" w:lineRule="auto"/>
              <w:jc w:val="center"/>
              <w:rPr>
                <w:szCs w:val="21"/>
              </w:rPr>
            </w:pPr>
          </w:p>
        </w:tc>
      </w:tr>
      <w:tr w14:paraId="3D633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tcMar>
              <w:top w:w="20" w:type="dxa"/>
              <w:left w:w="20" w:type="dxa"/>
              <w:bottom w:w="0" w:type="dxa"/>
              <w:right w:w="20" w:type="dxa"/>
            </w:tcMar>
            <w:vAlign w:val="center"/>
          </w:tcPr>
          <w:p w14:paraId="1F4FE98A">
            <w:pPr>
              <w:spacing w:line="360" w:lineRule="auto"/>
              <w:jc w:val="center"/>
              <w:rPr>
                <w:szCs w:val="21"/>
              </w:rPr>
            </w:pPr>
            <w:r>
              <w:rPr>
                <w:szCs w:val="21"/>
              </w:rPr>
              <w:t>2</w:t>
            </w:r>
          </w:p>
        </w:tc>
        <w:tc>
          <w:tcPr>
            <w:tcW w:w="1805" w:type="dxa"/>
            <w:noWrap/>
            <w:tcMar>
              <w:top w:w="20" w:type="dxa"/>
              <w:left w:w="20" w:type="dxa"/>
              <w:bottom w:w="0" w:type="dxa"/>
              <w:right w:w="20" w:type="dxa"/>
            </w:tcMar>
            <w:vAlign w:val="center"/>
          </w:tcPr>
          <w:p w14:paraId="69ECC018">
            <w:pPr>
              <w:spacing w:line="360" w:lineRule="auto"/>
              <w:jc w:val="center"/>
              <w:rPr>
                <w:szCs w:val="21"/>
              </w:rPr>
            </w:pPr>
          </w:p>
        </w:tc>
        <w:tc>
          <w:tcPr>
            <w:tcW w:w="1980" w:type="dxa"/>
            <w:noWrap/>
            <w:tcMar>
              <w:top w:w="20" w:type="dxa"/>
              <w:left w:w="20" w:type="dxa"/>
              <w:bottom w:w="0" w:type="dxa"/>
              <w:right w:w="20" w:type="dxa"/>
            </w:tcMar>
            <w:vAlign w:val="center"/>
          </w:tcPr>
          <w:p w14:paraId="6BA2BC69">
            <w:pPr>
              <w:spacing w:line="360" w:lineRule="auto"/>
              <w:jc w:val="center"/>
              <w:rPr>
                <w:szCs w:val="21"/>
              </w:rPr>
            </w:pPr>
          </w:p>
        </w:tc>
        <w:tc>
          <w:tcPr>
            <w:tcW w:w="886" w:type="dxa"/>
            <w:noWrap/>
            <w:tcMar>
              <w:top w:w="20" w:type="dxa"/>
              <w:left w:w="20" w:type="dxa"/>
              <w:bottom w:w="0" w:type="dxa"/>
              <w:right w:w="20" w:type="dxa"/>
            </w:tcMar>
            <w:vAlign w:val="center"/>
          </w:tcPr>
          <w:p w14:paraId="677587D8">
            <w:pPr>
              <w:spacing w:line="360" w:lineRule="auto"/>
              <w:jc w:val="center"/>
              <w:rPr>
                <w:szCs w:val="21"/>
              </w:rPr>
            </w:pPr>
          </w:p>
        </w:tc>
        <w:tc>
          <w:tcPr>
            <w:tcW w:w="985" w:type="dxa"/>
            <w:noWrap/>
            <w:tcMar>
              <w:top w:w="20" w:type="dxa"/>
              <w:left w:w="20" w:type="dxa"/>
              <w:bottom w:w="0" w:type="dxa"/>
              <w:right w:w="20" w:type="dxa"/>
            </w:tcMar>
            <w:vAlign w:val="center"/>
          </w:tcPr>
          <w:p w14:paraId="28061C56">
            <w:pPr>
              <w:spacing w:line="360" w:lineRule="auto"/>
              <w:jc w:val="center"/>
              <w:rPr>
                <w:szCs w:val="21"/>
              </w:rPr>
            </w:pPr>
          </w:p>
        </w:tc>
        <w:tc>
          <w:tcPr>
            <w:tcW w:w="984" w:type="dxa"/>
            <w:noWrap/>
            <w:tcMar>
              <w:top w:w="20" w:type="dxa"/>
              <w:left w:w="20" w:type="dxa"/>
              <w:bottom w:w="0" w:type="dxa"/>
              <w:right w:w="20" w:type="dxa"/>
            </w:tcMar>
            <w:vAlign w:val="center"/>
          </w:tcPr>
          <w:p w14:paraId="491EF4CF">
            <w:pPr>
              <w:spacing w:line="360" w:lineRule="auto"/>
              <w:jc w:val="center"/>
              <w:rPr>
                <w:szCs w:val="21"/>
              </w:rPr>
            </w:pPr>
          </w:p>
        </w:tc>
        <w:tc>
          <w:tcPr>
            <w:tcW w:w="978" w:type="dxa"/>
            <w:noWrap/>
            <w:vAlign w:val="center"/>
          </w:tcPr>
          <w:p w14:paraId="59C58101">
            <w:pPr>
              <w:spacing w:line="360" w:lineRule="auto"/>
              <w:jc w:val="center"/>
              <w:rPr>
                <w:kern w:val="0"/>
                <w:szCs w:val="21"/>
              </w:rPr>
            </w:pPr>
          </w:p>
        </w:tc>
        <w:tc>
          <w:tcPr>
            <w:tcW w:w="580" w:type="dxa"/>
            <w:noWrap/>
            <w:tcMar>
              <w:top w:w="20" w:type="dxa"/>
              <w:left w:w="20" w:type="dxa"/>
              <w:bottom w:w="0" w:type="dxa"/>
              <w:right w:w="20" w:type="dxa"/>
            </w:tcMar>
            <w:vAlign w:val="center"/>
          </w:tcPr>
          <w:p w14:paraId="7229F72C">
            <w:pPr>
              <w:spacing w:line="360" w:lineRule="auto"/>
              <w:jc w:val="center"/>
              <w:rPr>
                <w:szCs w:val="21"/>
              </w:rPr>
            </w:pPr>
          </w:p>
        </w:tc>
      </w:tr>
      <w:tr w14:paraId="4D464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tcMar>
              <w:top w:w="20" w:type="dxa"/>
              <w:left w:w="20" w:type="dxa"/>
              <w:bottom w:w="0" w:type="dxa"/>
              <w:right w:w="20" w:type="dxa"/>
            </w:tcMar>
            <w:vAlign w:val="center"/>
          </w:tcPr>
          <w:p w14:paraId="5085A8FF">
            <w:pPr>
              <w:spacing w:line="360" w:lineRule="auto"/>
              <w:jc w:val="center"/>
              <w:rPr>
                <w:szCs w:val="21"/>
              </w:rPr>
            </w:pPr>
            <w:r>
              <w:rPr>
                <w:szCs w:val="21"/>
              </w:rPr>
              <w:t>3</w:t>
            </w:r>
          </w:p>
        </w:tc>
        <w:tc>
          <w:tcPr>
            <w:tcW w:w="1805" w:type="dxa"/>
            <w:noWrap/>
            <w:tcMar>
              <w:top w:w="20" w:type="dxa"/>
              <w:left w:w="20" w:type="dxa"/>
              <w:bottom w:w="0" w:type="dxa"/>
              <w:right w:w="20" w:type="dxa"/>
            </w:tcMar>
            <w:vAlign w:val="center"/>
          </w:tcPr>
          <w:p w14:paraId="6FA8D331">
            <w:pPr>
              <w:spacing w:line="360" w:lineRule="auto"/>
              <w:jc w:val="center"/>
              <w:rPr>
                <w:szCs w:val="21"/>
              </w:rPr>
            </w:pPr>
          </w:p>
        </w:tc>
        <w:tc>
          <w:tcPr>
            <w:tcW w:w="1980" w:type="dxa"/>
            <w:noWrap/>
            <w:tcMar>
              <w:top w:w="20" w:type="dxa"/>
              <w:left w:w="20" w:type="dxa"/>
              <w:bottom w:w="0" w:type="dxa"/>
              <w:right w:w="20" w:type="dxa"/>
            </w:tcMar>
            <w:vAlign w:val="center"/>
          </w:tcPr>
          <w:p w14:paraId="0E7D24CD">
            <w:pPr>
              <w:spacing w:line="360" w:lineRule="auto"/>
              <w:jc w:val="center"/>
              <w:rPr>
                <w:szCs w:val="21"/>
              </w:rPr>
            </w:pPr>
          </w:p>
        </w:tc>
        <w:tc>
          <w:tcPr>
            <w:tcW w:w="886" w:type="dxa"/>
            <w:noWrap/>
            <w:tcMar>
              <w:top w:w="20" w:type="dxa"/>
              <w:left w:w="20" w:type="dxa"/>
              <w:bottom w:w="0" w:type="dxa"/>
              <w:right w:w="20" w:type="dxa"/>
            </w:tcMar>
            <w:vAlign w:val="center"/>
          </w:tcPr>
          <w:p w14:paraId="3B0A0B3A">
            <w:pPr>
              <w:spacing w:line="360" w:lineRule="auto"/>
              <w:jc w:val="center"/>
              <w:rPr>
                <w:szCs w:val="21"/>
              </w:rPr>
            </w:pPr>
          </w:p>
        </w:tc>
        <w:tc>
          <w:tcPr>
            <w:tcW w:w="985" w:type="dxa"/>
            <w:noWrap/>
            <w:tcMar>
              <w:top w:w="20" w:type="dxa"/>
              <w:left w:w="20" w:type="dxa"/>
              <w:bottom w:w="0" w:type="dxa"/>
              <w:right w:w="20" w:type="dxa"/>
            </w:tcMar>
            <w:vAlign w:val="center"/>
          </w:tcPr>
          <w:p w14:paraId="55C10F5B">
            <w:pPr>
              <w:spacing w:line="360" w:lineRule="auto"/>
              <w:jc w:val="center"/>
              <w:rPr>
                <w:szCs w:val="21"/>
              </w:rPr>
            </w:pPr>
          </w:p>
        </w:tc>
        <w:tc>
          <w:tcPr>
            <w:tcW w:w="984" w:type="dxa"/>
            <w:noWrap/>
            <w:tcMar>
              <w:top w:w="20" w:type="dxa"/>
              <w:left w:w="20" w:type="dxa"/>
              <w:bottom w:w="0" w:type="dxa"/>
              <w:right w:w="20" w:type="dxa"/>
            </w:tcMar>
            <w:vAlign w:val="center"/>
          </w:tcPr>
          <w:p w14:paraId="54B52DE1">
            <w:pPr>
              <w:spacing w:line="360" w:lineRule="auto"/>
              <w:jc w:val="center"/>
              <w:rPr>
                <w:szCs w:val="21"/>
              </w:rPr>
            </w:pPr>
          </w:p>
        </w:tc>
        <w:tc>
          <w:tcPr>
            <w:tcW w:w="978" w:type="dxa"/>
            <w:noWrap/>
            <w:vAlign w:val="center"/>
          </w:tcPr>
          <w:p w14:paraId="4A123E89">
            <w:pPr>
              <w:spacing w:line="360" w:lineRule="auto"/>
              <w:jc w:val="center"/>
              <w:rPr>
                <w:szCs w:val="21"/>
              </w:rPr>
            </w:pPr>
          </w:p>
        </w:tc>
        <w:tc>
          <w:tcPr>
            <w:tcW w:w="580" w:type="dxa"/>
            <w:noWrap/>
            <w:tcMar>
              <w:top w:w="20" w:type="dxa"/>
              <w:left w:w="20" w:type="dxa"/>
              <w:bottom w:w="0" w:type="dxa"/>
              <w:right w:w="20" w:type="dxa"/>
            </w:tcMar>
            <w:vAlign w:val="center"/>
          </w:tcPr>
          <w:p w14:paraId="5AAC5B13">
            <w:pPr>
              <w:spacing w:line="360" w:lineRule="auto"/>
              <w:jc w:val="center"/>
              <w:rPr>
                <w:szCs w:val="21"/>
              </w:rPr>
            </w:pPr>
          </w:p>
        </w:tc>
      </w:tr>
      <w:tr w14:paraId="6EFB3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tcMar>
              <w:top w:w="20" w:type="dxa"/>
              <w:left w:w="20" w:type="dxa"/>
              <w:bottom w:w="0" w:type="dxa"/>
              <w:right w:w="20" w:type="dxa"/>
            </w:tcMar>
            <w:vAlign w:val="center"/>
          </w:tcPr>
          <w:p w14:paraId="3FA45440">
            <w:pPr>
              <w:spacing w:line="360" w:lineRule="auto"/>
              <w:jc w:val="center"/>
              <w:rPr>
                <w:szCs w:val="21"/>
              </w:rPr>
            </w:pPr>
            <w:r>
              <w:rPr>
                <w:rFonts w:hint="eastAsia"/>
                <w:szCs w:val="21"/>
              </w:rPr>
              <w:t>合同金额</w:t>
            </w:r>
            <w:r>
              <w:rPr>
                <w:szCs w:val="21"/>
              </w:rPr>
              <w:t>(元)</w:t>
            </w:r>
          </w:p>
        </w:tc>
        <w:tc>
          <w:tcPr>
            <w:tcW w:w="4413" w:type="dxa"/>
            <w:gridSpan w:val="5"/>
            <w:noWrap/>
            <w:tcMar>
              <w:top w:w="20" w:type="dxa"/>
              <w:left w:w="20" w:type="dxa"/>
              <w:bottom w:w="0" w:type="dxa"/>
              <w:right w:w="20" w:type="dxa"/>
            </w:tcMar>
            <w:vAlign w:val="center"/>
          </w:tcPr>
          <w:p w14:paraId="7379D870">
            <w:pPr>
              <w:spacing w:line="360" w:lineRule="auto"/>
              <w:jc w:val="left"/>
              <w:rPr>
                <w:szCs w:val="21"/>
              </w:rPr>
            </w:pPr>
            <w:r>
              <w:rPr>
                <w:szCs w:val="21"/>
              </w:rPr>
              <w:t xml:space="preserve">大写： </w:t>
            </w:r>
          </w:p>
        </w:tc>
      </w:tr>
      <w:tr w14:paraId="1638A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tcMar>
              <w:top w:w="20" w:type="dxa"/>
              <w:left w:w="20" w:type="dxa"/>
              <w:bottom w:w="0" w:type="dxa"/>
              <w:right w:w="20" w:type="dxa"/>
            </w:tcMar>
            <w:vAlign w:val="center"/>
          </w:tcPr>
          <w:p w14:paraId="4F3A5BFB">
            <w:pPr>
              <w:spacing w:line="360" w:lineRule="auto"/>
              <w:jc w:val="center"/>
              <w:rPr>
                <w:szCs w:val="21"/>
              </w:rPr>
            </w:pPr>
          </w:p>
        </w:tc>
        <w:tc>
          <w:tcPr>
            <w:tcW w:w="4413" w:type="dxa"/>
            <w:gridSpan w:val="5"/>
            <w:noWrap/>
            <w:tcMar>
              <w:top w:w="20" w:type="dxa"/>
              <w:left w:w="20" w:type="dxa"/>
              <w:bottom w:w="0" w:type="dxa"/>
              <w:right w:w="20" w:type="dxa"/>
            </w:tcMar>
            <w:vAlign w:val="center"/>
          </w:tcPr>
          <w:p w14:paraId="0E9107FB">
            <w:pPr>
              <w:spacing w:line="360" w:lineRule="auto"/>
              <w:jc w:val="left"/>
              <w:rPr>
                <w:szCs w:val="21"/>
              </w:rPr>
            </w:pPr>
            <w:r>
              <w:rPr>
                <w:szCs w:val="21"/>
              </w:rPr>
              <w:t>小写：   元</w:t>
            </w:r>
          </w:p>
        </w:tc>
      </w:tr>
    </w:tbl>
    <w:p w14:paraId="153A837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2.上述合同金额为</w:t>
      </w:r>
      <w:r>
        <w:rPr>
          <w:rFonts w:asciiTheme="minorEastAsia" w:hAnsiTheme="minorEastAsia" w:eastAsiaTheme="minorEastAsia"/>
          <w:kern w:val="0"/>
          <w:sz w:val="24"/>
          <w:szCs w:val="24"/>
        </w:rPr>
        <w:t>一次性</w:t>
      </w:r>
      <w:r>
        <w:rPr>
          <w:rFonts w:hint="eastAsia" w:asciiTheme="minorEastAsia" w:hAnsiTheme="minorEastAsia" w:eastAsiaTheme="minorEastAsia"/>
          <w:kern w:val="0"/>
          <w:sz w:val="24"/>
          <w:szCs w:val="24"/>
        </w:rPr>
        <w:t>包干总价</w:t>
      </w:r>
      <w:r>
        <w:rPr>
          <w:rFonts w:asciiTheme="minorEastAsia" w:hAnsiTheme="minorEastAsia" w:eastAsiaTheme="minorEastAsia"/>
          <w:kern w:val="0"/>
          <w:sz w:val="24"/>
          <w:szCs w:val="24"/>
        </w:rPr>
        <w:t>，不受市场价格的变化和影响，在合同不发生变更时作为付款结算的依据</w:t>
      </w:r>
      <w:r>
        <w:rPr>
          <w:rFonts w:hint="eastAsia" w:asciiTheme="minorEastAsia" w:hAnsiTheme="minorEastAsia" w:eastAsiaTheme="minorEastAsia"/>
          <w:kern w:val="0"/>
          <w:sz w:val="24"/>
          <w:szCs w:val="24"/>
        </w:rPr>
        <w:t>。</w:t>
      </w:r>
    </w:p>
    <w:p w14:paraId="2F679C8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该包干总价为乙方按照合同约定完成合同全部义务后所适用的总价格，包括但不限于货物费（含备品备件费）、包装费、运杂费（含搬运、装卸、保险费等）、工程费、材料费、全部税费、安装调试费等相关费用。除本合同明确约定的费用外，甲方无需支付任何额外费用和承担任何额外义务。</w:t>
      </w:r>
    </w:p>
    <w:p w14:paraId="0C5270E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4.在实际合同履行过程中，如果乙方未完全履行合同义务或履行的合同义务不符合约定的，则未履行或履行不符合合同约定的内容所对应的价款由甲方直接从上述约定的包干价中扣除。</w:t>
      </w:r>
    </w:p>
    <w:p w14:paraId="73188D60">
      <w:pPr>
        <w:widowControl/>
        <w:spacing w:line="480" w:lineRule="exact"/>
        <w:ind w:firstLine="482"/>
        <w:jc w:val="left"/>
        <w:rPr>
          <w:rFonts w:ascii="宋体" w:hAnsi="宋体"/>
          <w:b/>
          <w:kern w:val="0"/>
          <w:sz w:val="28"/>
          <w:szCs w:val="28"/>
        </w:rPr>
      </w:pPr>
      <w:r>
        <w:rPr>
          <w:rFonts w:hint="eastAsia" w:ascii="宋体" w:hAnsi="宋体"/>
          <w:b/>
          <w:kern w:val="0"/>
          <w:sz w:val="28"/>
          <w:szCs w:val="28"/>
        </w:rPr>
        <w:t>二、货物质量</w:t>
      </w:r>
    </w:p>
    <w:p w14:paraId="40D7616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乙方提供的</w:t>
      </w:r>
      <w:r>
        <w:rPr>
          <w:rFonts w:hint="eastAsia" w:asciiTheme="minorEastAsia" w:hAnsiTheme="minorEastAsia" w:eastAsiaTheme="minorEastAsia"/>
          <w:kern w:val="0"/>
          <w:sz w:val="24"/>
          <w:szCs w:val="24"/>
        </w:rPr>
        <w:t>所有货物的技术规格</w:t>
      </w:r>
      <w:r>
        <w:rPr>
          <w:rFonts w:asciiTheme="minorEastAsia" w:hAnsiTheme="minorEastAsia" w:eastAsiaTheme="minorEastAsia"/>
          <w:kern w:val="0"/>
          <w:sz w:val="24"/>
          <w:szCs w:val="24"/>
        </w:rPr>
        <w:t>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要求应等于或优于招标文件</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投标文件技术规格和参数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要求（设备的技术参数</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指标详见附件</w:t>
      </w: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）。若技术规格要求中无相应规定，则应符合相应的国家有关部门最新颁布的相应正式标准。</w:t>
      </w:r>
    </w:p>
    <w:p w14:paraId="630198C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2.乙方提供的设备及配套产品须</w:t>
      </w:r>
      <w:r>
        <w:rPr>
          <w:rFonts w:ascii="宋体" w:hAnsi="宋体"/>
          <w:sz w:val="24"/>
          <w:szCs w:val="24"/>
        </w:rPr>
        <w:t>符合国家有关质量标准、规范和环保要求</w:t>
      </w:r>
      <w:r>
        <w:rPr>
          <w:rFonts w:hint="eastAsia" w:ascii="宋体" w:hAnsi="宋体"/>
          <w:sz w:val="24"/>
          <w:szCs w:val="24"/>
        </w:rPr>
        <w:t>。</w:t>
      </w:r>
    </w:p>
    <w:p w14:paraId="442A96E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30721AC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4.乙方提供的设备及配套产品必须能按国家标准供应、检测、调试，确保产品技术指标满足使用要求。</w:t>
      </w:r>
    </w:p>
    <w:p w14:paraId="650743E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5.除非技术规范中另有规定，计量单位均采用中华人民共和国法定计量单位。</w:t>
      </w:r>
    </w:p>
    <w:p w14:paraId="15710EB2">
      <w:pPr>
        <w:widowControl/>
        <w:spacing w:line="480" w:lineRule="exact"/>
        <w:ind w:firstLine="482"/>
        <w:jc w:val="left"/>
        <w:rPr>
          <w:rFonts w:ascii="宋体" w:hAnsi="宋体"/>
          <w:b/>
          <w:kern w:val="0"/>
          <w:sz w:val="28"/>
          <w:szCs w:val="28"/>
        </w:rPr>
      </w:pPr>
      <w:r>
        <w:rPr>
          <w:rFonts w:hint="eastAsia" w:ascii="宋体" w:hAnsi="宋体"/>
          <w:b/>
          <w:kern w:val="0"/>
          <w:sz w:val="28"/>
          <w:szCs w:val="28"/>
        </w:rPr>
        <w:t>三、交货时间及交货地点</w:t>
      </w:r>
    </w:p>
    <w:p w14:paraId="29D7C28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1.交货（安装）地点：</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sz w:val="24"/>
          <w:szCs w:val="24"/>
        </w:rPr>
        <w:t>（具体到房间）。乙方要提供整套合格产品，切实做好安全防护相关工作，并负责安排卸货和安装所需工具以及人员。</w:t>
      </w:r>
    </w:p>
    <w:p w14:paraId="1ED49DA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2.交货日期：20</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年</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月</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日前或合同签订后</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个工作日内，乙方负责将产品运输到交货（安装）地点，并按照验收标准和验收程序完成设备的安装、调试和验收工作。乙方交货时须保证产品包装完好，安装调试及验收时设备外观无划痕，设备质量完好。</w:t>
      </w:r>
    </w:p>
    <w:p w14:paraId="008F336F">
      <w:pPr>
        <w:widowControl/>
        <w:spacing w:line="480" w:lineRule="exact"/>
        <w:ind w:firstLine="482"/>
        <w:jc w:val="left"/>
        <w:rPr>
          <w:rFonts w:ascii="宋体" w:hAnsi="宋体"/>
          <w:b/>
          <w:kern w:val="0"/>
          <w:sz w:val="28"/>
          <w:szCs w:val="28"/>
        </w:rPr>
      </w:pPr>
      <w:r>
        <w:rPr>
          <w:rFonts w:hint="eastAsia" w:ascii="宋体" w:hAnsi="宋体"/>
          <w:b/>
          <w:kern w:val="0"/>
          <w:sz w:val="28"/>
          <w:szCs w:val="28"/>
        </w:rPr>
        <w:t>四、货物交付及验收</w:t>
      </w:r>
    </w:p>
    <w:p w14:paraId="60433DF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b/>
          <w:bCs/>
          <w:kern w:val="0"/>
          <w:sz w:val="24"/>
          <w:szCs w:val="24"/>
        </w:rPr>
        <w:t>1.货物交付</w:t>
      </w:r>
    </w:p>
    <w:p w14:paraId="66A4C87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1.1乙方应严格按上述《标的明细清单》中确定的设备名称、型号与规格、产地、数量及配套内容进行供货，并按时将货物运送到合同指定的地点，负责到货设备的安装与调试，达到正常使用；乙方负责为甲方培训操作、维护人员，质保期内负责指导仪器设备的操作使用和保养维修，做好售后服务工作。</w:t>
      </w:r>
    </w:p>
    <w:p w14:paraId="3F17BBF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1.2乙方负责提供货物（设备）相应的技术资料，包括产品合格证、产品保修单、安装使用及维护说明书以及运输装箱清单等,并对所有技术材料的真实性、准确性、先进性、完整性负责。</w:t>
      </w:r>
    </w:p>
    <w:p w14:paraId="7DAFBA2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1.3乙方提供的设备及配套产品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3FFCA44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1.4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7260F6C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1.5根</w:t>
      </w:r>
      <w:r>
        <w:rPr>
          <w:rFonts w:asciiTheme="minorEastAsia" w:hAnsiTheme="minorEastAsia" w:eastAsiaTheme="minorEastAsia"/>
          <w:kern w:val="0"/>
          <w:sz w:val="24"/>
          <w:szCs w:val="24"/>
        </w:rPr>
        <w:t>据甲方按检验标准自己检验结果或委托有资质的相关质检机构的检验结果</w:t>
      </w:r>
      <w:r>
        <w:rPr>
          <w:rFonts w:hint="eastAsia" w:asciiTheme="minorEastAsia" w:hAnsiTheme="minorEastAsia" w:eastAsiaTheme="minorEastAsia"/>
          <w:kern w:val="0"/>
          <w:sz w:val="24"/>
          <w:szCs w:val="24"/>
        </w:rPr>
        <w:t>，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5A6FEB54">
      <w:pPr>
        <w:widowControl/>
        <w:spacing w:line="480" w:lineRule="exact"/>
        <w:ind w:firstLine="482"/>
        <w:jc w:val="left"/>
        <w:rPr>
          <w:rFonts w:asciiTheme="minorEastAsia" w:hAnsiTheme="minorEastAsia" w:eastAsiaTheme="minorEastAsia"/>
          <w:kern w:val="0"/>
          <w:sz w:val="24"/>
          <w:szCs w:val="24"/>
        </w:rPr>
      </w:pPr>
      <w:r>
        <w:rPr>
          <w:rFonts w:asciiTheme="minorEastAsia" w:hAnsiTheme="minorEastAsia" w:eastAsiaTheme="minorEastAsia"/>
          <w:kern w:val="0"/>
          <w:sz w:val="24"/>
          <w:szCs w:val="24"/>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6AC9CE2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1.6乙方应向甲方提供有关标准的中文文本。</w:t>
      </w:r>
    </w:p>
    <w:p w14:paraId="4AB091EA">
      <w:pPr>
        <w:widowControl/>
        <w:spacing w:line="480" w:lineRule="exact"/>
        <w:ind w:firstLine="482"/>
        <w:jc w:val="left"/>
        <w:rPr>
          <w:rFonts w:asciiTheme="minorEastAsia" w:hAnsiTheme="minorEastAsia" w:eastAsiaTheme="minorEastAsia"/>
          <w:b/>
          <w:bCs/>
          <w:kern w:val="0"/>
          <w:sz w:val="24"/>
          <w:szCs w:val="24"/>
        </w:rPr>
      </w:pPr>
      <w:r>
        <w:rPr>
          <w:rFonts w:hint="eastAsia" w:asciiTheme="minorEastAsia" w:hAnsiTheme="minorEastAsia" w:eastAsiaTheme="minorEastAsia"/>
          <w:b/>
          <w:bCs/>
          <w:kern w:val="0"/>
          <w:sz w:val="24"/>
          <w:szCs w:val="24"/>
        </w:rPr>
        <w:t>2.验收</w:t>
      </w:r>
    </w:p>
    <w:p w14:paraId="795CB92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w:t>
      </w:r>
      <w:r>
        <w:rPr>
          <w:rFonts w:asciiTheme="minorEastAsia" w:hAnsiTheme="minorEastAsia" w:eastAsiaTheme="minorEastAsia"/>
          <w:kern w:val="0"/>
          <w:sz w:val="24"/>
          <w:szCs w:val="24"/>
        </w:rPr>
        <w:t>验收方法及标准</w:t>
      </w:r>
      <w:r>
        <w:rPr>
          <w:rFonts w:hint="eastAsia" w:asciiTheme="minorEastAsia" w:hAnsiTheme="minorEastAsia" w:eastAsiaTheme="minorEastAsia"/>
          <w:kern w:val="0"/>
          <w:sz w:val="24"/>
          <w:szCs w:val="24"/>
        </w:rPr>
        <w:t>：</w:t>
      </w:r>
      <w:r>
        <w:rPr>
          <w:rFonts w:hint="eastAsia" w:asciiTheme="minorEastAsia" w:hAnsiTheme="minorEastAsia" w:eastAsiaTheme="minorEastAsia"/>
          <w:kern w:val="0"/>
          <w:sz w:val="24"/>
          <w:szCs w:val="24"/>
          <w:u w:val="single"/>
        </w:rPr>
        <w:t xml:space="preserve"> 具体详见附件2 </w:t>
      </w:r>
      <w:r>
        <w:rPr>
          <w:rFonts w:hint="eastAsia" w:asciiTheme="minorEastAsia" w:hAnsiTheme="minorEastAsia" w:eastAsiaTheme="minorEastAsia"/>
          <w:kern w:val="0"/>
          <w:sz w:val="24"/>
          <w:szCs w:val="24"/>
        </w:rPr>
        <w:t>。</w:t>
      </w:r>
    </w:p>
    <w:p w14:paraId="538AF0A3">
      <w:pPr>
        <w:widowControl/>
        <w:spacing w:line="480" w:lineRule="exact"/>
        <w:ind w:firstLine="482"/>
        <w:jc w:val="left"/>
        <w:rPr>
          <w:rFonts w:ascii="宋体" w:hAnsi="宋体"/>
          <w:b/>
          <w:kern w:val="0"/>
          <w:sz w:val="28"/>
          <w:szCs w:val="28"/>
        </w:rPr>
      </w:pPr>
      <w:r>
        <w:rPr>
          <w:rFonts w:hint="eastAsia" w:ascii="宋体" w:hAnsi="宋体"/>
          <w:b/>
          <w:kern w:val="0"/>
          <w:sz w:val="28"/>
          <w:szCs w:val="28"/>
        </w:rPr>
        <w:t>五、合同价款支付及履约保证金</w:t>
      </w:r>
    </w:p>
    <w:p w14:paraId="43DAF639">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 合同价款支付</w:t>
      </w:r>
    </w:p>
    <w:p w14:paraId="39D9274A">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1.1合同价款支付方式（请在确定的支付方式前面的“</w:t>
      </w:r>
      <w:r>
        <w:rPr>
          <w:rFonts w:hint="eastAsia" w:asciiTheme="minorEastAsia" w:hAnsiTheme="minorEastAsia" w:eastAsiaTheme="minorEastAsia"/>
          <w:b/>
          <w:bCs/>
          <w:sz w:val="24"/>
          <w:szCs w:val="24"/>
        </w:rPr>
        <w:sym w:font="Wingdings 2" w:char="00A3"/>
      </w:r>
      <w:r>
        <w:rPr>
          <w:rFonts w:hint="eastAsia" w:asciiTheme="minorEastAsia" w:hAnsiTheme="minorEastAsia" w:eastAsiaTheme="minorEastAsia"/>
          <w:b/>
          <w:bCs/>
          <w:sz w:val="24"/>
          <w:szCs w:val="24"/>
        </w:rPr>
        <w:t xml:space="preserve"> ”打“√” ）</w:t>
      </w:r>
    </w:p>
    <w:p w14:paraId="46124336">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sym w:font="Wingdings 2" w:char="00A3"/>
      </w:r>
      <w:r>
        <w:rPr>
          <w:rFonts w:hint="eastAsia" w:asciiTheme="minorEastAsia" w:hAnsiTheme="minorEastAsia" w:eastAsiaTheme="minorEastAsia"/>
          <w:b/>
          <w:bCs/>
          <w:sz w:val="24"/>
          <w:szCs w:val="24"/>
        </w:rPr>
        <w:t xml:space="preserve"> 签订合同后，乙方向甲方提供银行、保险公司等金融机构出具的预付款保函或其他担保措施，甲方向乙方支付合同总价的40%作为预付款；项目验收合格后30日内，支付合同总价剩余的60%。</w:t>
      </w:r>
    </w:p>
    <w:p w14:paraId="17C7D96D">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sym w:font="Wingdings 2" w:char="00A3"/>
      </w:r>
      <w:r>
        <w:rPr>
          <w:rFonts w:hint="eastAsia" w:asciiTheme="minorEastAsia" w:hAnsiTheme="minorEastAsia" w:eastAsiaTheme="minorEastAsia"/>
          <w:b/>
          <w:bCs/>
          <w:sz w:val="24"/>
          <w:szCs w:val="24"/>
        </w:rPr>
        <w:t xml:space="preserve"> 签订合同后，乙方无法提供预付款保函或其他担保措施，待设备到达指定地点、安装调试完成并验收合格后30日内，支付合同总价的100%。</w:t>
      </w:r>
    </w:p>
    <w:p w14:paraId="688D05B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1.2甲方向乙方付款时，乙方须向甲方出具合同总价款的增值税专用发票。</w:t>
      </w:r>
    </w:p>
    <w:p w14:paraId="6DD4730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2.履约保证金</w:t>
      </w:r>
    </w:p>
    <w:p w14:paraId="1535C52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2.1乙方应在收到中标（成交）通知书后3个工作日内，向甲方提交合同总价5%的履约保证金；</w:t>
      </w:r>
    </w:p>
    <w:p w14:paraId="79C6DC6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2.2履约保证金应使用人民币，按</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方式提交；</w:t>
      </w:r>
    </w:p>
    <w:p w14:paraId="2C46020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2.3项目全部完成并由甲方验收合格后，乙方申请，甲方应把履约保证金（无息）退还乙方。</w:t>
      </w:r>
    </w:p>
    <w:p w14:paraId="1ED9CAD4">
      <w:pPr>
        <w:widowControl/>
        <w:spacing w:line="480" w:lineRule="exact"/>
        <w:ind w:firstLine="482"/>
        <w:jc w:val="left"/>
        <w:rPr>
          <w:rFonts w:ascii="宋体" w:hAnsi="宋体"/>
          <w:b/>
          <w:kern w:val="0"/>
          <w:sz w:val="28"/>
          <w:szCs w:val="28"/>
        </w:rPr>
      </w:pPr>
      <w:r>
        <w:rPr>
          <w:rFonts w:hint="eastAsia" w:ascii="宋体" w:hAnsi="宋体"/>
          <w:b/>
          <w:kern w:val="0"/>
          <w:sz w:val="28"/>
          <w:szCs w:val="28"/>
        </w:rPr>
        <w:t>六、质量保证期及售后服务</w:t>
      </w:r>
    </w:p>
    <w:p w14:paraId="1AC7B693">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kern w:val="0"/>
          <w:sz w:val="24"/>
          <w:szCs w:val="24"/>
        </w:rPr>
        <w:t>1.</w:t>
      </w:r>
      <w:r>
        <w:rPr>
          <w:rFonts w:hint="eastAsia" w:asciiTheme="minorEastAsia" w:hAnsiTheme="minorEastAsia" w:eastAsiaTheme="minorEastAsia"/>
          <w:sz w:val="24"/>
          <w:szCs w:val="24"/>
        </w:rPr>
        <w:t>产品质量保证期为甲方最终设备验收合格后</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69CC3E84">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2.质保期内乙方对甲方提出的服务响应不得超出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小时。</w:t>
      </w:r>
    </w:p>
    <w:p w14:paraId="07D0678D">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3.售后服务：具体服务详见乙方投标文件中乙方的承诺书。</w:t>
      </w:r>
    </w:p>
    <w:p w14:paraId="6125EA1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sz w:val="24"/>
          <w:szCs w:val="24"/>
        </w:rPr>
        <w:t>4.人员培训：乙方终身免费为甲方培训设备使用人员，培训内容包括：设备操作、维护、简单维修等。</w:t>
      </w:r>
    </w:p>
    <w:p w14:paraId="47C586CF">
      <w:pPr>
        <w:widowControl/>
        <w:spacing w:line="480" w:lineRule="exact"/>
        <w:ind w:firstLine="482"/>
        <w:jc w:val="left"/>
        <w:rPr>
          <w:rFonts w:ascii="宋体" w:hAnsi="宋体"/>
          <w:b/>
          <w:kern w:val="0"/>
          <w:sz w:val="28"/>
          <w:szCs w:val="28"/>
        </w:rPr>
      </w:pPr>
      <w:r>
        <w:rPr>
          <w:rFonts w:hint="eastAsia" w:ascii="宋体" w:hAnsi="宋体"/>
          <w:b/>
          <w:kern w:val="0"/>
          <w:sz w:val="28"/>
          <w:szCs w:val="28"/>
        </w:rPr>
        <w:t>七、违约责任</w:t>
      </w:r>
    </w:p>
    <w:p w14:paraId="7C04C71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1.合同生效后，甲乙双方应按合同规定认真履约。合同履约责任只涉及合同甲乙双方，不考虑第三方因素。</w:t>
      </w:r>
    </w:p>
    <w:p w14:paraId="78B971E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2.除不可抗力原因外，如遇下列情况之一者，乙方所缴纳的履约保证金、产品质量保证金甲方有权不予退还，作为对甲方的赔偿，且甲方有权解除本合同：</w:t>
      </w:r>
    </w:p>
    <w:p w14:paraId="6E22E2F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（1）合同签订后不能按合同时限要求供货或安装调试；</w:t>
      </w:r>
    </w:p>
    <w:p w14:paraId="0E93240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（2）所供设备不合格、与合同不符；</w:t>
      </w:r>
    </w:p>
    <w:p w14:paraId="787C4BD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（3）不能按合同履约；</w:t>
      </w:r>
    </w:p>
    <w:p w14:paraId="3B31F49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（4）因产品质量原因，不能通过验收。</w:t>
      </w:r>
    </w:p>
    <w:p w14:paraId="6312AB3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3.如乙方产品质量不符合国家标准、行业内控标准或本合同技术附件要求的，甲方有权退货，乙方应退还全部货款，并承担甲方合同总价款10％的违约金及其他损失。</w:t>
      </w:r>
    </w:p>
    <w:p w14:paraId="074D0C5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4.在合同规定的供货期内乙方未全部交货，除应在</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天内如数补齐外，还应承担合同总款的10％违约金。</w:t>
      </w:r>
    </w:p>
    <w:p w14:paraId="6206C9F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5.乙方对货物不按招标文件要求，擅自更换，除恢复原招标产品外，应承担更换部分价款10%的违约金；乙方如对产品材质、随机配品以次充好，除全部按要求恢复外，应承担此部分价款10%的违约金。</w:t>
      </w:r>
    </w:p>
    <w:p w14:paraId="5956D3E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43A4B89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AEF87F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8.出现下列情形之一的，视为乙方违约。甲方可向乙方发出书面通知，部分或全部终止合同，同时保留向乙方索赔的权利，具体情形如下：</w:t>
      </w:r>
    </w:p>
    <w:p w14:paraId="36439DC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 xml:space="preserve">（1）乙方未能在合同规定的限期或甲方同意延长的限期内，提供全部或部分货物的； </w:t>
      </w:r>
    </w:p>
    <w:p w14:paraId="4C5C14F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（2）乙方未能履行合同规定的其它主要义务的；</w:t>
      </w:r>
    </w:p>
    <w:p w14:paraId="5F1D2EA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（3）乙方在本合同履行过程中有欺诈行为的。</w:t>
      </w:r>
    </w:p>
    <w:p w14:paraId="29A52C9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9.索赔：</w:t>
      </w:r>
      <w:r>
        <w:rPr>
          <w:rFonts w:hint="eastAsia" w:asciiTheme="minorEastAsia" w:hAnsiTheme="minorEastAsia" w:eastAsiaTheme="minorEastAsia"/>
          <w:kern w:val="0"/>
          <w:sz w:val="24"/>
          <w:szCs w:val="24"/>
          <w:u w:val="single"/>
        </w:rPr>
        <w:t xml:space="preserve"> 具体详见附件3 </w:t>
      </w:r>
      <w:r>
        <w:rPr>
          <w:rFonts w:hint="eastAsia" w:asciiTheme="minorEastAsia" w:hAnsiTheme="minorEastAsia" w:eastAsiaTheme="minorEastAsia"/>
          <w:kern w:val="0"/>
          <w:sz w:val="24"/>
          <w:szCs w:val="24"/>
        </w:rPr>
        <w:t>。</w:t>
      </w:r>
    </w:p>
    <w:p w14:paraId="63E13FF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10.甲方全部或部分解除合同之后，应当遵循诚实信用原则购买与未交付的货物类似的货物或服务，乙方应承担甲方购买类似货物或服务而产生的额外支出。部分解除合同的，乙方应继续履行合同中未解除的部分。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103FCA49">
      <w:pPr>
        <w:widowControl/>
        <w:spacing w:line="480" w:lineRule="exact"/>
        <w:ind w:firstLine="482"/>
        <w:jc w:val="left"/>
        <w:rPr>
          <w:rFonts w:ascii="宋体" w:hAnsi="宋体"/>
          <w:b/>
          <w:kern w:val="0"/>
          <w:sz w:val="28"/>
          <w:szCs w:val="28"/>
        </w:rPr>
      </w:pPr>
      <w:r>
        <w:rPr>
          <w:rFonts w:hint="eastAsia" w:ascii="宋体" w:hAnsi="宋体"/>
          <w:b/>
          <w:kern w:val="0"/>
          <w:sz w:val="28"/>
          <w:szCs w:val="28"/>
        </w:rPr>
        <w:t>八、合同争议的解决：</w:t>
      </w:r>
    </w:p>
    <w:p w14:paraId="16BF6F4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1.甲乙双方由于本合同的履行而发生任何争议时，双方可先通过协商解决。</w:t>
      </w:r>
    </w:p>
    <w:p w14:paraId="43BB7A8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2.任何一方不愿通过协商或通过协商仍不能解决争议，则双方中任何一方均应向甲方所在地人民法院起诉。</w:t>
      </w:r>
    </w:p>
    <w:p w14:paraId="7554D061">
      <w:pPr>
        <w:widowControl/>
        <w:spacing w:line="480" w:lineRule="exact"/>
        <w:ind w:firstLine="482"/>
        <w:jc w:val="left"/>
        <w:rPr>
          <w:rFonts w:ascii="宋体" w:hAnsi="宋体"/>
          <w:b/>
          <w:kern w:val="0"/>
          <w:sz w:val="28"/>
          <w:szCs w:val="28"/>
        </w:rPr>
      </w:pPr>
      <w:r>
        <w:rPr>
          <w:rFonts w:hint="eastAsia" w:ascii="宋体" w:hAnsi="宋体"/>
          <w:b/>
          <w:kern w:val="0"/>
          <w:sz w:val="28"/>
          <w:szCs w:val="28"/>
        </w:rPr>
        <w:t>九、其他：</w:t>
      </w:r>
    </w:p>
    <w:p w14:paraId="58347C1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1.合同经双方签字盖章后生效。本合同一式五份，甲方执四份，乙方执一份，执行完毕后自行失效。</w:t>
      </w:r>
    </w:p>
    <w:p w14:paraId="50F5421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3.合同的附件、投标文件均作为本合同不可分割的内容，且具有同等法律效力。合同的附件由甲方使用单位负责审核并签章。</w:t>
      </w:r>
    </w:p>
    <w:p w14:paraId="66BC703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4.在本合同执行过程中，甲、乙双方协商签订的补充合同与原合同具有同等法律效力。</w:t>
      </w:r>
    </w:p>
    <w:p w14:paraId="0E20603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5.未尽事宜，双方协商解决。</w:t>
      </w:r>
    </w:p>
    <w:p w14:paraId="35B8C8A2">
      <w:pPr>
        <w:snapToGrid w:val="0"/>
        <w:spacing w:line="440" w:lineRule="exact"/>
        <w:ind w:firstLine="420" w:firstLineChars="200"/>
        <w:rPr>
          <w:rFonts w:ascii="宋体" w:hAnsi="宋体"/>
          <w:szCs w:val="21"/>
        </w:rPr>
      </w:pPr>
    </w:p>
    <w:p w14:paraId="583BE661">
      <w:pPr>
        <w:snapToGrid w:val="0"/>
        <w:spacing w:line="480" w:lineRule="exact"/>
        <w:rPr>
          <w:rFonts w:ascii="宋体" w:hAnsi="宋体"/>
          <w:b/>
          <w:szCs w:val="21"/>
        </w:rPr>
      </w:pPr>
      <w:r>
        <w:rPr>
          <w:rFonts w:hint="eastAsia" w:ascii="宋体" w:hAnsi="宋体"/>
          <w:b/>
          <w:szCs w:val="21"/>
        </w:rPr>
        <w:t>合同签订地点：西安建筑科技大学</w:t>
      </w:r>
    </w:p>
    <w:p w14:paraId="70908025">
      <w:pPr>
        <w:snapToGrid w:val="0"/>
        <w:spacing w:line="480" w:lineRule="exact"/>
        <w:rPr>
          <w:rFonts w:ascii="宋体" w:hAnsi="宋体"/>
          <w:b/>
          <w:szCs w:val="21"/>
        </w:rPr>
      </w:pPr>
      <w:r>
        <w:rPr>
          <w:rFonts w:hint="eastAsia" w:ascii="宋体" w:hAnsi="宋体"/>
          <w:b/>
          <w:szCs w:val="21"/>
        </w:rPr>
        <w:t>合同签订时间：      年    月    日</w:t>
      </w:r>
    </w:p>
    <w:p w14:paraId="66E6EAC0">
      <w:pPr>
        <w:snapToGrid w:val="0"/>
        <w:spacing w:line="480" w:lineRule="exact"/>
        <w:rPr>
          <w:rFonts w:ascii="宋体" w:hAnsi="宋体"/>
          <w:b/>
          <w:szCs w:val="21"/>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67BC1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A4ED02C">
            <w:pPr>
              <w:rPr>
                <w:rFonts w:ascii="宋体" w:hAnsi="宋体"/>
                <w:b/>
                <w:szCs w:val="21"/>
              </w:rPr>
            </w:pPr>
            <w:r>
              <w:rPr>
                <w:rFonts w:hint="eastAsia" w:ascii="宋体" w:hAnsi="宋体"/>
                <w:b/>
                <w:szCs w:val="21"/>
              </w:rPr>
              <w:t>甲  方（盖章）：西安建筑科技大学</w:t>
            </w:r>
          </w:p>
        </w:tc>
        <w:tc>
          <w:tcPr>
            <w:tcW w:w="4503" w:type="dxa"/>
            <w:vAlign w:val="center"/>
          </w:tcPr>
          <w:p w14:paraId="1E3EAE24">
            <w:pPr>
              <w:rPr>
                <w:rFonts w:ascii="宋体" w:hAnsi="宋体"/>
                <w:szCs w:val="21"/>
              </w:rPr>
            </w:pPr>
            <w:r>
              <w:rPr>
                <w:rFonts w:hint="eastAsia" w:ascii="宋体" w:hAnsi="宋体"/>
                <w:b/>
                <w:szCs w:val="21"/>
              </w:rPr>
              <w:t>乙  方（盖章）：</w:t>
            </w:r>
          </w:p>
        </w:tc>
      </w:tr>
      <w:tr w14:paraId="0AD27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FCA04C3">
            <w:pPr>
              <w:rPr>
                <w:rFonts w:ascii="宋体" w:hAnsi="宋体"/>
                <w:szCs w:val="21"/>
              </w:rPr>
            </w:pPr>
            <w:r>
              <w:rPr>
                <w:rFonts w:hint="eastAsia" w:ascii="宋体" w:hAnsi="宋体"/>
                <w:b/>
                <w:szCs w:val="21"/>
              </w:rPr>
              <w:t>地  址：西安市雁塔路13号</w:t>
            </w:r>
          </w:p>
        </w:tc>
        <w:tc>
          <w:tcPr>
            <w:tcW w:w="4503" w:type="dxa"/>
            <w:vAlign w:val="center"/>
          </w:tcPr>
          <w:p w14:paraId="492F519C">
            <w:pPr>
              <w:rPr>
                <w:rFonts w:ascii="宋体" w:hAnsi="宋体"/>
                <w:szCs w:val="21"/>
              </w:rPr>
            </w:pPr>
            <w:r>
              <w:rPr>
                <w:rFonts w:hint="eastAsia" w:ascii="宋体" w:hAnsi="宋体"/>
                <w:b/>
                <w:szCs w:val="21"/>
              </w:rPr>
              <w:t>地  址：</w:t>
            </w:r>
          </w:p>
        </w:tc>
      </w:tr>
      <w:tr w14:paraId="1B8EE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667ABC00">
            <w:pPr>
              <w:rPr>
                <w:rFonts w:ascii="宋体" w:hAnsi="宋体"/>
                <w:szCs w:val="21"/>
              </w:rPr>
            </w:pPr>
            <w:r>
              <w:rPr>
                <w:rFonts w:hint="eastAsia" w:ascii="宋体" w:hAnsi="宋体"/>
                <w:b/>
                <w:szCs w:val="21"/>
              </w:rPr>
              <w:t>法定代表人（签字）：</w:t>
            </w:r>
          </w:p>
        </w:tc>
        <w:tc>
          <w:tcPr>
            <w:tcW w:w="4503" w:type="dxa"/>
            <w:vAlign w:val="center"/>
          </w:tcPr>
          <w:p w14:paraId="4353A589">
            <w:pPr>
              <w:rPr>
                <w:rFonts w:ascii="宋体" w:hAnsi="宋体"/>
                <w:szCs w:val="21"/>
              </w:rPr>
            </w:pPr>
            <w:r>
              <w:rPr>
                <w:rFonts w:hint="eastAsia" w:ascii="宋体" w:hAnsi="宋体"/>
                <w:b/>
                <w:szCs w:val="21"/>
              </w:rPr>
              <w:t>法定代表人（签字）：</w:t>
            </w:r>
          </w:p>
        </w:tc>
      </w:tr>
      <w:tr w14:paraId="681F6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39F8E2B">
            <w:pPr>
              <w:rPr>
                <w:rFonts w:ascii="宋体" w:hAnsi="宋体"/>
                <w:szCs w:val="21"/>
              </w:rPr>
            </w:pPr>
            <w:r>
              <w:rPr>
                <w:rFonts w:hint="eastAsia" w:ascii="宋体" w:hAnsi="宋体"/>
                <w:b/>
                <w:szCs w:val="21"/>
              </w:rPr>
              <w:t>委托代理人（签字）：</w:t>
            </w:r>
          </w:p>
        </w:tc>
        <w:tc>
          <w:tcPr>
            <w:tcW w:w="4503" w:type="dxa"/>
            <w:vAlign w:val="center"/>
          </w:tcPr>
          <w:p w14:paraId="122DCD72">
            <w:pPr>
              <w:rPr>
                <w:rFonts w:ascii="宋体" w:hAnsi="宋体"/>
                <w:szCs w:val="21"/>
              </w:rPr>
            </w:pPr>
            <w:r>
              <w:rPr>
                <w:rFonts w:hint="eastAsia" w:ascii="宋体" w:hAnsi="宋体"/>
                <w:b/>
                <w:szCs w:val="21"/>
              </w:rPr>
              <w:t>委托代理人（签字）：</w:t>
            </w:r>
          </w:p>
        </w:tc>
      </w:tr>
      <w:tr w14:paraId="17629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2861B5F">
            <w:pPr>
              <w:rPr>
                <w:rFonts w:ascii="宋体" w:hAnsi="宋体"/>
                <w:szCs w:val="21"/>
              </w:rPr>
            </w:pPr>
            <w:r>
              <w:rPr>
                <w:rFonts w:hint="eastAsia" w:ascii="宋体" w:hAnsi="宋体"/>
                <w:b/>
                <w:szCs w:val="21"/>
              </w:rPr>
              <w:t>开户名：西安建筑科技大学</w:t>
            </w:r>
          </w:p>
        </w:tc>
        <w:tc>
          <w:tcPr>
            <w:tcW w:w="4503" w:type="dxa"/>
            <w:vAlign w:val="center"/>
          </w:tcPr>
          <w:p w14:paraId="0BE6D4BE">
            <w:pPr>
              <w:rPr>
                <w:rFonts w:ascii="宋体" w:hAnsi="宋体"/>
                <w:szCs w:val="21"/>
              </w:rPr>
            </w:pPr>
            <w:r>
              <w:rPr>
                <w:rFonts w:hint="eastAsia" w:ascii="宋体" w:hAnsi="宋体"/>
                <w:b/>
                <w:szCs w:val="21"/>
              </w:rPr>
              <w:t>开户名：</w:t>
            </w:r>
          </w:p>
        </w:tc>
      </w:tr>
      <w:tr w14:paraId="17A13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30D9806">
            <w:pPr>
              <w:rPr>
                <w:rFonts w:ascii="宋体" w:hAnsi="宋体"/>
                <w:b/>
                <w:szCs w:val="21"/>
              </w:rPr>
            </w:pPr>
            <w:r>
              <w:rPr>
                <w:rFonts w:hint="eastAsia" w:ascii="宋体" w:hAnsi="宋体"/>
                <w:b/>
                <w:szCs w:val="21"/>
              </w:rPr>
              <w:t>开户行：工行雁塔路支行</w:t>
            </w:r>
          </w:p>
          <w:p w14:paraId="57BF899E">
            <w:pPr>
              <w:rPr>
                <w:rFonts w:ascii="宋体" w:hAnsi="宋体"/>
                <w:b/>
                <w:szCs w:val="21"/>
              </w:rPr>
            </w:pPr>
            <w:r>
              <w:rPr>
                <w:rFonts w:hint="eastAsia" w:ascii="宋体" w:hAnsi="宋体"/>
                <w:b/>
                <w:szCs w:val="21"/>
              </w:rPr>
              <w:t>行  号: 102791000242</w:t>
            </w:r>
          </w:p>
          <w:p w14:paraId="4CFB6758">
            <w:pPr>
              <w:rPr>
                <w:rFonts w:ascii="宋体" w:hAnsi="宋体"/>
                <w:b/>
                <w:szCs w:val="21"/>
              </w:rPr>
            </w:pPr>
            <w:r>
              <w:rPr>
                <w:rFonts w:hint="eastAsia" w:ascii="宋体" w:hAnsi="宋体"/>
                <w:b/>
                <w:szCs w:val="21"/>
              </w:rPr>
              <w:t>税  号: 1261000043523106XB</w:t>
            </w:r>
          </w:p>
        </w:tc>
        <w:tc>
          <w:tcPr>
            <w:tcW w:w="4503" w:type="dxa"/>
            <w:vAlign w:val="center"/>
          </w:tcPr>
          <w:p w14:paraId="4B12722E">
            <w:pPr>
              <w:rPr>
                <w:rFonts w:ascii="宋体" w:hAnsi="宋体"/>
                <w:szCs w:val="21"/>
              </w:rPr>
            </w:pPr>
            <w:r>
              <w:rPr>
                <w:rFonts w:hint="eastAsia" w:ascii="宋体" w:hAnsi="宋体"/>
                <w:b/>
                <w:szCs w:val="21"/>
              </w:rPr>
              <w:t>开户行：</w:t>
            </w:r>
          </w:p>
        </w:tc>
      </w:tr>
      <w:tr w14:paraId="7EBDA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2098F6A4">
            <w:pPr>
              <w:rPr>
                <w:rFonts w:ascii="宋体" w:hAnsi="宋体"/>
                <w:b/>
                <w:szCs w:val="21"/>
              </w:rPr>
            </w:pPr>
            <w:r>
              <w:rPr>
                <w:rFonts w:hint="eastAsia" w:ascii="宋体" w:hAnsi="宋体"/>
                <w:b/>
                <w:szCs w:val="21"/>
              </w:rPr>
              <w:t>帐  号：3700023009026400639</w:t>
            </w:r>
          </w:p>
        </w:tc>
        <w:tc>
          <w:tcPr>
            <w:tcW w:w="4503" w:type="dxa"/>
            <w:vAlign w:val="center"/>
          </w:tcPr>
          <w:p w14:paraId="1A4AA63A">
            <w:pPr>
              <w:rPr>
                <w:rFonts w:ascii="宋体" w:hAnsi="宋体"/>
                <w:szCs w:val="21"/>
              </w:rPr>
            </w:pPr>
            <w:r>
              <w:rPr>
                <w:rFonts w:hint="eastAsia" w:ascii="宋体" w:hAnsi="宋体"/>
                <w:b/>
                <w:szCs w:val="21"/>
              </w:rPr>
              <w:t>帐  号：</w:t>
            </w:r>
          </w:p>
        </w:tc>
      </w:tr>
      <w:tr w14:paraId="52A9C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31E01DCB">
            <w:pPr>
              <w:rPr>
                <w:rFonts w:ascii="宋体" w:hAnsi="宋体"/>
                <w:b/>
                <w:szCs w:val="21"/>
              </w:rPr>
            </w:pPr>
            <w:r>
              <w:rPr>
                <w:rFonts w:hint="eastAsia" w:ascii="宋体" w:hAnsi="宋体"/>
                <w:b/>
                <w:szCs w:val="21"/>
              </w:rPr>
              <w:t>联系人： 梁武</w:t>
            </w:r>
          </w:p>
        </w:tc>
        <w:tc>
          <w:tcPr>
            <w:tcW w:w="4503" w:type="dxa"/>
            <w:vAlign w:val="center"/>
          </w:tcPr>
          <w:p w14:paraId="38CD7CD5">
            <w:pPr>
              <w:rPr>
                <w:rFonts w:ascii="宋体" w:hAnsi="宋体"/>
                <w:szCs w:val="21"/>
              </w:rPr>
            </w:pPr>
            <w:r>
              <w:rPr>
                <w:rFonts w:hint="eastAsia" w:ascii="宋体" w:hAnsi="宋体"/>
                <w:b/>
                <w:szCs w:val="21"/>
              </w:rPr>
              <w:t>联系人：</w:t>
            </w:r>
          </w:p>
        </w:tc>
      </w:tr>
      <w:tr w14:paraId="6D909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0611FD1">
            <w:pPr>
              <w:rPr>
                <w:rFonts w:ascii="宋体" w:hAnsi="宋体"/>
                <w:b/>
                <w:szCs w:val="21"/>
              </w:rPr>
            </w:pPr>
            <w:r>
              <w:rPr>
                <w:rFonts w:hint="eastAsia" w:ascii="宋体" w:hAnsi="宋体"/>
                <w:b/>
                <w:szCs w:val="21"/>
              </w:rPr>
              <w:t>联系电话：029-82202312</w:t>
            </w:r>
          </w:p>
        </w:tc>
        <w:tc>
          <w:tcPr>
            <w:tcW w:w="4503" w:type="dxa"/>
            <w:vAlign w:val="center"/>
          </w:tcPr>
          <w:p w14:paraId="551BDC56">
            <w:pPr>
              <w:rPr>
                <w:rFonts w:ascii="宋体" w:hAnsi="宋体"/>
                <w:szCs w:val="21"/>
              </w:rPr>
            </w:pPr>
            <w:r>
              <w:rPr>
                <w:rFonts w:hint="eastAsia" w:ascii="宋体" w:hAnsi="宋体"/>
                <w:b/>
                <w:szCs w:val="21"/>
              </w:rPr>
              <w:t>联系电话：</w:t>
            </w:r>
          </w:p>
        </w:tc>
      </w:tr>
    </w:tbl>
    <w:p w14:paraId="720786F4">
      <w:pPr>
        <w:widowControl/>
        <w:spacing w:line="360" w:lineRule="auto"/>
        <w:ind w:firstLine="482"/>
        <w:jc w:val="left"/>
        <w:rPr>
          <w:rFonts w:ascii="宋体" w:hAnsi="宋体"/>
          <w:b/>
          <w:kern w:val="0"/>
          <w:sz w:val="28"/>
          <w:szCs w:val="28"/>
        </w:rPr>
      </w:pPr>
    </w:p>
    <w:p w14:paraId="07CE3B4F">
      <w:pPr>
        <w:widowControl/>
        <w:spacing w:line="360" w:lineRule="auto"/>
        <w:jc w:val="left"/>
        <w:rPr>
          <w:rFonts w:ascii="宋体" w:hAnsi="宋体"/>
          <w:b/>
          <w:kern w:val="0"/>
          <w:sz w:val="28"/>
          <w:szCs w:val="28"/>
        </w:rPr>
      </w:pPr>
      <w:r>
        <w:rPr>
          <w:rFonts w:hint="eastAsia" w:ascii="宋体" w:hAnsi="宋体"/>
          <w:b/>
          <w:kern w:val="0"/>
          <w:sz w:val="28"/>
          <w:szCs w:val="28"/>
        </w:rPr>
        <w:t>附件：</w:t>
      </w:r>
    </w:p>
    <w:p w14:paraId="50F0D7FC">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附件1：技术协议</w:t>
      </w:r>
    </w:p>
    <w:p w14:paraId="2590AE40">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附件2：验收方法及标准</w:t>
      </w:r>
    </w:p>
    <w:p w14:paraId="1106425C">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附件3：索赔</w:t>
      </w:r>
    </w:p>
    <w:p w14:paraId="715CD45C">
      <w:pPr>
        <w:widowControl/>
        <w:spacing w:line="360" w:lineRule="auto"/>
        <w:jc w:val="left"/>
        <w:rPr>
          <w:rFonts w:ascii="宋体" w:hAnsi="宋体"/>
          <w:kern w:val="0"/>
          <w:sz w:val="28"/>
          <w:szCs w:val="28"/>
        </w:rPr>
        <w:sectPr>
          <w:footerReference r:id="rId3" w:type="default"/>
          <w:pgSz w:w="11906" w:h="16838"/>
          <w:pgMar w:top="1440" w:right="1800" w:bottom="1440" w:left="1800" w:header="851" w:footer="992" w:gutter="0"/>
          <w:pgNumType w:fmt="numberInDash"/>
          <w:cols w:space="425" w:num="1"/>
          <w:docGrid w:type="lines" w:linePitch="312" w:charSpace="0"/>
        </w:sectPr>
      </w:pPr>
    </w:p>
    <w:p w14:paraId="2907F0B1">
      <w:pPr>
        <w:widowControl/>
        <w:spacing w:line="360" w:lineRule="auto"/>
        <w:jc w:val="left"/>
        <w:rPr>
          <w:rFonts w:ascii="宋体" w:hAnsi="宋体"/>
          <w:kern w:val="0"/>
          <w:sz w:val="28"/>
          <w:szCs w:val="28"/>
        </w:rPr>
      </w:pPr>
      <w:r>
        <w:rPr>
          <w:rFonts w:hint="eastAsia" w:ascii="宋体" w:hAnsi="宋体"/>
          <w:kern w:val="0"/>
          <w:sz w:val="28"/>
          <w:szCs w:val="28"/>
        </w:rPr>
        <w:t>附件1：技术协议</w:t>
      </w:r>
    </w:p>
    <w:p w14:paraId="3B6C5534">
      <w:pPr>
        <w:spacing w:line="440" w:lineRule="exact"/>
        <w:rPr>
          <w:rFonts w:ascii="宋体" w:hAnsi="宋体"/>
          <w:b/>
          <w:sz w:val="30"/>
          <w:szCs w:val="30"/>
        </w:rPr>
      </w:pPr>
      <w:bookmarkStart w:id="0" w:name="_Toc390373038"/>
      <w:bookmarkStart w:id="1" w:name="_Toc390360542"/>
      <w:r>
        <w:rPr>
          <w:rFonts w:hint="eastAsia"/>
          <w:b/>
          <w:sz w:val="32"/>
          <w:szCs w:val="32"/>
        </w:rPr>
        <w:t>1.</w:t>
      </w:r>
      <w:r>
        <w:rPr>
          <w:rFonts w:hint="eastAsia" w:ascii="宋体" w:hAnsi="宋体"/>
          <w:b/>
          <w:sz w:val="30"/>
          <w:szCs w:val="30"/>
        </w:rPr>
        <w:t>中标产品技术参数明细</w:t>
      </w:r>
    </w:p>
    <w:p w14:paraId="714437F9">
      <w:pPr>
        <w:spacing w:line="440" w:lineRule="exact"/>
        <w:rPr>
          <w:rFonts w:ascii="宋体" w:hAnsi="宋体"/>
          <w:kern w:val="0"/>
          <w:sz w:val="24"/>
          <w:szCs w:val="24"/>
        </w:rPr>
      </w:pPr>
      <w:r>
        <w:rPr>
          <w:rFonts w:hint="eastAsia" w:ascii="宋体" w:hAnsi="宋体"/>
          <w:kern w:val="0"/>
          <w:sz w:val="24"/>
          <w:szCs w:val="24"/>
        </w:rPr>
        <w:t>我公司承诺：合同中数列产品均满足标书及使用要求，无任何负偏离。并与所供产品完全一致。</w:t>
      </w:r>
    </w:p>
    <w:bookmarkEnd w:id="0"/>
    <w:bookmarkEnd w:id="1"/>
    <w:p w14:paraId="51EDC8B7">
      <w:pPr>
        <w:spacing w:line="440" w:lineRule="exact"/>
        <w:rPr>
          <w:rStyle w:val="9"/>
          <w:rFonts w:ascii="宋体" w:hAnsi="宋体"/>
          <w:sz w:val="24"/>
          <w:szCs w:val="24"/>
        </w:rPr>
      </w:pPr>
      <w:r>
        <w:rPr>
          <w:rStyle w:val="9"/>
          <w:rFonts w:hint="eastAsia" w:ascii="宋体" w:hAnsi="宋体"/>
          <w:sz w:val="24"/>
          <w:szCs w:val="24"/>
        </w:rPr>
        <w:t>1.1设备特性</w:t>
      </w:r>
    </w:p>
    <w:p w14:paraId="4723E88D">
      <w:pPr>
        <w:spacing w:line="440" w:lineRule="exact"/>
        <w:rPr>
          <w:rFonts w:ascii="宋体" w:hAnsi="宋体"/>
          <w:b/>
          <w:sz w:val="24"/>
          <w:szCs w:val="24"/>
        </w:rPr>
      </w:pPr>
      <w:r>
        <w:rPr>
          <w:rStyle w:val="9"/>
          <w:rFonts w:hint="eastAsia" w:ascii="宋体" w:hAnsi="宋体"/>
          <w:sz w:val="24"/>
          <w:szCs w:val="24"/>
        </w:rPr>
        <w:t>1.2</w:t>
      </w:r>
      <w:r>
        <w:rPr>
          <w:rFonts w:hint="eastAsia" w:ascii="宋体" w:hAnsi="宋体"/>
          <w:b/>
          <w:sz w:val="24"/>
          <w:szCs w:val="24"/>
        </w:rPr>
        <w:t>设备用途</w:t>
      </w:r>
    </w:p>
    <w:p w14:paraId="477CE3AC">
      <w:pPr>
        <w:spacing w:line="440" w:lineRule="exact"/>
        <w:rPr>
          <w:rFonts w:ascii="宋体" w:hAnsi="宋体"/>
          <w:b/>
          <w:sz w:val="24"/>
          <w:szCs w:val="24"/>
        </w:rPr>
      </w:pPr>
      <w:r>
        <w:rPr>
          <w:rFonts w:hint="eastAsia" w:ascii="宋体" w:hAnsi="宋体"/>
          <w:b/>
          <w:sz w:val="24"/>
          <w:szCs w:val="24"/>
        </w:rPr>
        <w:t>1.3设备主要参数指标</w:t>
      </w:r>
    </w:p>
    <w:p w14:paraId="6583FAFE">
      <w:pPr>
        <w:spacing w:line="440" w:lineRule="exact"/>
        <w:rPr>
          <w:rFonts w:ascii="宋体" w:hAnsi="宋体"/>
          <w:b/>
          <w:sz w:val="24"/>
          <w:szCs w:val="24"/>
        </w:rPr>
      </w:pPr>
      <w:r>
        <w:rPr>
          <w:rFonts w:hint="eastAsia" w:ascii="宋体" w:hAnsi="宋体"/>
          <w:b/>
          <w:sz w:val="24"/>
          <w:szCs w:val="24"/>
        </w:rPr>
        <w:t xml:space="preserve">1.4质量要求与安全要求 </w:t>
      </w:r>
    </w:p>
    <w:p w14:paraId="55E868CF">
      <w:pPr>
        <w:spacing w:line="440" w:lineRule="exact"/>
        <w:rPr>
          <w:b/>
          <w:sz w:val="24"/>
          <w:szCs w:val="24"/>
        </w:rPr>
      </w:pPr>
      <w:r>
        <w:rPr>
          <w:rFonts w:hint="eastAsia" w:ascii="宋体" w:hAnsi="宋体"/>
          <w:b/>
          <w:sz w:val="24"/>
          <w:szCs w:val="24"/>
        </w:rPr>
        <w:t>1.5</w:t>
      </w:r>
      <w:r>
        <w:rPr>
          <w:rFonts w:hint="eastAsia"/>
          <w:b/>
          <w:sz w:val="24"/>
          <w:szCs w:val="24"/>
        </w:rPr>
        <w:t>设备运行一般流程图</w:t>
      </w:r>
    </w:p>
    <w:p w14:paraId="36953648">
      <w:pPr>
        <w:spacing w:line="440" w:lineRule="exact"/>
        <w:rPr>
          <w:rFonts w:ascii="宋体" w:hAnsi="宋体"/>
          <w:szCs w:val="21"/>
        </w:rPr>
      </w:pPr>
      <w:r>
        <w:rPr>
          <w:rStyle w:val="9"/>
          <w:rFonts w:hint="eastAsia" w:ascii="宋体" w:hAnsi="宋体"/>
          <w:b w:val="0"/>
          <w:bCs w:val="0"/>
          <w:szCs w:val="21"/>
        </w:rPr>
        <w:t xml:space="preserve"> </w:t>
      </w:r>
    </w:p>
    <w:p w14:paraId="1C44D3AB">
      <w:pPr>
        <w:spacing w:line="440" w:lineRule="exact"/>
        <w:rPr>
          <w:rFonts w:ascii="宋体" w:hAnsi="宋体"/>
          <w:b/>
          <w:sz w:val="30"/>
          <w:szCs w:val="30"/>
        </w:rPr>
      </w:pPr>
      <w:r>
        <w:rPr>
          <w:rFonts w:hint="eastAsia" w:ascii="宋体" w:hAnsi="宋体"/>
          <w:b/>
          <w:sz w:val="30"/>
          <w:szCs w:val="30"/>
        </w:rPr>
        <w:t>2售后服务内容</w:t>
      </w:r>
      <w:bookmarkStart w:id="2" w:name="_Toc373263358"/>
      <w:bookmarkStart w:id="3" w:name="_Toc390373053"/>
      <w:bookmarkStart w:id="4" w:name="_Toc390360557"/>
    </w:p>
    <w:p w14:paraId="6245A698">
      <w:pPr>
        <w:spacing w:line="440" w:lineRule="exact"/>
        <w:rPr>
          <w:rFonts w:ascii="宋体" w:hAnsi="宋体"/>
          <w:b/>
          <w:sz w:val="24"/>
          <w:szCs w:val="24"/>
        </w:rPr>
      </w:pPr>
      <w:bookmarkStart w:id="5" w:name="_Toc390373054"/>
      <w:bookmarkStart w:id="6" w:name="_Toc373263359"/>
      <w:bookmarkStart w:id="7" w:name="_Toc390360558"/>
      <w:r>
        <w:rPr>
          <w:rFonts w:hint="eastAsia" w:ascii="宋体" w:hAnsi="宋体"/>
          <w:b/>
          <w:sz w:val="24"/>
          <w:szCs w:val="24"/>
        </w:rPr>
        <w:t>2.1技术服务、售后服务体系、故障响应时间、应急维修措施</w:t>
      </w:r>
      <w:bookmarkEnd w:id="5"/>
      <w:bookmarkEnd w:id="6"/>
      <w:bookmarkEnd w:id="7"/>
    </w:p>
    <w:p w14:paraId="3D571441">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2.1.1技术服务措施</w:t>
      </w:r>
    </w:p>
    <w:p w14:paraId="7F9E2E1C">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2.1.2售后服务体系</w:t>
      </w:r>
    </w:p>
    <w:p w14:paraId="1EEBFF4C">
      <w:pPr>
        <w:spacing w:line="440" w:lineRule="exact"/>
        <w:ind w:firstLine="480" w:firstLineChars="200"/>
        <w:jc w:val="left"/>
        <w:outlineLvl w:val="0"/>
        <w:rPr>
          <w:rFonts w:ascii="宋体" w:hAnsi="宋体"/>
          <w:sz w:val="24"/>
          <w:szCs w:val="24"/>
        </w:rPr>
      </w:pPr>
      <w:r>
        <w:rPr>
          <w:rFonts w:hint="eastAsia" w:ascii="宋体" w:hAnsi="宋体"/>
          <w:sz w:val="24"/>
          <w:szCs w:val="24"/>
        </w:rPr>
        <w:t>质保期内服务</w:t>
      </w:r>
    </w:p>
    <w:p w14:paraId="016607AF">
      <w:pPr>
        <w:spacing w:line="440" w:lineRule="exact"/>
        <w:ind w:firstLine="480" w:firstLineChars="200"/>
        <w:jc w:val="left"/>
        <w:outlineLvl w:val="0"/>
        <w:rPr>
          <w:rFonts w:ascii="宋体" w:hAnsi="宋体"/>
          <w:sz w:val="24"/>
          <w:szCs w:val="24"/>
        </w:rPr>
      </w:pPr>
      <w:r>
        <w:rPr>
          <w:rFonts w:hint="eastAsia" w:ascii="宋体" w:hAnsi="宋体"/>
          <w:sz w:val="24"/>
          <w:szCs w:val="24"/>
        </w:rPr>
        <w:t>质保期外服务</w:t>
      </w:r>
    </w:p>
    <w:p w14:paraId="5E645264">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2.1.3故障响应时间</w:t>
      </w:r>
    </w:p>
    <w:p w14:paraId="52869325">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2.1.4应急维修措施</w:t>
      </w:r>
    </w:p>
    <w:p w14:paraId="51D9C06A">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2.1.5易损件、备件的供应</w:t>
      </w:r>
    </w:p>
    <w:p w14:paraId="301A6686">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2.1.6质保期以外技术支持或技术服务</w:t>
      </w:r>
    </w:p>
    <w:p w14:paraId="3C196ABE">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2.1.7制定切实可行的操作规程和使用指南</w:t>
      </w:r>
    </w:p>
    <w:p w14:paraId="55196A80">
      <w:pPr>
        <w:spacing w:line="440" w:lineRule="exact"/>
        <w:rPr>
          <w:rFonts w:ascii="宋体" w:hAnsi="宋体"/>
          <w:b/>
          <w:sz w:val="24"/>
          <w:szCs w:val="24"/>
        </w:rPr>
      </w:pPr>
    </w:p>
    <w:p w14:paraId="4DC54787">
      <w:pPr>
        <w:spacing w:line="440" w:lineRule="exact"/>
        <w:rPr>
          <w:rFonts w:ascii="宋体" w:hAnsi="宋体"/>
          <w:b/>
          <w:sz w:val="30"/>
          <w:szCs w:val="30"/>
        </w:rPr>
      </w:pPr>
      <w:r>
        <w:rPr>
          <w:rFonts w:hint="eastAsia" w:ascii="宋体" w:hAnsi="宋体"/>
          <w:b/>
          <w:sz w:val="30"/>
          <w:szCs w:val="30"/>
        </w:rPr>
        <w:t>3 培训服务内容</w:t>
      </w:r>
    </w:p>
    <w:bookmarkEnd w:id="2"/>
    <w:bookmarkEnd w:id="3"/>
    <w:bookmarkEnd w:id="4"/>
    <w:p w14:paraId="45AB82F0">
      <w:pPr>
        <w:spacing w:line="440" w:lineRule="exact"/>
        <w:ind w:right="210" w:rightChars="100"/>
        <w:outlineLvl w:val="3"/>
        <w:rPr>
          <w:rFonts w:ascii="宋体" w:hAnsi="宋体"/>
          <w:b/>
          <w:sz w:val="24"/>
          <w:szCs w:val="24"/>
        </w:rPr>
      </w:pPr>
      <w:r>
        <w:rPr>
          <w:rFonts w:hint="eastAsia" w:ascii="宋体" w:hAnsi="宋体"/>
          <w:b/>
          <w:sz w:val="24"/>
          <w:szCs w:val="24"/>
        </w:rPr>
        <w:t>3.1培训方案</w:t>
      </w:r>
    </w:p>
    <w:p w14:paraId="07F71199">
      <w:pPr>
        <w:spacing w:line="440" w:lineRule="exact"/>
        <w:ind w:firstLine="480" w:firstLineChars="200"/>
        <w:rPr>
          <w:rFonts w:ascii="宋体" w:hAnsi="宋体"/>
          <w:sz w:val="24"/>
          <w:szCs w:val="24"/>
        </w:rPr>
      </w:pPr>
      <w:r>
        <w:rPr>
          <w:rFonts w:hint="eastAsia" w:ascii="宋体" w:hAnsi="宋体"/>
          <w:sz w:val="24"/>
          <w:szCs w:val="24"/>
        </w:rPr>
        <w:t>培训目标和要求</w:t>
      </w:r>
    </w:p>
    <w:p w14:paraId="234EBD18">
      <w:pPr>
        <w:spacing w:line="440" w:lineRule="exact"/>
        <w:jc w:val="left"/>
        <w:rPr>
          <w:rFonts w:ascii="宋体" w:hAnsi="宋体"/>
          <w:b/>
          <w:sz w:val="24"/>
          <w:szCs w:val="24"/>
        </w:rPr>
      </w:pPr>
      <w:r>
        <w:rPr>
          <w:rFonts w:hint="eastAsia" w:ascii="宋体" w:hAnsi="宋体"/>
          <w:b/>
          <w:sz w:val="24"/>
          <w:szCs w:val="24"/>
        </w:rPr>
        <w:t>3.2培训对象</w:t>
      </w:r>
    </w:p>
    <w:p w14:paraId="218145A3">
      <w:pPr>
        <w:spacing w:line="440" w:lineRule="exact"/>
        <w:rPr>
          <w:rFonts w:ascii="宋体" w:hAnsi="宋体"/>
          <w:b/>
          <w:sz w:val="24"/>
          <w:szCs w:val="24"/>
        </w:rPr>
      </w:pPr>
      <w:r>
        <w:rPr>
          <w:rFonts w:hint="eastAsia" w:ascii="宋体" w:hAnsi="宋体"/>
          <w:b/>
          <w:sz w:val="24"/>
          <w:szCs w:val="24"/>
        </w:rPr>
        <w:t>3.3培训方式</w:t>
      </w:r>
    </w:p>
    <w:p w14:paraId="4265E1CE">
      <w:pPr>
        <w:spacing w:line="440" w:lineRule="exact"/>
        <w:ind w:firstLine="480" w:firstLineChars="200"/>
        <w:rPr>
          <w:rFonts w:ascii="宋体" w:hAnsi="宋体"/>
          <w:sz w:val="24"/>
          <w:szCs w:val="24"/>
        </w:rPr>
      </w:pPr>
      <w:r>
        <w:rPr>
          <w:rFonts w:hint="eastAsia" w:ascii="宋体" w:hAnsi="宋体"/>
          <w:sz w:val="24"/>
          <w:szCs w:val="24"/>
        </w:rPr>
        <w:t>3.3.1系统使用培训：</w:t>
      </w:r>
    </w:p>
    <w:p w14:paraId="68FEF526">
      <w:pPr>
        <w:spacing w:line="440" w:lineRule="exact"/>
        <w:ind w:firstLine="480" w:firstLineChars="200"/>
        <w:rPr>
          <w:rFonts w:ascii="宋体" w:hAnsi="宋体"/>
          <w:bCs/>
          <w:sz w:val="24"/>
          <w:szCs w:val="24"/>
        </w:rPr>
      </w:pPr>
      <w:bookmarkStart w:id="8" w:name="_Toc317944561"/>
      <w:bookmarkStart w:id="9" w:name="_Toc333266004"/>
      <w:bookmarkStart w:id="10" w:name="_Toc301634428"/>
      <w:bookmarkStart w:id="11" w:name="_Toc316311443"/>
      <w:bookmarkStart w:id="12" w:name="_Toc302460939"/>
      <w:bookmarkStart w:id="13" w:name="_Toc343188540"/>
      <w:bookmarkStart w:id="14" w:name="_Toc312502614"/>
      <w:bookmarkStart w:id="15" w:name="_Toc313387932"/>
      <w:bookmarkStart w:id="16" w:name="_Toc304629018"/>
      <w:bookmarkStart w:id="17" w:name="_Toc301812591"/>
      <w:bookmarkStart w:id="18" w:name="_Toc301613871"/>
      <w:r>
        <w:rPr>
          <w:rFonts w:hint="eastAsia" w:ascii="宋体" w:hAnsi="宋体"/>
          <w:bCs/>
          <w:sz w:val="24"/>
          <w:szCs w:val="24"/>
        </w:rPr>
        <w:t>3.3.2培训课程及培训人数</w:t>
      </w:r>
      <w:bookmarkEnd w:id="8"/>
      <w:bookmarkEnd w:id="9"/>
      <w:bookmarkEnd w:id="10"/>
      <w:bookmarkEnd w:id="11"/>
      <w:bookmarkEnd w:id="12"/>
      <w:bookmarkEnd w:id="13"/>
      <w:bookmarkEnd w:id="14"/>
      <w:bookmarkEnd w:id="15"/>
      <w:bookmarkEnd w:id="16"/>
      <w:bookmarkEnd w:id="17"/>
      <w:bookmarkEnd w:id="18"/>
      <w:r>
        <w:rPr>
          <w:rFonts w:hint="eastAsia" w:ascii="宋体" w:hAnsi="宋体"/>
          <w:bCs/>
          <w:sz w:val="24"/>
          <w:szCs w:val="24"/>
        </w:rPr>
        <w:t>：</w:t>
      </w:r>
    </w:p>
    <w:p w14:paraId="2FCA5C58">
      <w:pPr>
        <w:spacing w:line="440" w:lineRule="exact"/>
        <w:ind w:firstLine="480" w:firstLineChars="200"/>
        <w:rPr>
          <w:rFonts w:ascii="宋体" w:hAnsi="宋体"/>
          <w:sz w:val="24"/>
          <w:szCs w:val="24"/>
        </w:rPr>
      </w:pPr>
      <w:r>
        <w:rPr>
          <w:rFonts w:hint="eastAsia" w:ascii="宋体" w:hAnsi="宋体"/>
          <w:sz w:val="24"/>
          <w:szCs w:val="24"/>
        </w:rPr>
        <w:t>3.3.3培训教师安排</w:t>
      </w:r>
    </w:p>
    <w:p w14:paraId="1074942E">
      <w:pPr>
        <w:spacing w:line="440" w:lineRule="exact"/>
        <w:ind w:firstLine="480" w:firstLineChars="200"/>
        <w:rPr>
          <w:rFonts w:ascii="宋体" w:hAnsi="宋体"/>
          <w:sz w:val="24"/>
          <w:szCs w:val="24"/>
        </w:rPr>
      </w:pPr>
      <w:r>
        <w:rPr>
          <w:rFonts w:hint="eastAsia" w:ascii="宋体" w:hAnsi="宋体"/>
          <w:sz w:val="24"/>
          <w:szCs w:val="24"/>
        </w:rPr>
        <w:t>3.3.4培训时间安排</w:t>
      </w:r>
    </w:p>
    <w:p w14:paraId="454D4846">
      <w:pPr>
        <w:spacing w:line="440" w:lineRule="exact"/>
        <w:ind w:firstLine="480" w:firstLineChars="200"/>
        <w:outlineLvl w:val="1"/>
        <w:rPr>
          <w:rFonts w:ascii="宋体" w:hAnsi="宋体"/>
          <w:sz w:val="24"/>
          <w:szCs w:val="24"/>
        </w:rPr>
      </w:pPr>
      <w:r>
        <w:rPr>
          <w:rFonts w:hint="eastAsia" w:ascii="宋体" w:hAnsi="宋体"/>
          <w:sz w:val="24"/>
          <w:szCs w:val="24"/>
        </w:rPr>
        <w:t>3.3.5</w:t>
      </w:r>
      <w:r>
        <w:rPr>
          <w:rFonts w:ascii="宋体" w:hAnsi="宋体"/>
          <w:sz w:val="24"/>
          <w:szCs w:val="24"/>
        </w:rPr>
        <w:t>培训及安全保证</w:t>
      </w:r>
    </w:p>
    <w:p w14:paraId="41315CDA">
      <w:pPr>
        <w:pStyle w:val="5"/>
        <w:spacing w:after="0" w:line="440" w:lineRule="exact"/>
        <w:ind w:left="0" w:leftChars="0" w:firstLine="480"/>
        <w:rPr>
          <w:snapToGrid w:val="0"/>
          <w:sz w:val="24"/>
          <w:szCs w:val="24"/>
        </w:rPr>
      </w:pPr>
      <w:r>
        <w:rPr>
          <w:rFonts w:hint="eastAsia" w:ascii="宋体" w:hAnsi="宋体"/>
          <w:snapToGrid w:val="0"/>
          <w:sz w:val="24"/>
          <w:szCs w:val="24"/>
        </w:rPr>
        <w:t>①</w:t>
      </w:r>
      <w:r>
        <w:rPr>
          <w:rFonts w:hint="eastAsia"/>
          <w:snapToGrid w:val="0"/>
          <w:sz w:val="24"/>
          <w:szCs w:val="24"/>
        </w:rPr>
        <w:t xml:space="preserve"> </w:t>
      </w:r>
      <w:r>
        <w:rPr>
          <w:snapToGrid w:val="0"/>
          <w:sz w:val="24"/>
          <w:szCs w:val="24"/>
        </w:rPr>
        <w:t>为使操作人员尽快消化设备的技术特点、掌握操作方法，</w:t>
      </w:r>
      <w:r>
        <w:rPr>
          <w:rFonts w:hint="eastAsia"/>
          <w:snapToGrid w:val="0"/>
          <w:sz w:val="24"/>
          <w:szCs w:val="24"/>
        </w:rPr>
        <w:t>乙方应</w:t>
      </w:r>
      <w:r>
        <w:rPr>
          <w:snapToGrid w:val="0"/>
          <w:sz w:val="24"/>
          <w:szCs w:val="24"/>
        </w:rPr>
        <w:t>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07705EA3">
      <w:pPr>
        <w:spacing w:line="440" w:lineRule="exact"/>
        <w:ind w:firstLine="480" w:firstLineChars="200"/>
        <w:rPr>
          <w:sz w:val="24"/>
          <w:szCs w:val="24"/>
        </w:rPr>
      </w:pPr>
      <w:r>
        <w:rPr>
          <w:rFonts w:hint="eastAsia" w:ascii="宋体" w:hAnsi="宋体"/>
          <w:sz w:val="24"/>
          <w:szCs w:val="24"/>
        </w:rPr>
        <w:t>②</w:t>
      </w:r>
      <w:r>
        <w:rPr>
          <w:rFonts w:hint="eastAsia"/>
          <w:sz w:val="24"/>
          <w:szCs w:val="24"/>
        </w:rPr>
        <w:t xml:space="preserve"> </w:t>
      </w:r>
      <w:r>
        <w:rPr>
          <w:sz w:val="24"/>
          <w:szCs w:val="24"/>
        </w:rPr>
        <w:t>设备本体对可能造成伤害的部位均</w:t>
      </w:r>
      <w:r>
        <w:rPr>
          <w:rFonts w:hint="eastAsia"/>
          <w:sz w:val="24"/>
          <w:szCs w:val="24"/>
        </w:rPr>
        <w:t>应</w:t>
      </w:r>
      <w:r>
        <w:rPr>
          <w:sz w:val="24"/>
          <w:szCs w:val="24"/>
        </w:rPr>
        <w:t>采用防护板或防护网隔离并有醒目警示。</w:t>
      </w:r>
    </w:p>
    <w:p w14:paraId="60D1BDB5">
      <w:pPr>
        <w:spacing w:line="440" w:lineRule="exact"/>
        <w:ind w:firstLine="480" w:firstLineChars="200"/>
        <w:rPr>
          <w:sz w:val="24"/>
          <w:szCs w:val="24"/>
        </w:rPr>
      </w:pPr>
      <w:r>
        <w:rPr>
          <w:rFonts w:hint="eastAsia" w:ascii="宋体" w:hAnsi="宋体"/>
          <w:sz w:val="24"/>
          <w:szCs w:val="24"/>
        </w:rPr>
        <w:t>③</w:t>
      </w:r>
      <w:r>
        <w:rPr>
          <w:rFonts w:hint="eastAsia"/>
          <w:sz w:val="24"/>
          <w:szCs w:val="24"/>
        </w:rPr>
        <w:t xml:space="preserve"> </w:t>
      </w:r>
      <w:r>
        <w:rPr>
          <w:sz w:val="24"/>
          <w:szCs w:val="24"/>
        </w:rPr>
        <w:t>所用电气元件均按照国标选配，确保稳定安全，符合三防要求。</w:t>
      </w:r>
    </w:p>
    <w:p w14:paraId="1437F9CE">
      <w:pPr>
        <w:spacing w:line="440" w:lineRule="exact"/>
        <w:rPr>
          <w:rFonts w:ascii="宋体" w:hAnsi="宋体"/>
          <w:b/>
          <w:szCs w:val="21"/>
        </w:rPr>
      </w:pPr>
      <w:bookmarkStart w:id="19" w:name="_Toc346025578"/>
      <w:bookmarkStart w:id="20" w:name="_Toc345966650"/>
      <w:bookmarkStart w:id="21" w:name="_Toc345966825"/>
    </w:p>
    <w:p w14:paraId="2FEAC3AE">
      <w:pPr>
        <w:pStyle w:val="14"/>
        <w:numPr>
          <w:ilvl w:val="1"/>
          <w:numId w:val="1"/>
        </w:numPr>
        <w:spacing w:line="440" w:lineRule="exact"/>
        <w:ind w:left="0" w:firstLine="0" w:firstLineChars="0"/>
        <w:rPr>
          <w:b/>
          <w:vanish/>
          <w:szCs w:val="21"/>
        </w:rPr>
      </w:pPr>
    </w:p>
    <w:p w14:paraId="1D42B208">
      <w:pPr>
        <w:pStyle w:val="14"/>
        <w:numPr>
          <w:ilvl w:val="1"/>
          <w:numId w:val="1"/>
        </w:numPr>
        <w:spacing w:line="440" w:lineRule="exact"/>
        <w:ind w:left="0" w:firstLine="0" w:firstLineChars="0"/>
        <w:rPr>
          <w:b/>
          <w:vanish/>
          <w:szCs w:val="21"/>
        </w:rPr>
      </w:pPr>
    </w:p>
    <w:p w14:paraId="56E70EDA">
      <w:pPr>
        <w:pStyle w:val="14"/>
        <w:numPr>
          <w:ilvl w:val="1"/>
          <w:numId w:val="1"/>
        </w:numPr>
        <w:spacing w:line="440" w:lineRule="exact"/>
        <w:ind w:left="0" w:firstLine="0" w:firstLineChars="0"/>
        <w:rPr>
          <w:b/>
          <w:vanish/>
          <w:szCs w:val="21"/>
        </w:rPr>
      </w:pPr>
    </w:p>
    <w:p w14:paraId="58D74F2F">
      <w:pPr>
        <w:pStyle w:val="14"/>
        <w:numPr>
          <w:ilvl w:val="1"/>
          <w:numId w:val="1"/>
        </w:numPr>
        <w:spacing w:line="440" w:lineRule="exact"/>
        <w:ind w:left="0" w:firstLine="0" w:firstLineChars="0"/>
        <w:rPr>
          <w:b/>
          <w:vanish/>
          <w:szCs w:val="21"/>
        </w:rPr>
      </w:pPr>
    </w:p>
    <w:bookmarkEnd w:id="19"/>
    <w:bookmarkEnd w:id="20"/>
    <w:bookmarkEnd w:id="21"/>
    <w:p w14:paraId="6F246CB0">
      <w:pPr>
        <w:spacing w:line="440" w:lineRule="exact"/>
        <w:rPr>
          <w:szCs w:val="21"/>
        </w:rPr>
      </w:pPr>
    </w:p>
    <w:p w14:paraId="15ACCDC8">
      <w:pPr>
        <w:spacing w:line="440" w:lineRule="exact"/>
        <w:ind w:firstLine="420" w:firstLineChars="200"/>
        <w:rPr>
          <w:rFonts w:ascii="宋体" w:hAnsi="宋体"/>
          <w:szCs w:val="21"/>
        </w:rPr>
      </w:pPr>
    </w:p>
    <w:p w14:paraId="54047F65">
      <w:pPr>
        <w:widowControl/>
        <w:spacing w:before="100" w:beforeAutospacing="1" w:after="100" w:afterAutospacing="1" w:line="320" w:lineRule="exact"/>
        <w:rPr>
          <w:rFonts w:asciiTheme="minorEastAsia" w:hAnsiTheme="minorEastAsia" w:eastAsiaTheme="minorEastAsia"/>
          <w:b/>
          <w:sz w:val="24"/>
        </w:rPr>
      </w:pPr>
      <w:r>
        <w:rPr>
          <w:rFonts w:asciiTheme="minorEastAsia" w:hAnsiTheme="minorEastAsia" w:eastAsiaTheme="minorEastAsia"/>
          <w:b/>
          <w:sz w:val="24"/>
        </w:rPr>
        <w:t>甲方使用单位：</w:t>
      </w:r>
      <w:r>
        <w:rPr>
          <w:rFonts w:hint="eastAsia" w:asciiTheme="minorEastAsia" w:hAnsiTheme="minorEastAsia" w:eastAsiaTheme="minorEastAsia"/>
          <w:b/>
          <w:sz w:val="24"/>
        </w:rPr>
        <w:t>西安建筑科技大学XX学院</w:t>
      </w:r>
      <w:r>
        <w:rPr>
          <w:rFonts w:hint="eastAsia" w:asciiTheme="minorEastAsia" w:hAnsiTheme="minorEastAsia" w:eastAsiaTheme="minorEastAsia"/>
          <w:b/>
          <w:sz w:val="24"/>
        </w:rPr>
        <w:tab/>
      </w:r>
      <w:r>
        <w:rPr>
          <w:rFonts w:hint="eastAsia" w:asciiTheme="minorEastAsia" w:hAnsiTheme="minorEastAsia" w:eastAsiaTheme="minorEastAsia"/>
          <w:b/>
          <w:sz w:val="24"/>
        </w:rPr>
        <w:t xml:space="preserve">          </w:t>
      </w:r>
      <w:r>
        <w:rPr>
          <w:rFonts w:asciiTheme="minorEastAsia" w:hAnsiTheme="minorEastAsia" w:eastAsiaTheme="minorEastAsia"/>
          <w:b/>
          <w:sz w:val="24"/>
        </w:rPr>
        <w:t>乙方：</w:t>
      </w:r>
      <w:r>
        <w:rPr>
          <w:rFonts w:hint="eastAsia" w:asciiTheme="minorEastAsia" w:hAnsiTheme="minorEastAsia" w:eastAsiaTheme="minorEastAsia"/>
          <w:b/>
          <w:sz w:val="24"/>
        </w:rPr>
        <w:t xml:space="preserve"> </w:t>
      </w:r>
    </w:p>
    <w:p w14:paraId="2A19A196">
      <w:pPr>
        <w:rPr>
          <w:rFonts w:asciiTheme="minorEastAsia" w:hAnsiTheme="minorEastAsia" w:eastAsiaTheme="minorEastAsia"/>
          <w:b/>
          <w:sz w:val="24"/>
        </w:rPr>
      </w:pPr>
    </w:p>
    <w:p w14:paraId="2E6A7D19">
      <w:pPr>
        <w:rPr>
          <w:rFonts w:asciiTheme="minorEastAsia" w:hAnsiTheme="minorEastAsia" w:eastAsiaTheme="minorEastAsia"/>
          <w:b/>
          <w:sz w:val="24"/>
        </w:rPr>
      </w:pPr>
      <w:r>
        <w:rPr>
          <w:rFonts w:hint="eastAsia" w:asciiTheme="minorEastAsia" w:hAnsiTheme="minorEastAsia" w:eastAsiaTheme="minorEastAsia"/>
          <w:b/>
          <w:sz w:val="24"/>
        </w:rPr>
        <w:t>负责人：                                        负责人：</w:t>
      </w:r>
    </w:p>
    <w:p w14:paraId="166C365C">
      <w:pPr>
        <w:rPr>
          <w:rFonts w:asciiTheme="minorEastAsia" w:hAnsiTheme="minorEastAsia" w:eastAsiaTheme="minorEastAsia"/>
          <w:b/>
          <w:sz w:val="24"/>
        </w:rPr>
      </w:pPr>
    </w:p>
    <w:p w14:paraId="4D7562DD">
      <w:pPr>
        <w:rPr>
          <w:b/>
          <w:sz w:val="24"/>
        </w:rPr>
      </w:pPr>
    </w:p>
    <w:p w14:paraId="531A2C4B"/>
    <w:p w14:paraId="60DAD3E0">
      <w:pPr>
        <w:widowControl/>
        <w:spacing w:line="360" w:lineRule="auto"/>
        <w:ind w:firstLine="480" w:firstLineChars="200"/>
        <w:jc w:val="left"/>
        <w:rPr>
          <w:rFonts w:asciiTheme="minorEastAsia" w:hAnsiTheme="minorEastAsia" w:eastAsiaTheme="minorEastAsia"/>
          <w:sz w:val="24"/>
          <w:szCs w:val="24"/>
        </w:rPr>
      </w:pPr>
    </w:p>
    <w:p w14:paraId="612E84B4">
      <w:pPr>
        <w:rPr>
          <w:rFonts w:ascii="宋体" w:hAnsi="宋体"/>
          <w:kern w:val="0"/>
          <w:sz w:val="28"/>
          <w:szCs w:val="28"/>
        </w:rPr>
      </w:pPr>
      <w:r>
        <w:rPr>
          <w:rFonts w:hint="eastAsia" w:ascii="宋体" w:hAnsi="宋体"/>
          <w:kern w:val="0"/>
          <w:sz w:val="28"/>
          <w:szCs w:val="28"/>
        </w:rPr>
        <w:br w:type="page"/>
      </w:r>
    </w:p>
    <w:p w14:paraId="1BD6835D">
      <w:pPr>
        <w:widowControl/>
        <w:spacing w:line="360" w:lineRule="auto"/>
        <w:jc w:val="left"/>
        <w:rPr>
          <w:rFonts w:ascii="宋体" w:hAnsi="宋体"/>
          <w:kern w:val="0"/>
          <w:sz w:val="28"/>
          <w:szCs w:val="28"/>
        </w:rPr>
      </w:pPr>
      <w:r>
        <w:rPr>
          <w:rFonts w:hint="eastAsia" w:ascii="宋体" w:hAnsi="宋体"/>
          <w:kern w:val="0"/>
          <w:sz w:val="28"/>
          <w:szCs w:val="28"/>
        </w:rPr>
        <w:t>附件2：验收方法及标准</w:t>
      </w:r>
    </w:p>
    <w:p w14:paraId="736FE656">
      <w:pPr>
        <w:widowControl/>
        <w:spacing w:line="360" w:lineRule="auto"/>
        <w:ind w:firstLine="562" w:firstLineChars="200"/>
        <w:jc w:val="center"/>
        <w:rPr>
          <w:rFonts w:ascii="宋体" w:hAnsi="宋体"/>
          <w:b/>
          <w:kern w:val="0"/>
          <w:sz w:val="28"/>
          <w:szCs w:val="28"/>
        </w:rPr>
      </w:pPr>
      <w:r>
        <w:rPr>
          <w:rFonts w:hint="eastAsia" w:ascii="宋体" w:hAnsi="宋体"/>
          <w:b/>
          <w:kern w:val="0"/>
          <w:sz w:val="28"/>
          <w:szCs w:val="28"/>
        </w:rPr>
        <w:t>验收方法及标准</w:t>
      </w:r>
    </w:p>
    <w:p w14:paraId="16444F8C">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一、开箱验收</w:t>
      </w:r>
    </w:p>
    <w:p w14:paraId="3F5CB68B">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1.产品运抵现场后，双方应及时开箱验收，并制作验收记录，以确认与本合同约定的数量、型号等是否一致。</w:t>
      </w:r>
    </w:p>
    <w:p w14:paraId="2FA60667">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2.乙方应在交货前对产品的质量、规格、数量等进行详细而全面的检验，并出具证明产品符合合同规定的文件。该文件将作为申请付款单据的一部分，但有关质量、规格、数量的检验不应视为最终检验。</w:t>
      </w:r>
    </w:p>
    <w:p w14:paraId="5ADBFBE0">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59EE3F4E">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4.开箱验收中如发现产品的数量、规格与合同约定不符，甲方有权拒收产品，乙方应及时按甲方要求免费对拒收产品采取更换或其他必要的补救措施，直至开箱验收合格，方视为乙方完成交货。</w:t>
      </w:r>
    </w:p>
    <w:p w14:paraId="7DED361C">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二、检验验收</w:t>
      </w:r>
    </w:p>
    <w:p w14:paraId="2FB8452F">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交货完成后，乙方应及时组装、调试、试运行，并保证设备的全面性、连续性、稳定性运行。按照合同条款规定的试运行完成后，双方及时组织对产品检验验收。合同双方均须派人参加合同要求双方参加的试验、检验。</w:t>
      </w:r>
    </w:p>
    <w:p w14:paraId="2E6E1DA0">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2.在具体实施合同规定的检验验收之前，乙方需提前提交相应的测试计划（包括测试程序、测试内容和检验标准、试验时间安排等）供甲方确认。</w:t>
      </w:r>
    </w:p>
    <w:p w14:paraId="0AAE7FC0">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3.除需甲方确认的试验验收外，乙方还应对所有检验验收测试的结果、步骤、原始数据等作妥善记录。如甲方要求，乙方应提供这些记录给甲方。</w:t>
      </w:r>
    </w:p>
    <w:p w14:paraId="35081F2D">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4.检验测试出现全部或部分未达到本合同所约定的技术指标，甲方有权选择下列任一处理方式：</w:t>
      </w:r>
    </w:p>
    <w:p w14:paraId="75A9EF1C">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a.重新测试直至合格为止；</w:t>
      </w:r>
    </w:p>
    <w:p w14:paraId="5EF630DB">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b.要求乙方对货物进行免费更换，然后重新测试直至合格为止；</w:t>
      </w:r>
    </w:p>
    <w:p w14:paraId="62F386FF">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无论选择何种方式，甲方因此而发生的因乙方原因引起的所有费用均由乙方负担。</w:t>
      </w:r>
    </w:p>
    <w:p w14:paraId="272433DC">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三、使用过程检验</w:t>
      </w:r>
    </w:p>
    <w:p w14:paraId="6D1B15E4">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40518CDD">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2.如果合同双方对乙方提供的上述试验结果报告的解释有分歧，双方须于出现分歧后10天内给对方声明，以陈述己方的观点。声明须附有关证据。分歧应通过协商解决。</w:t>
      </w:r>
    </w:p>
    <w:p w14:paraId="776B9635">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四、安装验收</w:t>
      </w:r>
    </w:p>
    <w:p w14:paraId="3DFB3136">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若本项目有安装设计图纸，乙方应严格按照本项目设计图纸要求进行安装，并应接受甲方的检查、检验，乙方应为甲方检查时提供便利条件，对不合格的部分应按要求返工修改，同时承担由自身原因导致返工的修改费用。</w:t>
      </w:r>
    </w:p>
    <w:p w14:paraId="761C29F7">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2.乙方安装完毕后应进行自检，自检合格后3个工作日内通知甲方进行验收。甲方按照学校验收要求，及时组织验收。若验收不合格，乙方应在甲方限定时间内进行修改并组织再次验收，直至验收合格。</w:t>
      </w:r>
    </w:p>
    <w:p w14:paraId="421F8A66">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3.所有验收合格，但不能免除乙方应该承担的质保责任。</w:t>
      </w:r>
    </w:p>
    <w:p w14:paraId="706D189F">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五、安全管理</w:t>
      </w:r>
    </w:p>
    <w:p w14:paraId="23C2D6F1">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1.货物安装现场安全、文明管理由乙方编制专项详细方案并严格执行。</w:t>
      </w:r>
    </w:p>
    <w:p w14:paraId="6F8EBDCC">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必须认真执行省市有关施工安全生产条例和规定以及甲方管理要求，并做好安全管理工作，避免并杜绝安全事故的发生。如发生工程、财产和人身伤害以及安全事故，一切责任与后果均由乙方承担，同时，给甲方造成损失，甲方将视情况对乙方处以相应的经济赔偿。</w:t>
      </w:r>
    </w:p>
    <w:p w14:paraId="4BDB4818">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3.在设备安装施工全过程中，乙方应服从甲方的各项管理，并对乙方施工人员进行安全管理。</w:t>
      </w:r>
    </w:p>
    <w:p w14:paraId="18F4F530">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4.确保现场建筑物及相关设施设备完好无损，如施工过程中出现损坏，乙方负责修复赔偿。</w:t>
      </w:r>
    </w:p>
    <w:p w14:paraId="017E5D59">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5.乙方应对安装施工人员相关岗位上岗资格进行审查，并对相关后果负责。</w:t>
      </w:r>
    </w:p>
    <w:p w14:paraId="129157A6">
      <w:pPr>
        <w:widowControl/>
        <w:spacing w:line="360" w:lineRule="auto"/>
        <w:ind w:firstLine="480" w:firstLineChars="200"/>
        <w:jc w:val="left"/>
        <w:rPr>
          <w:rFonts w:asciiTheme="minorEastAsia" w:hAnsiTheme="minorEastAsia" w:eastAsiaTheme="minorEastAsia"/>
          <w:sz w:val="24"/>
          <w:szCs w:val="24"/>
        </w:rPr>
      </w:pPr>
    </w:p>
    <w:p w14:paraId="474D60B2">
      <w:pPr>
        <w:widowControl/>
        <w:spacing w:line="360" w:lineRule="auto"/>
        <w:ind w:firstLine="480" w:firstLineChars="200"/>
        <w:jc w:val="left"/>
        <w:rPr>
          <w:rFonts w:asciiTheme="minorEastAsia" w:hAnsiTheme="minorEastAsia" w:eastAsiaTheme="minorEastAsia"/>
          <w:sz w:val="24"/>
          <w:szCs w:val="24"/>
        </w:rPr>
      </w:pPr>
    </w:p>
    <w:p w14:paraId="75428762">
      <w:pPr>
        <w:widowControl/>
        <w:spacing w:line="360" w:lineRule="auto"/>
        <w:ind w:firstLine="480" w:firstLineChars="200"/>
        <w:jc w:val="left"/>
        <w:rPr>
          <w:rFonts w:asciiTheme="minorEastAsia" w:hAnsiTheme="minorEastAsia" w:eastAsiaTheme="minorEastAsia"/>
          <w:sz w:val="24"/>
          <w:szCs w:val="24"/>
        </w:rPr>
      </w:pPr>
    </w:p>
    <w:p w14:paraId="2B80C396">
      <w:pPr>
        <w:widowControl/>
        <w:spacing w:line="360" w:lineRule="auto"/>
        <w:jc w:val="left"/>
        <w:rPr>
          <w:rFonts w:ascii="宋体" w:hAnsi="宋体"/>
          <w:kern w:val="0"/>
          <w:sz w:val="28"/>
          <w:szCs w:val="28"/>
        </w:rPr>
      </w:pPr>
      <w:r>
        <w:rPr>
          <w:rFonts w:hint="eastAsia" w:ascii="宋体" w:hAnsi="宋体"/>
          <w:kern w:val="0"/>
          <w:sz w:val="28"/>
          <w:szCs w:val="28"/>
        </w:rPr>
        <w:t>附件3：索赔</w:t>
      </w:r>
    </w:p>
    <w:p w14:paraId="39039E07">
      <w:pPr>
        <w:widowControl/>
        <w:spacing w:line="360" w:lineRule="auto"/>
        <w:ind w:firstLine="562" w:firstLineChars="200"/>
        <w:jc w:val="center"/>
        <w:rPr>
          <w:rFonts w:asciiTheme="minorEastAsia" w:hAnsiTheme="minorEastAsia" w:eastAsiaTheme="minorEastAsia"/>
          <w:sz w:val="24"/>
          <w:szCs w:val="24"/>
        </w:rPr>
      </w:pPr>
      <w:r>
        <w:rPr>
          <w:rFonts w:hint="eastAsia" w:ascii="宋体" w:hAnsi="宋体" w:eastAsiaTheme="minorEastAsia"/>
          <w:b/>
          <w:kern w:val="0"/>
          <w:sz w:val="28"/>
          <w:szCs w:val="28"/>
        </w:rPr>
        <w:t>索 赔</w:t>
      </w:r>
    </w:p>
    <w:p w14:paraId="220B7CD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779FE6E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2.在验收合格前，乙方对甲方提出的索赔负有责任，乙方应按照甲方同意的下列一种或多种方式解决索赔事宜：</w:t>
      </w:r>
    </w:p>
    <w:p w14:paraId="388E50B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1BCA636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2.2根据货物低劣程度、损坏程度以及甲方所遭受损失的数额，经甲乙双方商定降低货物的价格，或由有资质的中介机构评估，以降低后的价格或评估价格为准。</w:t>
      </w:r>
    </w:p>
    <w:p w14:paraId="6026943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7DC4C1E8">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kern w:val="0"/>
          <w:sz w:val="24"/>
          <w:szCs w:val="24"/>
        </w:rPr>
        <w:t>3.乙方收到甲方发出的索赔通知之日起5个工作日内未作答复的，甲方可从合同款或履约保证金中扣回索赔金额，如金额不足以补偿索赔金额，乙方应补足差额部分。</w:t>
      </w:r>
    </w:p>
    <w:p w14:paraId="7D86BBDC">
      <w:pPr>
        <w:widowControl/>
        <w:spacing w:line="360" w:lineRule="auto"/>
        <w:ind w:firstLine="480" w:firstLineChars="200"/>
        <w:jc w:val="left"/>
        <w:rPr>
          <w:rFonts w:asciiTheme="minorEastAsia" w:hAnsiTheme="minorEastAsia" w:eastAsiaTheme="minorEastAsia"/>
          <w:sz w:val="24"/>
          <w:szCs w:val="24"/>
        </w:rPr>
      </w:pPr>
    </w:p>
    <w:p w14:paraId="530E86DE">
      <w:pPr>
        <w:widowControl/>
        <w:spacing w:line="360" w:lineRule="auto"/>
        <w:ind w:firstLine="480" w:firstLineChars="200"/>
        <w:jc w:val="left"/>
        <w:rPr>
          <w:rFonts w:asciiTheme="minorEastAsia" w:hAnsiTheme="minorEastAsia" w:eastAsiaTheme="minorEastAsia"/>
          <w:sz w:val="24"/>
          <w:szCs w:val="24"/>
        </w:rPr>
      </w:pPr>
    </w:p>
    <w:p w14:paraId="23999A9A">
      <w:pPr>
        <w:widowControl/>
        <w:spacing w:line="360" w:lineRule="auto"/>
        <w:ind w:firstLine="480" w:firstLineChars="200"/>
        <w:jc w:val="left"/>
        <w:rPr>
          <w:rFonts w:asciiTheme="minorEastAsia" w:hAnsiTheme="minorEastAsia" w:eastAsiaTheme="minorEastAsia"/>
          <w:sz w:val="24"/>
          <w:szCs w:val="24"/>
        </w:rPr>
      </w:pPr>
    </w:p>
    <w:p w14:paraId="02E901F4">
      <w:pPr>
        <w:widowControl/>
        <w:spacing w:line="360" w:lineRule="auto"/>
        <w:ind w:firstLine="480" w:firstLineChars="200"/>
        <w:jc w:val="left"/>
        <w:rPr>
          <w:rFonts w:asciiTheme="minorEastAsia" w:hAnsiTheme="minorEastAsia" w:eastAsiaTheme="minorEastAsia"/>
          <w:sz w:val="24"/>
          <w:szCs w:val="24"/>
        </w:rPr>
      </w:pPr>
    </w:p>
    <w:p w14:paraId="5A3D7AD7">
      <w:pPr>
        <w:widowControl/>
        <w:spacing w:line="360" w:lineRule="auto"/>
        <w:ind w:firstLine="480" w:firstLineChars="200"/>
        <w:jc w:val="left"/>
        <w:rPr>
          <w:rFonts w:asciiTheme="minorEastAsia" w:hAnsiTheme="minorEastAsia" w:eastAsiaTheme="minorEastAsia"/>
          <w:sz w:val="24"/>
          <w:szCs w:val="24"/>
        </w:rPr>
      </w:pPr>
    </w:p>
    <w:p w14:paraId="56575DFC">
      <w:pPr>
        <w:widowControl/>
        <w:spacing w:line="360" w:lineRule="auto"/>
        <w:ind w:firstLine="480" w:firstLineChars="200"/>
        <w:jc w:val="left"/>
        <w:rPr>
          <w:rFonts w:asciiTheme="minorEastAsia" w:hAnsiTheme="minorEastAsia" w:eastAsiaTheme="minorEastAsia"/>
          <w:sz w:val="24"/>
          <w:szCs w:val="24"/>
        </w:rPr>
      </w:pPr>
    </w:p>
    <w:p w14:paraId="20EDBD3F">
      <w:pPr>
        <w:widowControl/>
        <w:spacing w:line="360" w:lineRule="auto"/>
        <w:ind w:firstLine="480" w:firstLineChars="200"/>
        <w:jc w:val="left"/>
        <w:rPr>
          <w:rFonts w:asciiTheme="minorEastAsia" w:hAnsiTheme="minorEastAsia" w:eastAsiaTheme="minorEastAsia"/>
          <w:sz w:val="24"/>
          <w:szCs w:val="24"/>
        </w:rPr>
      </w:pPr>
    </w:p>
    <w:sectPr>
      <w:pgSz w:w="11906" w:h="16838"/>
      <w:pgMar w:top="1440" w:right="1797" w:bottom="1440" w:left="179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8B72C">
    <w:pPr>
      <w:pStyle w:val="3"/>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3C0E39BE">
                <w:pPr>
                  <w:pStyle w:val="3"/>
                </w:pPr>
                <w:r>
                  <w:fldChar w:fldCharType="begin"/>
                </w:r>
                <w:r>
                  <w:instrText xml:space="preserve"> PAGE  \* MERGEFORMAT </w:instrText>
                </w:r>
                <w:r>
                  <w:fldChar w:fldCharType="separate"/>
                </w:r>
                <w:r>
                  <w:t>- 1 -</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Y5NTFlMDNkNWI5YWYzZmUzZjIyZjM5ZTUzY2I3ZTMifQ=="/>
  </w:docVars>
  <w:rsids>
    <w:rsidRoot w:val="00BC2F9A"/>
    <w:rsid w:val="000176A1"/>
    <w:rsid w:val="00021C0B"/>
    <w:rsid w:val="00030FB2"/>
    <w:rsid w:val="000562C2"/>
    <w:rsid w:val="000A3275"/>
    <w:rsid w:val="000B4FB3"/>
    <w:rsid w:val="000B6B3D"/>
    <w:rsid w:val="000F3BE9"/>
    <w:rsid w:val="0010462E"/>
    <w:rsid w:val="00107697"/>
    <w:rsid w:val="00112884"/>
    <w:rsid w:val="001136EB"/>
    <w:rsid w:val="00124C04"/>
    <w:rsid w:val="00146F41"/>
    <w:rsid w:val="00153BF5"/>
    <w:rsid w:val="0016291C"/>
    <w:rsid w:val="00166A9A"/>
    <w:rsid w:val="001813FE"/>
    <w:rsid w:val="001A24A2"/>
    <w:rsid w:val="001B2F23"/>
    <w:rsid w:val="001D2578"/>
    <w:rsid w:val="001F1FE7"/>
    <w:rsid w:val="00220E3B"/>
    <w:rsid w:val="00237DD2"/>
    <w:rsid w:val="00243CF1"/>
    <w:rsid w:val="00245FE7"/>
    <w:rsid w:val="00291D8C"/>
    <w:rsid w:val="0029556B"/>
    <w:rsid w:val="002B51B5"/>
    <w:rsid w:val="002C5757"/>
    <w:rsid w:val="00306465"/>
    <w:rsid w:val="0031076E"/>
    <w:rsid w:val="00342D81"/>
    <w:rsid w:val="00343297"/>
    <w:rsid w:val="00381D6F"/>
    <w:rsid w:val="00397CC9"/>
    <w:rsid w:val="003A4195"/>
    <w:rsid w:val="003A6521"/>
    <w:rsid w:val="003B55DD"/>
    <w:rsid w:val="00417E0E"/>
    <w:rsid w:val="00440AB2"/>
    <w:rsid w:val="00446DFA"/>
    <w:rsid w:val="0046165B"/>
    <w:rsid w:val="00491FB8"/>
    <w:rsid w:val="00496DCC"/>
    <w:rsid w:val="004C04D1"/>
    <w:rsid w:val="0051103D"/>
    <w:rsid w:val="00523016"/>
    <w:rsid w:val="00537256"/>
    <w:rsid w:val="0056399E"/>
    <w:rsid w:val="00573095"/>
    <w:rsid w:val="005F3624"/>
    <w:rsid w:val="005F38B5"/>
    <w:rsid w:val="00613704"/>
    <w:rsid w:val="006318E8"/>
    <w:rsid w:val="006362B9"/>
    <w:rsid w:val="00657FBF"/>
    <w:rsid w:val="006764EF"/>
    <w:rsid w:val="0070188A"/>
    <w:rsid w:val="00732BFB"/>
    <w:rsid w:val="00753766"/>
    <w:rsid w:val="00753DE8"/>
    <w:rsid w:val="0077744F"/>
    <w:rsid w:val="0079690C"/>
    <w:rsid w:val="00796C73"/>
    <w:rsid w:val="007D13E1"/>
    <w:rsid w:val="008249D1"/>
    <w:rsid w:val="008410B2"/>
    <w:rsid w:val="00862C21"/>
    <w:rsid w:val="00895B02"/>
    <w:rsid w:val="008A3541"/>
    <w:rsid w:val="008C4777"/>
    <w:rsid w:val="008D7EA7"/>
    <w:rsid w:val="00905FE7"/>
    <w:rsid w:val="009174D1"/>
    <w:rsid w:val="00917989"/>
    <w:rsid w:val="00950950"/>
    <w:rsid w:val="0095507D"/>
    <w:rsid w:val="00960970"/>
    <w:rsid w:val="009A5E8C"/>
    <w:rsid w:val="009B4223"/>
    <w:rsid w:val="009D6006"/>
    <w:rsid w:val="009E6A8D"/>
    <w:rsid w:val="009F2B54"/>
    <w:rsid w:val="00A0036B"/>
    <w:rsid w:val="00A01DD5"/>
    <w:rsid w:val="00A35CC9"/>
    <w:rsid w:val="00A40067"/>
    <w:rsid w:val="00AB2937"/>
    <w:rsid w:val="00AC4794"/>
    <w:rsid w:val="00AC67C5"/>
    <w:rsid w:val="00AD0691"/>
    <w:rsid w:val="00AE0D1F"/>
    <w:rsid w:val="00AE7F3E"/>
    <w:rsid w:val="00B14C97"/>
    <w:rsid w:val="00B166F5"/>
    <w:rsid w:val="00B20C62"/>
    <w:rsid w:val="00B404B7"/>
    <w:rsid w:val="00B42E36"/>
    <w:rsid w:val="00B42ED8"/>
    <w:rsid w:val="00B52365"/>
    <w:rsid w:val="00B672F2"/>
    <w:rsid w:val="00B70CC1"/>
    <w:rsid w:val="00BB1E1C"/>
    <w:rsid w:val="00BB59D3"/>
    <w:rsid w:val="00BC2F9A"/>
    <w:rsid w:val="00BE4490"/>
    <w:rsid w:val="00BE5EA6"/>
    <w:rsid w:val="00C06AEF"/>
    <w:rsid w:val="00C120BB"/>
    <w:rsid w:val="00C277A7"/>
    <w:rsid w:val="00C3372E"/>
    <w:rsid w:val="00C35BBF"/>
    <w:rsid w:val="00C37BC7"/>
    <w:rsid w:val="00C47BBD"/>
    <w:rsid w:val="00C712EB"/>
    <w:rsid w:val="00C83717"/>
    <w:rsid w:val="00CC3FC0"/>
    <w:rsid w:val="00D701A6"/>
    <w:rsid w:val="00D73DB2"/>
    <w:rsid w:val="00D76BD4"/>
    <w:rsid w:val="00D80CD1"/>
    <w:rsid w:val="00DA40F1"/>
    <w:rsid w:val="00DF30B4"/>
    <w:rsid w:val="00E056F6"/>
    <w:rsid w:val="00E20B3F"/>
    <w:rsid w:val="00E214C6"/>
    <w:rsid w:val="00E34976"/>
    <w:rsid w:val="00E36800"/>
    <w:rsid w:val="00E650A1"/>
    <w:rsid w:val="00E74F85"/>
    <w:rsid w:val="00E825CC"/>
    <w:rsid w:val="00E941F9"/>
    <w:rsid w:val="00EA0B5A"/>
    <w:rsid w:val="00EA4795"/>
    <w:rsid w:val="00EB1937"/>
    <w:rsid w:val="00EB5FBC"/>
    <w:rsid w:val="00ED50E8"/>
    <w:rsid w:val="00ED5F3A"/>
    <w:rsid w:val="00EF3CA9"/>
    <w:rsid w:val="00F0531F"/>
    <w:rsid w:val="00F94D80"/>
    <w:rsid w:val="00FD3304"/>
    <w:rsid w:val="00FE522C"/>
    <w:rsid w:val="018C1643"/>
    <w:rsid w:val="038F0F77"/>
    <w:rsid w:val="053C6FC5"/>
    <w:rsid w:val="0A0106F5"/>
    <w:rsid w:val="0C656D19"/>
    <w:rsid w:val="0DE152EC"/>
    <w:rsid w:val="0EA428EF"/>
    <w:rsid w:val="13182D37"/>
    <w:rsid w:val="18994863"/>
    <w:rsid w:val="1AA505CB"/>
    <w:rsid w:val="1ABA0C1D"/>
    <w:rsid w:val="205253AE"/>
    <w:rsid w:val="20F93ACE"/>
    <w:rsid w:val="22F41D6D"/>
    <w:rsid w:val="23A10B26"/>
    <w:rsid w:val="242B68BD"/>
    <w:rsid w:val="2FE929BD"/>
    <w:rsid w:val="31B479A1"/>
    <w:rsid w:val="32A7571E"/>
    <w:rsid w:val="330218CF"/>
    <w:rsid w:val="3885411B"/>
    <w:rsid w:val="3E042EFF"/>
    <w:rsid w:val="3F9D1D4A"/>
    <w:rsid w:val="410127AD"/>
    <w:rsid w:val="4C3C28EB"/>
    <w:rsid w:val="4CF136D5"/>
    <w:rsid w:val="4D8D5BC8"/>
    <w:rsid w:val="518B6279"/>
    <w:rsid w:val="5A1B1483"/>
    <w:rsid w:val="5A987735"/>
    <w:rsid w:val="5C6F7869"/>
    <w:rsid w:val="5DFF3B89"/>
    <w:rsid w:val="5F4D130F"/>
    <w:rsid w:val="62361E5F"/>
    <w:rsid w:val="691D5B26"/>
    <w:rsid w:val="6D207FD7"/>
    <w:rsid w:val="6F3A6E15"/>
    <w:rsid w:val="73201477"/>
    <w:rsid w:val="760957E9"/>
    <w:rsid w:val="77290583"/>
    <w:rsid w:val="79956AFE"/>
    <w:rsid w:val="7A127D8E"/>
    <w:rsid w:val="7B450F0D"/>
    <w:rsid w:val="7DC14A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semiHidden/>
    <w:unhideWhenUsed/>
    <w:qFormat/>
    <w:uiPriority w:val="99"/>
    <w:pPr>
      <w:spacing w:after="120"/>
      <w:ind w:left="420" w:leftChars="200"/>
    </w:p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2"/>
    <w:basedOn w:val="2"/>
    <w:link w:val="13"/>
    <w:unhideWhenUsed/>
    <w:qFormat/>
    <w:uiPriority w:val="0"/>
    <w:pPr>
      <w:ind w:firstLine="420" w:firstLineChars="200"/>
    </w:pPr>
    <w:rPr>
      <w:rFonts w:ascii="Times New Roman" w:hAnsi="Times New Roman" w:cs="Times New Roman"/>
      <w:szCs w:val="20"/>
    </w:rPr>
  </w:style>
  <w:style w:type="table" w:styleId="7">
    <w:name w:val="Table Grid"/>
    <w:basedOn w:val="6"/>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9">
    <w:name w:val="Strong"/>
    <w:qFormat/>
    <w:uiPriority w:val="22"/>
    <w:rPr>
      <w:b/>
      <w:bCs/>
    </w:rPr>
  </w:style>
  <w:style w:type="character" w:customStyle="1" w:styleId="10">
    <w:name w:val="页眉 Char"/>
    <w:basedOn w:val="8"/>
    <w:link w:val="4"/>
    <w:semiHidden/>
    <w:qFormat/>
    <w:uiPriority w:val="99"/>
    <w:rPr>
      <w:rFonts w:ascii="Calibri" w:hAnsi="Calibri" w:eastAsia="宋体" w:cs="宋体"/>
      <w:sz w:val="18"/>
      <w:szCs w:val="18"/>
    </w:rPr>
  </w:style>
  <w:style w:type="character" w:customStyle="1" w:styleId="11">
    <w:name w:val="页脚 Char"/>
    <w:basedOn w:val="8"/>
    <w:link w:val="3"/>
    <w:semiHidden/>
    <w:qFormat/>
    <w:uiPriority w:val="99"/>
    <w:rPr>
      <w:rFonts w:ascii="Calibri" w:hAnsi="Calibri" w:eastAsia="宋体" w:cs="宋体"/>
      <w:sz w:val="18"/>
      <w:szCs w:val="18"/>
    </w:rPr>
  </w:style>
  <w:style w:type="character" w:customStyle="1" w:styleId="12">
    <w:name w:val="正文文本缩进 Char"/>
    <w:basedOn w:val="8"/>
    <w:link w:val="2"/>
    <w:semiHidden/>
    <w:qFormat/>
    <w:uiPriority w:val="99"/>
    <w:rPr>
      <w:rFonts w:ascii="Calibri" w:hAnsi="Calibri" w:eastAsia="宋体" w:cs="宋体"/>
    </w:rPr>
  </w:style>
  <w:style w:type="character" w:customStyle="1" w:styleId="13">
    <w:name w:val="正文首行缩进 2 Char"/>
    <w:basedOn w:val="12"/>
    <w:link w:val="5"/>
    <w:qFormat/>
    <w:uiPriority w:val="0"/>
    <w:rPr>
      <w:rFonts w:ascii="Times New Roman" w:hAnsi="Times New Roman" w:cs="Times New Roman"/>
      <w:szCs w:val="20"/>
    </w:rPr>
  </w:style>
  <w:style w:type="paragraph" w:styleId="14">
    <w:name w:val="List Paragraph"/>
    <w:basedOn w:val="1"/>
    <w:qFormat/>
    <w:uiPriority w:val="34"/>
    <w:pPr>
      <w:spacing w:line="500" w:lineRule="exact"/>
      <w:ind w:firstLine="420" w:firstLineChars="200"/>
    </w:pPr>
    <w:rPr>
      <w:rFonts w:ascii="Times New Roman" w:hAnsi="Times New Roman" w:cs="Times New Roman"/>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12</Pages>
  <Words>6208</Words>
  <Characters>6444</Characters>
  <Lines>48</Lines>
  <Paragraphs>13</Paragraphs>
  <TotalTime>77</TotalTime>
  <ScaleCrop>false</ScaleCrop>
  <LinksUpToDate>false</LinksUpToDate>
  <CharactersWithSpaces>6653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2023-05-08T07:29:00Z</dcterms:created>
  <dc:creator>胡明</dc:creator>
  <cp:lastModifiedBy>罗永山</cp:lastModifiedBy>
  <dcterms:modified xsi:type="dcterms:W3CDTF">2024-09-13T03:28:14Z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B26750599F5546D9B9665193E9F7460C_12</vt:lpwstr>
  </property>
</Properties>
</file>