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22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</w:t>
            </w:r>
          </w:p>
        </w:tc>
        <w:tc>
          <w:tcPr>
            <w:tcW w:w="35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2.上表中合计金额应与开标一览表中的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单价合计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保持一致，且不得超出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采购预算或</w:t>
      </w:r>
      <w:r>
        <w:rPr>
          <w:rFonts w:hint="eastAsia" w:ascii="仿宋" w:hAnsi="仿宋" w:eastAsia="仿宋"/>
          <w:color w:val="0D0D0D"/>
          <w:sz w:val="24"/>
          <w:szCs w:val="22"/>
        </w:rPr>
        <w:t>最高限价。</w:t>
      </w:r>
    </w:p>
    <w:p>
      <w:pPr>
        <w:spacing w:line="360" w:lineRule="auto"/>
        <w:rPr>
          <w:rFonts w:hint="default" w:ascii="仿宋" w:hAnsi="仿宋" w:eastAsia="仿宋"/>
          <w:color w:val="0D0D0D"/>
          <w:sz w:val="24"/>
          <w:szCs w:val="22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3.本项目各设备报价应为全费用综合价格包含全部成本、预期利益、税费、设备价、运输费（含保险费）、安装调试费、培训费、产品辅材费、系统集成费用、安装期间必须的场地调整费用、安全维护、售后服务费、驻场及其他后期维</w:t>
      </w:r>
      <w:bookmarkStart w:id="0" w:name="_GoBack"/>
      <w:bookmarkEnd w:id="0"/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保费用、备品备件费用、第三方接口费、其它伴随费用和合同中规定乙方应承担的其他义务的费用、代理服务费等，以上费用应包含在货物报价中无需单列。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0195BA8"/>
    <w:rsid w:val="53775307"/>
    <w:rsid w:val="6EA071B9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2024-05-06T09:16:34Z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0BF67E5BA58A4F0BA1BAA1359136C02D_11</vt:lpwstr>
  </property>
</Properties>
</file>