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21E53">
      <w:pPr>
        <w:jc w:val="center"/>
        <w:rPr>
          <w:sz w:val="32"/>
          <w:szCs w:val="32"/>
          <w:lang w:eastAsia="zh-CN"/>
        </w:rPr>
      </w:pPr>
      <w:r>
        <w:rPr>
          <w:spacing w:val="8"/>
          <w:sz w:val="32"/>
          <w:szCs w:val="32"/>
          <w:lang w:eastAsia="zh-CN"/>
        </w:rPr>
        <w:t>确保工程质量的技术组织措</w:t>
      </w:r>
      <w:r>
        <w:rPr>
          <w:sz w:val="32"/>
          <w:szCs w:val="32"/>
          <w:lang w:eastAsia="zh-CN"/>
        </w:rPr>
        <w:t>施</w:t>
      </w:r>
    </w:p>
    <w:p w14:paraId="54E023C6">
      <w:pPr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按照评审标准编写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3370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2024-08-28T05:02:36Z</dcterms:created>
  <dc:creator>Administrator</dc:creator>
  <cp:lastModifiedBy>@南方艳阳</cp:lastModifiedBy>
  <dcterms:modified xsi:type="dcterms:W3CDTF">2024-08-28T05:03:17Z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5BE03B4271D64F3DAC11CA26E68B9493_12</vt:lpwstr>
  </property>
</Properties>
</file>