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院内绿化养护管理服务项目</w:t>
      </w:r>
    </w:p>
    <w:p>
      <w:pPr>
        <w:pStyle w:val="null3"/>
        <w:jc w:val="center"/>
        <w:outlineLvl w:val="2"/>
      </w:pPr>
      <w:r>
        <w:rPr>
          <w:sz w:val="28"/>
          <w:b/>
        </w:rPr>
        <w:t>采购项目编号：</w:t>
      </w:r>
      <w:r>
        <w:rPr>
          <w:sz w:val="28"/>
          <w:b/>
        </w:rPr>
        <w:t>DTZB-2024027</w:t>
      </w:r>
      <w:r>
        <w:br/>
      </w:r>
      <w:r>
        <w:br/>
      </w:r>
      <w:r>
        <w:br/>
      </w:r>
    </w:p>
    <w:p>
      <w:pPr>
        <w:pStyle w:val="null3"/>
        <w:jc w:val="center"/>
        <w:outlineLvl w:val="2"/>
      </w:pPr>
      <w:r>
        <w:rPr>
          <w:sz w:val="28"/>
          <w:b/>
        </w:rPr>
        <w:t>汉景帝阳陵博物院</w:t>
      </w:r>
    </w:p>
    <w:p>
      <w:pPr>
        <w:pStyle w:val="null3"/>
        <w:jc w:val="center"/>
        <w:outlineLvl w:val="2"/>
      </w:pPr>
      <w:r>
        <w:rPr>
          <w:sz w:val="28"/>
          <w:b/>
        </w:rPr>
        <w:t>陕西大同项目管理有限公司</w:t>
      </w:r>
      <w:r>
        <w:rPr>
          <w:sz w:val="28"/>
          <w:b/>
        </w:rPr>
        <w:t>共同编制</w:t>
      </w:r>
    </w:p>
    <w:p>
      <w:pPr>
        <w:pStyle w:val="null3"/>
        <w:jc w:val="center"/>
        <w:outlineLvl w:val="2"/>
      </w:pPr>
      <w:r>
        <w:rPr>
          <w:sz w:val="28"/>
          <w:b/>
        </w:rPr>
        <w:t>2024年08月22日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陕西大同项目管理有限公司</w:t>
      </w:r>
      <w:r>
        <w:rPr/>
        <w:t>（以下简称“代理机构”）受</w:t>
      </w:r>
      <w:r>
        <w:rPr/>
        <w:t>汉景帝阳陵博物院</w:t>
      </w:r>
      <w:r>
        <w:rPr/>
        <w:t>委托，拟对</w:t>
      </w:r>
      <w:r>
        <w:rPr/>
        <w:t>院内绿化养护管理服务项目</w:t>
      </w:r>
      <w:r>
        <w:rPr/>
        <w:t>采用竞争性磋商采购方式进行采购，兹邀请供应商参加本项目的竞争性磋商。</w:t>
      </w:r>
    </w:p>
    <w:p>
      <w:pPr>
        <w:pStyle w:val="null3"/>
        <w:outlineLvl w:val="2"/>
      </w:pPr>
      <w:r>
        <w:rPr>
          <w:sz w:val="28"/>
          <w:b/>
        </w:rPr>
        <w:t>一、项目编号：</w:t>
      </w:r>
      <w:r>
        <w:rPr>
          <w:sz w:val="28"/>
          <w:b/>
        </w:rPr>
        <w:t>DTZB-2024027</w:t>
      </w:r>
    </w:p>
    <w:p>
      <w:pPr>
        <w:pStyle w:val="null3"/>
        <w:outlineLvl w:val="2"/>
      </w:pPr>
      <w:r>
        <w:rPr>
          <w:sz w:val="28"/>
          <w:b/>
        </w:rPr>
        <w:t>二、项目名称：</w:t>
      </w:r>
      <w:r>
        <w:rPr>
          <w:sz w:val="28"/>
          <w:b/>
        </w:rPr>
        <w:t>院内绿化养护管理服务项目</w:t>
      </w:r>
    </w:p>
    <w:p>
      <w:pPr>
        <w:pStyle w:val="null3"/>
        <w:outlineLvl w:val="2"/>
      </w:pPr>
      <w:r>
        <w:rPr>
          <w:sz w:val="28"/>
          <w:b/>
        </w:rPr>
        <w:t>三、磋商项目简介</w:t>
      </w:r>
    </w:p>
    <w:p>
      <w:pPr>
        <w:pStyle w:val="null3"/>
        <w:ind w:firstLine="480"/>
      </w:pPr>
      <w:r>
        <w:rPr/>
        <w:t>承担汉景帝阳陵博物院内绿化养护管理服务项目，本次养护范围约1000余亩绿地内，包含草坪、灌木、乔木、竹子、花卉生产等养护，服务质量合格且无其他问题。服务内容见采购需求。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采购包1（汉景帝阳陵博物院院内绿化养护管理服务项目）：属于专门面向中小企业采购。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t>2、重大违法记录：参加政府采购活动前3年内在经营活动中没有重大违法记录；供应商需在项目电子化交易系统中按要求填写《响应函》完成承诺并进行电子签章；</w:t>
      </w:r>
    </w:p>
    <w:p>
      <w:pPr>
        <w:pStyle w:val="null3"/>
      </w:pPr>
      <w:r>
        <w:rPr/>
        <w:t>3、信用主体查询：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信用承诺函》完成承诺并进行电子签章；</w:t>
      </w:r>
    </w:p>
    <w:p>
      <w:pPr>
        <w:pStyle w:val="null3"/>
      </w:pPr>
      <w:r>
        <w:rPr/>
        <w:t>4、财务状况报告：财务状况报告：提供2023年度经会计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p>
      <w:pPr>
        <w:pStyle w:val="null3"/>
      </w:pPr>
      <w:r>
        <w:rPr/>
        <w:t>5、社保缴纳证明：社保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p>
      <w:pPr>
        <w:pStyle w:val="null3"/>
      </w:pPr>
      <w:r>
        <w:rPr/>
        <w:t>6、税收缴纳证明：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p>
      <w:pPr>
        <w:pStyle w:val="null3"/>
      </w:pPr>
      <w:r>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t>8、控股管理关系：单位负责人为同一人或者存在直接控股、管理关系的供应商，不得参加同一合同下的政府采购活动; 供应商需在项目电子化交易系统中按要求填写《响应函》完成承诺并进行电子签章；</w:t>
      </w:r>
    </w:p>
    <w:p>
      <w:pPr>
        <w:pStyle w:val="null3"/>
      </w:pPr>
      <w:r>
        <w:rPr/>
        <w:t>9、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t>10、联合体及分包情况：本项目不接受联合体响应，不允许分包，供应商提供《非联合体、不分包投标声明》，视为独立响应，不分包。供应商需在项目电子化交易系统中按要求填写《非联合体、不分包投标声明》完成承诺并进行电子签章；</w:t>
      </w:r>
    </w:p>
    <w:p>
      <w:pPr>
        <w:pStyle w:val="null3"/>
      </w:pPr>
      <w:r>
        <w:rPr/>
        <w:t>11、是否专门中小企业采购：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汉景帝阳陵博物院</w:t>
      </w:r>
    </w:p>
    <w:p>
      <w:pPr>
        <w:pStyle w:val="null3"/>
      </w:pPr>
      <w:r>
        <w:rPr/>
        <w:t xml:space="preserve"> 地址： </w:t>
      </w:r>
      <w:r>
        <w:rPr/>
        <w:t>西安经济技术开发区泾河工业园机场路东段</w:t>
      </w:r>
    </w:p>
    <w:p>
      <w:pPr>
        <w:pStyle w:val="null3"/>
      </w:pPr>
      <w:r>
        <w:rPr/>
        <w:t xml:space="preserve"> 邮编： </w:t>
      </w:r>
      <w:r>
        <w:rPr/>
        <w:t>/</w:t>
      </w:r>
    </w:p>
    <w:p>
      <w:pPr>
        <w:pStyle w:val="null3"/>
      </w:pPr>
      <w:r>
        <w:rPr/>
        <w:t xml:space="preserve"> 联系人： </w:t>
      </w:r>
      <w:r>
        <w:rPr/>
        <w:t>汉景帝阳陵博物院</w:t>
      </w:r>
    </w:p>
    <w:p>
      <w:pPr>
        <w:pStyle w:val="null3"/>
      </w:pPr>
      <w:r>
        <w:rPr/>
        <w:t xml:space="preserve"> 联系电话： </w:t>
      </w:r>
      <w:r>
        <w:rPr/>
        <w:t>029-62657091</w:t>
      </w:r>
    </w:p>
    <w:p>
      <w:pPr>
        <w:pStyle w:val="null3"/>
        <w:outlineLvl w:val="3"/>
      </w:pPr>
      <w:r>
        <w:rPr>
          <w:sz w:val="24"/>
          <w:b/>
        </w:rPr>
        <w:t>代理机构：</w:t>
      </w:r>
      <w:r>
        <w:rPr>
          <w:sz w:val="24"/>
          <w:b/>
        </w:rPr>
        <w:t>陕西大同项目管理有限公司</w:t>
      </w:r>
    </w:p>
    <w:p>
      <w:pPr>
        <w:pStyle w:val="null3"/>
      </w:pPr>
      <w:r>
        <w:rPr/>
        <w:t xml:space="preserve"> 地址： </w:t>
      </w:r>
      <w:r>
        <w:rPr/>
        <w:t>陕西省西安市市本级西安市高新区唐延路3号旺座国际城B座1102号</w:t>
      </w:r>
    </w:p>
    <w:p>
      <w:pPr>
        <w:pStyle w:val="null3"/>
      </w:pPr>
      <w:r>
        <w:rPr/>
        <w:t xml:space="preserve"> 邮编： </w:t>
      </w:r>
      <w:r>
        <w:rPr/>
        <w:t>/</w:t>
      </w:r>
    </w:p>
    <w:p>
      <w:pPr>
        <w:pStyle w:val="null3"/>
      </w:pPr>
      <w:r>
        <w:rPr/>
        <w:t xml:space="preserve"> 联系人： </w:t>
      </w:r>
      <w:r>
        <w:rPr/>
        <w:t>权工</w:t>
      </w:r>
    </w:p>
    <w:p>
      <w:pPr>
        <w:pStyle w:val="null3"/>
      </w:pPr>
      <w:r>
        <w:rPr/>
        <w:t xml:space="preserve"> 联系电话： </w:t>
      </w:r>
      <w:r>
        <w:rPr/>
        <w:t>18681807095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说明：合同签订前缴纳履约保证金，验收合格后返回</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代理服务费收费标准：参照国家发展与改革委员会《招标代理服务收费暂行办法》（计价格[2002]1980号）文件规定标准计取。服务费不足陆仟元的，按陆仟元收取。按中标（成交）金额对应区间的费率直接计算。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汉景帝阳陵博物院</w:t>
      </w:r>
      <w:r>
        <w:rPr/>
        <w:t>和</w:t>
      </w:r>
      <w:r>
        <w:rPr/>
        <w:t>陕西大同项目管理有限公司</w:t>
      </w:r>
      <w:r>
        <w:rPr/>
        <w:t>享有。对磋商文件中供应商参加本次政府采购活动应当具备的条件，磋商项目技术、服务、商务及其他要求，评审细则及标准由</w:t>
      </w:r>
      <w:r>
        <w:rPr/>
        <w:t>汉景帝阳陵博物院</w:t>
      </w:r>
      <w:r>
        <w:rPr/>
        <w:t>负责解释。除上述磋商文件内容，其他内容由</w:t>
      </w:r>
      <w:r>
        <w:rPr/>
        <w:t>陕西大同项目管理有限公司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汉景帝阳陵博物院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陕西大同项目管理有限公司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成交人必须严格遵守采购方的规章制度及绿化养护管理规定,服从管理,且做出书面承诺与合同一并生效。</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陕西大同项目管理有限公司</w:t>
      </w:r>
      <w:r>
        <w:rPr/>
        <w:t xml:space="preserve"> 负责答复；供应商对除采购需求外的采购文件的询问、质疑由</w:t>
      </w:r>
      <w:r>
        <w:rPr/>
        <w:t>陕西大同项目管理有限公司</w:t>
      </w:r>
      <w:r>
        <w:rPr/>
        <w:t xml:space="preserve"> 负责答复；供应商对采购过程、采购结果的询问、质疑由 </w:t>
      </w:r>
      <w:r>
        <w:rPr/>
        <w:t>陕西大同项目管理有限公司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联系人：权工</w:t>
      </w:r>
    </w:p>
    <w:p>
      <w:pPr>
        <w:pStyle w:val="null3"/>
      </w:pPr>
      <w:r>
        <w:rPr/>
        <w:t>联系电话：18681807095</w:t>
      </w:r>
    </w:p>
    <w:p>
      <w:pPr>
        <w:pStyle w:val="null3"/>
      </w:pPr>
      <w:r>
        <w:rPr/>
        <w:t>地址：陕西省西安市神州五路秦创原新经济产业园2号楼8层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承担汉景帝阳陵博物院内绿化养护管理服务项目，本次养护范围约1000余亩绿地内，包含草坪、灌木、乔木、竹子、花卉生产等养护，服务质量合格且无其他问题。</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汉景帝阳陵博物院内绿化管理</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标的名称：汉景帝阳陵博物院内绿化管理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园林养护：</w:t>
            </w:r>
          </w:p>
          <w:p>
            <w:pPr>
              <w:pStyle w:val="null3"/>
            </w:pPr>
            <w:r>
              <w:rPr>
                <w:rFonts w:ascii="宋体" w:hAnsi="宋体" w:cs="宋体" w:eastAsia="宋体"/>
                <w:sz w:val="20"/>
              </w:rPr>
              <w:t>本次养护范围约1000余亩绿地内，包含草坪、灌木、乔木、竹子、花卉生产等养护。</w:t>
            </w:r>
          </w:p>
          <w:p>
            <w:pPr>
              <w:pStyle w:val="null3"/>
            </w:pPr>
            <w:r>
              <w:rPr>
                <w:rFonts w:ascii="宋体" w:hAnsi="宋体" w:cs="宋体" w:eastAsia="宋体"/>
                <w:sz w:val="20"/>
              </w:rPr>
              <w:t>1</w:t>
            </w:r>
            <w:r>
              <w:rPr>
                <w:rFonts w:ascii="宋体" w:hAnsi="宋体" w:cs="宋体" w:eastAsia="宋体"/>
                <w:sz w:val="20"/>
              </w:rPr>
              <w:t>、草坪修剪整齐一致,留茬高不超过0.13m；适时浇水或喷水。</w:t>
            </w:r>
          </w:p>
          <w:p>
            <w:pPr>
              <w:pStyle w:val="null3"/>
            </w:pPr>
            <w:r>
              <w:rPr>
                <w:rFonts w:ascii="宋体" w:hAnsi="宋体" w:cs="宋体" w:eastAsia="宋体"/>
                <w:sz w:val="20"/>
              </w:rPr>
              <w:t>2</w:t>
            </w:r>
            <w:r>
              <w:rPr>
                <w:rFonts w:ascii="宋体" w:hAnsi="宋体" w:cs="宋体" w:eastAsia="宋体"/>
                <w:sz w:val="20"/>
              </w:rPr>
              <w:t>、适时喷洒环保型农药，严格按照农药喷洒规范操作。</w:t>
            </w:r>
          </w:p>
          <w:p>
            <w:pPr>
              <w:pStyle w:val="null3"/>
            </w:pPr>
            <w:r>
              <w:rPr>
                <w:rFonts w:ascii="宋体" w:hAnsi="宋体" w:cs="宋体" w:eastAsia="宋体"/>
                <w:sz w:val="20"/>
              </w:rPr>
              <w:t>3</w:t>
            </w:r>
            <w:r>
              <w:rPr>
                <w:rFonts w:ascii="宋体" w:hAnsi="宋体" w:cs="宋体" w:eastAsia="宋体"/>
                <w:sz w:val="20"/>
              </w:rPr>
              <w:t>、适时乔木浇灌、施肥、病虫害防治。</w:t>
            </w:r>
          </w:p>
          <w:p>
            <w:pPr>
              <w:pStyle w:val="null3"/>
            </w:pPr>
            <w:r>
              <w:rPr>
                <w:rFonts w:ascii="宋体" w:hAnsi="宋体" w:cs="宋体" w:eastAsia="宋体"/>
                <w:sz w:val="20"/>
              </w:rPr>
              <w:t>4</w:t>
            </w:r>
            <w:r>
              <w:rPr>
                <w:rFonts w:ascii="宋体" w:hAnsi="宋体" w:cs="宋体" w:eastAsia="宋体"/>
                <w:sz w:val="20"/>
              </w:rPr>
              <w:t>、根据灌木的生长情况合理进行修剪，修剪线条自然、平整。</w:t>
            </w:r>
          </w:p>
          <w:p>
            <w:pPr>
              <w:pStyle w:val="null3"/>
            </w:pPr>
            <w:r>
              <w:rPr>
                <w:rFonts w:ascii="宋体" w:hAnsi="宋体" w:cs="宋体" w:eastAsia="宋体"/>
                <w:sz w:val="21"/>
              </w:rPr>
              <w:t>5</w:t>
            </w:r>
            <w:r>
              <w:rPr>
                <w:rFonts w:ascii="宋体" w:hAnsi="宋体" w:cs="宋体" w:eastAsia="宋体"/>
                <w:sz w:val="21"/>
              </w:rPr>
              <w:t>、喷灌设施设备、所有园林器械设备等的维修保养与提供。养护所需油料、刀片、打草绳等耗材以及肥料、农药的提供。</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0"/>
              </w:rPr>
              <w:t>绿化养护要求</w:t>
            </w:r>
          </w:p>
          <w:p>
            <w:pPr>
              <w:pStyle w:val="null3"/>
            </w:pPr>
            <w:r>
              <w:rPr>
                <w:rFonts w:ascii="宋体" w:hAnsi="宋体" w:cs="宋体" w:eastAsia="宋体"/>
                <w:sz w:val="20"/>
              </w:rPr>
              <w:t>1</w:t>
            </w:r>
            <w:r>
              <w:rPr>
                <w:rFonts w:ascii="宋体" w:hAnsi="宋体" w:cs="宋体" w:eastAsia="宋体"/>
                <w:sz w:val="20"/>
              </w:rPr>
              <w:t>、成交人必须严格遵守采购方的规章制度及绿化养护管理规定,服从管理,且做出书面承诺与合同一并生效。</w:t>
            </w:r>
          </w:p>
          <w:p>
            <w:pPr>
              <w:pStyle w:val="null3"/>
            </w:pPr>
            <w:r>
              <w:rPr>
                <w:rFonts w:ascii="宋体" w:hAnsi="宋体" w:cs="宋体" w:eastAsia="宋体"/>
                <w:sz w:val="20"/>
              </w:rPr>
              <w:t>2</w:t>
            </w:r>
            <w:r>
              <w:rPr>
                <w:rFonts w:ascii="宋体" w:hAnsi="宋体" w:cs="宋体" w:eastAsia="宋体"/>
                <w:sz w:val="20"/>
              </w:rPr>
              <w:t>、成交人在服务期内的有关工作记录、管理资料按要求填报,每月应按要求按时送交采购方存档。</w:t>
            </w:r>
          </w:p>
          <w:p>
            <w:pPr>
              <w:pStyle w:val="null3"/>
            </w:pPr>
            <w:r>
              <w:rPr>
                <w:rFonts w:ascii="宋体" w:hAnsi="宋体" w:cs="宋体" w:eastAsia="宋体"/>
                <w:sz w:val="20"/>
              </w:rPr>
              <w:t>3</w:t>
            </w:r>
            <w:r>
              <w:rPr>
                <w:rFonts w:ascii="宋体" w:hAnsi="宋体" w:cs="宋体" w:eastAsia="宋体"/>
                <w:sz w:val="20"/>
              </w:rPr>
              <w:t>、按国家规定应由成交人缴纳的各种费用（已包含在合同价内)由中标人负责向有关部门缴纳。</w:t>
            </w:r>
          </w:p>
          <w:p>
            <w:pPr>
              <w:pStyle w:val="null3"/>
            </w:pPr>
            <w:r>
              <w:rPr>
                <w:rFonts w:ascii="宋体" w:hAnsi="宋体" w:cs="宋体" w:eastAsia="宋体"/>
                <w:sz w:val="20"/>
              </w:rPr>
              <w:t>4</w:t>
            </w:r>
            <w:r>
              <w:rPr>
                <w:rFonts w:ascii="宋体" w:hAnsi="宋体" w:cs="宋体" w:eastAsia="宋体"/>
                <w:sz w:val="20"/>
              </w:rPr>
              <w:t>、及时清运并处理绿化养护产生的垃圾(如:树枝、杂草等粉碎撒入空地内)。重点（影响游客参观或院区环境）区域做到随产随清,其它区域做到施工完成及时清理；保持绿地整洁,无大量落叶和塑料袋等废弃物,生长季节每周一次保洁,禁止在院区焚烧、长期堆放绿化垃圾(不超过三天)。绿化垃圾进行粉碎等无公害处理后回填至空地，或直接清运出园区，不得留存火灾隐患。</w:t>
            </w:r>
          </w:p>
          <w:p>
            <w:pPr>
              <w:pStyle w:val="null3"/>
            </w:pPr>
            <w:r>
              <w:rPr>
                <w:rFonts w:ascii="宋体" w:hAnsi="宋体" w:cs="宋体" w:eastAsia="宋体"/>
                <w:sz w:val="20"/>
              </w:rPr>
              <w:t>5</w:t>
            </w:r>
            <w:r>
              <w:rPr>
                <w:rFonts w:ascii="宋体" w:hAnsi="宋体" w:cs="宋体" w:eastAsia="宋体"/>
                <w:sz w:val="20"/>
              </w:rPr>
              <w:t>、主要技术要求：符合国家规范、行业标准及磋商文件技术规范要求，达到招标文件约定的合格验收标准。</w:t>
            </w:r>
          </w:p>
          <w:p>
            <w:pPr>
              <w:pStyle w:val="null3"/>
            </w:pPr>
            <w:r>
              <w:rPr>
                <w:rFonts w:ascii="宋体" w:hAnsi="宋体" w:cs="宋体" w:eastAsia="宋体"/>
                <w:sz w:val="21"/>
              </w:rPr>
              <w:t>6</w:t>
            </w:r>
            <w:r>
              <w:rPr>
                <w:rFonts w:ascii="宋体" w:hAnsi="宋体" w:cs="宋体" w:eastAsia="宋体"/>
                <w:sz w:val="21"/>
              </w:rPr>
              <w:t>、成交人必须加强安全生产管理，遵守并执行各项安全要求，健全施工安全预案，坚决杜绝安全事故发生，确保养护的绿地不发生火灾和因病虫害导致花卉、苗木和草坪大面积的死亡。</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1"/>
              </w:rPr>
              <w:t>项目施工量清单及预算</w:t>
            </w:r>
          </w:p>
          <w:tbl>
            <w:tblPr>
              <w:tblBorders>
                <w:top w:val="none" w:color="000000" w:sz="4"/>
                <w:left w:val="none" w:color="000000" w:sz="4"/>
                <w:bottom w:val="none" w:color="000000" w:sz="4"/>
                <w:right w:val="none" w:color="000000" w:sz="4"/>
                <w:insideH w:val="none"/>
                <w:insideV w:val="none"/>
              </w:tblBorders>
            </w:tblPr>
            <w:tblGrid>
              <w:gridCol w:w="166"/>
              <w:gridCol w:w="537"/>
              <w:gridCol w:w="331"/>
              <w:gridCol w:w="617"/>
              <w:gridCol w:w="286"/>
              <w:gridCol w:w="617"/>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rPr>
                    <w:t>序号</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rPr>
                    <w:t>项目名称</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rPr>
                    <w:t>工程量</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98"/>
                    <w:jc w:val="center"/>
                  </w:pPr>
                  <w:r>
                    <w:rPr>
                      <w:rFonts w:ascii="宋体" w:hAnsi="宋体" w:cs="宋体" w:eastAsia="宋体"/>
                      <w:sz w:val="20"/>
                      <w:b/>
                    </w:rPr>
                    <w:t>明细</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rPr>
                    <w:t>养护频次</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rPr>
                    <w:t>情况介绍</w:t>
                  </w:r>
                </w:p>
              </w:tc>
            </w:tr>
            <w:tr>
              <w:tc>
                <w:tcPr>
                  <w:tcW w:type="dxa" w:w="70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一、园林养护</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w:t>
                  </w:r>
                </w:p>
              </w:tc>
              <w:tc>
                <w:tcPr>
                  <w:tcW w:type="dxa" w:w="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油松养护</w:t>
                  </w:r>
                </w:p>
              </w:tc>
              <w:tc>
                <w:tcPr>
                  <w:tcW w:type="dxa" w:w="3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160</w:t>
                  </w:r>
                  <w:r>
                    <w:rPr>
                      <w:rFonts w:ascii="宋体" w:hAnsi="宋体" w:cs="宋体" w:eastAsia="宋体"/>
                      <w:sz w:val="20"/>
                    </w:rPr>
                    <w:t>株</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浇水、施肥</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不少于2次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行道树，树边有灌溉设施、冲施肥6桶/次</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树木复壮、施肥、松土</w:t>
                  </w:r>
                </w:p>
              </w:tc>
              <w:tc>
                <w:tcPr>
                  <w:tcW w:type="dxa" w:w="286"/>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挖复壮沟埋有机肥 1次；土壤板结、毛细根少；深翻树穴</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喷农药、喷叶面肥</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不少于5次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胸径：约0.4m，高18m</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树木防倒固定</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倾斜支撑防倒伏</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w:t>
                  </w:r>
                </w:p>
              </w:tc>
              <w:tc>
                <w:tcPr>
                  <w:tcW w:type="dxa" w:w="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混播草坪养护</w:t>
                  </w:r>
                </w:p>
              </w:tc>
              <w:tc>
                <w:tcPr>
                  <w:tcW w:type="dxa" w:w="3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384.8</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人工浇水23亩</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留茬高不超过0.13m</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水源在草坪边</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喷水307亩(草坪与灌木混栽)</w:t>
                  </w:r>
                </w:p>
              </w:tc>
              <w:tc>
                <w:tcPr>
                  <w:tcW w:type="dxa" w:w="286"/>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地下喷灌</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汉文化学习中心2亩</w:t>
                  </w:r>
                </w:p>
              </w:tc>
              <w:tc>
                <w:tcPr>
                  <w:tcW w:type="dxa" w:w="286"/>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人工浇水</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汉代综合馆2.8亩</w:t>
                  </w:r>
                </w:p>
              </w:tc>
              <w:tc>
                <w:tcPr>
                  <w:tcW w:type="dxa" w:w="286"/>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人工浇水</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剪草、清理、拉运</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草坪内的杂草清理、周边道路清扫</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清理出院区</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3</w:t>
                  </w:r>
                </w:p>
              </w:tc>
              <w:tc>
                <w:tcPr>
                  <w:tcW w:type="dxa" w:w="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灌木修剪、清理</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660</w:t>
                  </w:r>
                  <w:r>
                    <w:rPr>
                      <w:rFonts w:ascii="宋体" w:hAnsi="宋体" w:cs="宋体" w:eastAsia="宋体"/>
                      <w:sz w:val="20"/>
                    </w:rPr>
                    <w:t>株</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 xml:space="preserve">修剪球形 </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留茬高不超过0.13 m</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高0.6m-1.5m</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6934m</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修剪绿篱</w:t>
                  </w:r>
                </w:p>
              </w:tc>
              <w:tc>
                <w:tcPr>
                  <w:tcW w:type="dxa" w:w="286"/>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宽1m-2.5m（北海道黄杨84米）</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桧柏、洒金柏1.2m</w:t>
                  </w:r>
                </w:p>
              </w:tc>
              <w:tc>
                <w:tcPr>
                  <w:tcW w:type="dxa" w:w="286"/>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20m</w:t>
                  </w:r>
                  <w:r>
                    <w:rPr>
                      <w:rFonts w:ascii="宋体" w:hAnsi="宋体" w:cs="宋体" w:eastAsia="宋体"/>
                      <w:sz w:val="20"/>
                    </w:rPr>
                    <w:t>×20m方块形</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4</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荒草割灌</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60</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割灌、清理、拉运</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留茬高不超过0.2m</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路边及林地内</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5</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粉黛草分栽</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60</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对现有缺株粉黛草分栽</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1</w:t>
                  </w:r>
                  <w:r>
                    <w:rPr>
                      <w:rFonts w:ascii="宋体" w:hAnsi="宋体" w:cs="宋体" w:eastAsia="宋体"/>
                      <w:sz w:val="20"/>
                    </w:rPr>
                    <w:t>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保证行间整体</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6</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菊花摆放</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3000</w:t>
                  </w:r>
                  <w:r>
                    <w:rPr>
                      <w:rFonts w:ascii="宋体" w:hAnsi="宋体" w:cs="宋体" w:eastAsia="宋体"/>
                      <w:sz w:val="20"/>
                    </w:rPr>
                    <w:t>盆</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养护、摆放、清理</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国庆节前摆放，花期20天；摆放美观协调</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7</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树木涂白</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400</w:t>
                  </w:r>
                  <w:r>
                    <w:rPr>
                      <w:rFonts w:ascii="宋体" w:hAnsi="宋体" w:cs="宋体" w:eastAsia="宋体"/>
                      <w:sz w:val="20"/>
                    </w:rPr>
                    <w:t>株</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w:t>
                  </w:r>
                  <w:r>
                    <w:rPr>
                      <w:rFonts w:ascii="宋体" w:hAnsi="宋体" w:cs="宋体" w:eastAsia="宋体"/>
                      <w:sz w:val="20"/>
                    </w:rPr>
                    <w:t>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直径0.15m-0.3 m</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宋体" w:hAnsi="宋体" w:cs="宋体" w:eastAsia="宋体"/>
                      <w:sz w:val="20"/>
                    </w:rPr>
                    <w:t xml:space="preserve"> 8</w:t>
                  </w:r>
                </w:p>
              </w:tc>
              <w:tc>
                <w:tcPr>
                  <w:tcW w:type="dxa" w:w="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银杏林养护</w:t>
                  </w:r>
                </w:p>
              </w:tc>
              <w:tc>
                <w:tcPr>
                  <w:tcW w:type="dxa" w:w="3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136</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清理杂草、林地整平、树冠修整、步行道路修补清扫等</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不少于2次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10</w:t>
                  </w:r>
                  <w:r>
                    <w:rPr>
                      <w:rFonts w:ascii="宋体" w:hAnsi="宋体" w:cs="宋体" w:eastAsia="宋体"/>
                      <w:sz w:val="20"/>
                    </w:rPr>
                    <w:t>月15日前必须清理 1次</w:t>
                  </w:r>
                </w:p>
              </w:tc>
            </w:tr>
            <w:tr>
              <w:tc>
                <w:tcPr>
                  <w:tcW w:type="dxa" w:w="166"/>
                  <w:vMerge/>
                  <w:tcBorders>
                    <w:top w:val="none" w:color="000000" w:sz="4"/>
                    <w:left w:val="single" w:color="000000" w:sz="4"/>
                    <w:bottom w:val="single" w:color="000000" w:sz="4"/>
                    <w:right w:val="single" w:color="000000" w:sz="4"/>
                  </w:tcBorders>
                </w:tcPr>
                <w:p/>
              </w:tc>
              <w:tc>
                <w:tcPr>
                  <w:tcW w:type="dxa" w:w="537"/>
                  <w:vMerge/>
                  <w:tcBorders>
                    <w:top w:val="none" w:color="000000" w:sz="4"/>
                    <w:left w:val="none" w:color="000000" w:sz="4"/>
                    <w:bottom w:val="single" w:color="000000" w:sz="4"/>
                    <w:right w:val="single" w:color="000000" w:sz="4"/>
                  </w:tcBorders>
                </w:tcPr>
                <w:p/>
              </w:tc>
              <w:tc>
                <w:tcPr>
                  <w:tcW w:type="dxa" w:w="331"/>
                  <w:vMerge/>
                  <w:tcBorders>
                    <w:top w:val="none" w:color="000000" w:sz="4"/>
                    <w:left w:val="none" w:color="000000" w:sz="4"/>
                    <w:bottom w:val="single" w:color="000000" w:sz="4"/>
                    <w:right w:val="single" w:color="000000" w:sz="4"/>
                  </w:tcBorders>
                </w:tc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喷杀虫、杀菌剂、叶面肥</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不少于5次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9</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皂角树</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20</w:t>
                  </w:r>
                  <w:r>
                    <w:rPr>
                      <w:rFonts w:ascii="宋体" w:hAnsi="宋体" w:cs="宋体" w:eastAsia="宋体"/>
                      <w:sz w:val="20"/>
                    </w:rPr>
                    <w:t>株</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浇水、施肥、松土、整修及养护</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不少于3次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直径0.3m、栽植3年</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10</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格桑花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15</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种植开花</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w:t>
                  </w:r>
                  <w:r>
                    <w:rPr>
                      <w:rFonts w:ascii="宋体" w:hAnsi="宋体" w:cs="宋体" w:eastAsia="宋体"/>
                      <w:sz w:val="20"/>
                    </w:rPr>
                    <w:t>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路边种植</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11</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院区路边清理死树、倒伏树和杂树</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非目的树</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不少于1次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12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紫荆林</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10</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浇水、 杂树清理</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不少于1次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13</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侧柏林防</w:t>
                  </w:r>
                </w:p>
                <w:p>
                  <w:pPr>
                    <w:pStyle w:val="null3"/>
                    <w:jc w:val="center"/>
                  </w:pPr>
                  <w:r>
                    <w:rPr>
                      <w:rFonts w:ascii="宋体" w:hAnsi="宋体" w:cs="宋体" w:eastAsia="宋体"/>
                      <w:sz w:val="20"/>
                    </w:rPr>
                    <w:t>火通道</w:t>
                  </w:r>
                </w:p>
                <w:p>
                  <w:pPr>
                    <w:pStyle w:val="null3"/>
                    <w:jc w:val="center"/>
                  </w:p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10</w:t>
                  </w:r>
                  <w:r>
                    <w:rPr>
                      <w:rFonts w:ascii="宋体" w:hAnsi="宋体" w:cs="宋体" w:eastAsia="宋体"/>
                      <w:sz w:val="20"/>
                    </w:rPr>
                    <w:t>亩</w:t>
                  </w:r>
                </w:p>
                <w:p>
                  <w:pPr>
                    <w:pStyle w:val="null3"/>
                    <w:jc w:val="left"/>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秸秆杂草、杂树砍伐并清理</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不少于2次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杂草不高于0.4m</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14</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粉黛草养护</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90</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浇水、锄草、入冬修剪、除草剂</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杂草不高于0.2m；含空地30亩，有浇水管网</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15</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宋体" w:hAnsi="宋体" w:cs="宋体" w:eastAsia="宋体"/>
                      <w:sz w:val="20"/>
                    </w:rPr>
                    <w:t>白皮松</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197</w:t>
                  </w:r>
                  <w:r>
                    <w:rPr>
                      <w:rFonts w:ascii="宋体" w:hAnsi="宋体" w:cs="宋体" w:eastAsia="宋体"/>
                      <w:sz w:val="20"/>
                    </w:rPr>
                    <w:t>株</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浇水、松土、施肥、喷药</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行道树</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16</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梅林、梅园</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300</w:t>
                  </w:r>
                  <w:r>
                    <w:rPr>
                      <w:rFonts w:ascii="宋体" w:hAnsi="宋体" w:cs="宋体" w:eastAsia="宋体"/>
                      <w:sz w:val="20"/>
                    </w:rPr>
                    <w:t>株</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修剪、清理杂草、浇水</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不少于1次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2.5</w:t>
                  </w:r>
                  <w:r>
                    <w:rPr>
                      <w:rFonts w:ascii="宋体" w:hAnsi="宋体" w:cs="宋体" w:eastAsia="宋体"/>
                      <w:sz w:val="20"/>
                    </w:rPr>
                    <w:t>米小乔木</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17</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路边迎春花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50</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清理杂草</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不少于2次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杂草不高于迎春花</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18</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竹林维护</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4</w:t>
                  </w:r>
                  <w:r>
                    <w:rPr>
                      <w:rFonts w:ascii="宋体" w:hAnsi="宋体" w:cs="宋体" w:eastAsia="宋体"/>
                      <w:sz w:val="20"/>
                    </w:rPr>
                    <w:t>亩</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修剪、稀疏</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不少于1次</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不影响道路</w:t>
                  </w:r>
                </w:p>
              </w:tc>
            </w:tr>
          </w:tbl>
          <w:p>
            <w:pPr>
              <w:pStyle w:val="null3"/>
            </w:pPr>
            <w:r>
              <w:rPr>
                <w:rFonts w:ascii="宋体" w:hAnsi="宋体" w:cs="宋体" w:eastAsia="宋体"/>
                <w:sz w:val="20"/>
              </w:rPr>
              <w:t>备注：1、本预算取费根据购买方多年的养护经验，结合当地的劳务情况，进行预算。</w:t>
            </w:r>
          </w:p>
          <w:p>
            <w:pPr>
              <w:pStyle w:val="null3"/>
            </w:pPr>
            <w:r>
              <w:rPr>
                <w:rFonts w:ascii="宋体" w:hAnsi="宋体" w:cs="宋体" w:eastAsia="宋体"/>
                <w:sz w:val="21"/>
              </w:rPr>
              <w:t>2</w:t>
            </w:r>
            <w:r>
              <w:rPr>
                <w:rFonts w:ascii="宋体" w:hAnsi="宋体" w:cs="宋体" w:eastAsia="宋体"/>
                <w:sz w:val="21"/>
              </w:rPr>
              <w:t>、购买方提供水源、电源。</w:t>
            </w:r>
          </w:p>
        </w:tc>
      </w:tr>
    </w:tbl>
    <w:p>
      <w:pPr>
        <w:pStyle w:val="null3"/>
        <w:outlineLvl w:val="2"/>
      </w:pPr>
      <w:r>
        <w:rPr>
          <w:sz w:val="28"/>
          <w:b/>
        </w:rPr>
        <w:t>3.2.3人员配置要求</w:t>
      </w:r>
    </w:p>
    <w:p>
      <w:pPr>
        <w:pStyle w:val="null3"/>
      </w:pPr>
      <w:r>
        <w:rPr/>
        <w:t>采购包1：</w:t>
      </w:r>
    </w:p>
    <w:p>
      <w:pPr>
        <w:pStyle w:val="null3"/>
      </w:pPr>
      <w:r>
        <w:rPr/>
        <w:t>满足采购要求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质量要求：按照采购人要求。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12个月</w:t>
      </w:r>
    </w:p>
    <w:p>
      <w:pPr>
        <w:pStyle w:val="null3"/>
        <w:outlineLvl w:val="3"/>
      </w:pPr>
      <w:r>
        <w:rPr>
          <w:sz w:val="24"/>
          <w:b/>
        </w:rPr>
        <w:t>3.3.2服务地点</w:t>
      </w:r>
    </w:p>
    <w:p>
      <w:pPr>
        <w:pStyle w:val="null3"/>
      </w:pPr>
      <w:r>
        <w:rPr/>
        <w:t>采购包1：</w:t>
      </w:r>
    </w:p>
    <w:p>
      <w:pPr>
        <w:pStyle w:val="null3"/>
      </w:pPr>
      <w:r>
        <w:rPr/>
        <w:t>汉景帝阳陵博物院</w:t>
      </w:r>
    </w:p>
    <w:p>
      <w:pPr>
        <w:pStyle w:val="null3"/>
        <w:outlineLvl w:val="3"/>
      </w:pPr>
      <w:r>
        <w:rPr>
          <w:sz w:val="24"/>
          <w:b/>
        </w:rPr>
        <w:t>3.3.3考核（验收）标准和方法</w:t>
      </w:r>
    </w:p>
    <w:p>
      <w:pPr>
        <w:pStyle w:val="null3"/>
      </w:pPr>
      <w:r>
        <w:rPr/>
        <w:t>采购包1：</w:t>
      </w:r>
    </w:p>
    <w:p>
      <w:pPr>
        <w:pStyle w:val="null3"/>
      </w:pPr>
      <w:r>
        <w:rPr/>
        <w:t>一次验收</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完成年度养护任务</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在合同履行过程中，如发生合同纠纷，合同双方应按照《中华人民共和国民法典》规定及合同条款约定进行处理。</w:t>
      </w:r>
    </w:p>
    <w:p>
      <w:pPr>
        <w:pStyle w:val="null3"/>
        <w:outlineLvl w:val="2"/>
      </w:pPr>
      <w:r>
        <w:rPr>
          <w:sz w:val="28"/>
          <w:b/>
        </w:rPr>
        <w:t>3.4其他要求</w:t>
      </w:r>
    </w:p>
    <w:p>
      <w:pPr>
        <w:pStyle w:val="null3"/>
      </w:pPr>
      <w:r>
        <w:rPr/>
        <w:t>1、本项目资格审查由磋商小组完成。2、本项目为专门面向中小企业。3、本项目所属行业为：【其他未列明行业】。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重大违法记录</w:t>
            </w:r>
          </w:p>
        </w:tc>
        <w:tc>
          <w:tcPr>
            <w:tcW w:type="dxa" w:w="3322"/>
          </w:tcPr>
          <w:p>
            <w:pPr>
              <w:pStyle w:val="null3"/>
            </w:pPr>
            <w:r>
              <w:rPr/>
              <w:t>参加政府采购活动前3年内在经营活动中没有重大违法记录；供应商需在项目电子化交易系统中按要求填写《响应函》完成承诺并进行电子签章；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信用主体查询</w:t>
            </w:r>
          </w:p>
        </w:tc>
        <w:tc>
          <w:tcPr>
            <w:tcW w:type="dxa" w:w="3322"/>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信用承诺函》完成承诺并进行电子签章；</w:t>
            </w:r>
          </w:p>
        </w:tc>
        <w:tc>
          <w:tcPr>
            <w:tcW w:type="dxa" w:w="1661"/>
          </w:tcPr>
          <w:p>
            <w:pPr>
              <w:pStyle w:val="null3"/>
            </w:pPr>
            <w:r>
              <w:rPr/>
              <w:t>信用承诺函</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财务状况报告：提供2023年度经会计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社保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承诺响应</w:t>
            </w:r>
          </w:p>
        </w:tc>
        <w:tc>
          <w:tcPr>
            <w:tcW w:type="dxa" w:w="3322"/>
          </w:tcPr>
          <w:p>
            <w:pPr>
              <w:pStyle w:val="null3"/>
            </w:pPr>
            <w:r>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联合体及分包情况</w:t>
            </w:r>
          </w:p>
        </w:tc>
        <w:tc>
          <w:tcPr>
            <w:tcW w:type="dxa" w:w="3322"/>
          </w:tcPr>
          <w:p>
            <w:pPr>
              <w:pStyle w:val="null3"/>
            </w:pPr>
            <w:r>
              <w:rPr/>
              <w:t>本项目不接受联合体响应，不允许分包，供应商提供《非联合体、不分包投标声明》，视为独立响应，不分包。供应商需在项目电子化交易系统中按要求填写《非联合体、不分包投标声明》完成承诺并进行电子签章；</w:t>
            </w:r>
          </w:p>
        </w:tc>
        <w:tc>
          <w:tcPr>
            <w:tcW w:type="dxa" w:w="1661"/>
          </w:tcPr>
          <w:p>
            <w:pPr>
              <w:pStyle w:val="null3"/>
            </w:pPr>
            <w:r>
              <w:rPr/>
              <w:t>非联合体不分包投标声明</w:t>
            </w:r>
          </w:p>
        </w:tc>
      </w:tr>
      <w:tr>
        <w:tc>
          <w:tcPr>
            <w:tcW w:type="dxa" w:w="831"/>
          </w:tcPr>
          <w:p>
            <w:pPr>
              <w:pStyle w:val="null3"/>
            </w:pPr>
            <w:r>
              <w:rPr/>
              <w:t>11</w:t>
            </w:r>
          </w:p>
        </w:tc>
        <w:tc>
          <w:tcPr>
            <w:tcW w:type="dxa" w:w="2492"/>
          </w:tcPr>
          <w:p>
            <w:pPr>
              <w:pStyle w:val="null3"/>
            </w:pPr>
            <w:r>
              <w:rPr/>
              <w:t>是否专门中小企业采购</w:t>
            </w:r>
          </w:p>
        </w:tc>
        <w:tc>
          <w:tcPr>
            <w:tcW w:type="dxa" w:w="3322"/>
          </w:tcPr>
          <w:p>
            <w:pPr>
              <w:pStyle w:val="null3"/>
            </w:pPr>
            <w:r>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响应文件的签署、加盖印章要求是否合格、有效</w:t>
            </w:r>
          </w:p>
        </w:tc>
        <w:tc>
          <w:tcPr>
            <w:tcW w:type="dxa" w:w="3322"/>
          </w:tcPr>
          <w:p>
            <w:pPr>
              <w:pStyle w:val="null3"/>
            </w:pPr>
            <w:r>
              <w:rPr/>
              <w:t>符合磋商文件要求</w:t>
            </w:r>
          </w:p>
        </w:tc>
        <w:tc>
          <w:tcPr>
            <w:tcW w:type="dxa" w:w="1661"/>
          </w:tcPr>
          <w:p>
            <w:pPr>
              <w:pStyle w:val="null3"/>
            </w:pPr>
            <w:r>
              <w:rPr/>
              <w:t>法定代表人证明书与法定代表人授权书 分项报价表 中小企业声明函 商务应答表 承诺书 供应商应提交的相关资格证明材料 报价表 响应方案 陕西省采购供应商拒绝采购领域商业贿赂承诺书 响应文件封面 信用承诺函 残疾人福利性单位声明函 标的清单 非联合体不分包投标声明 响应函 监狱企业的证明文件 技术指标偏差表</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未超过采购预算且无选择性报价</w:t>
            </w:r>
          </w:p>
        </w:tc>
        <w:tc>
          <w:tcPr>
            <w:tcW w:type="dxa" w:w="1661"/>
          </w:tcPr>
          <w:p>
            <w:pPr>
              <w:pStyle w:val="null3"/>
            </w:pPr>
            <w:r>
              <w:rPr/>
              <w:t>分项报价表 标的清单 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服务期限、服务地点</w:t>
            </w:r>
          </w:p>
        </w:tc>
        <w:tc>
          <w:tcPr>
            <w:tcW w:type="dxa" w:w="3322"/>
          </w:tcPr>
          <w:p>
            <w:pPr>
              <w:pStyle w:val="null3"/>
            </w:pPr>
            <w:r>
              <w:rPr/>
              <w:t>符合磋商文件要求</w:t>
            </w:r>
          </w:p>
        </w:tc>
        <w:tc>
          <w:tcPr>
            <w:tcW w:type="dxa" w:w="1661"/>
          </w:tcPr>
          <w:p>
            <w:pPr>
              <w:pStyle w:val="null3"/>
            </w:pPr>
            <w:r>
              <w:rPr/>
              <w:t>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价格因素</w:t>
            </w:r>
          </w:p>
        </w:tc>
        <w:tc>
          <w:tcPr>
            <w:tcW w:type="dxa" w:w="2492"/>
          </w:tcPr>
          <w:p>
            <w:pPr>
              <w:pStyle w:val="null3"/>
            </w:pPr>
            <w:r>
              <w:rPr/>
              <w:t>价格分采用低价优先法，即实质性满足磋商文件要求且最终磋商报价最低的为磋商基准价，其价格分为满分10分。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r>
        <w:tc>
          <w:tcPr>
            <w:tcW w:type="dxa" w:w="831"/>
            <w:vMerge/>
          </w:tcPr>
          <w:p/>
        </w:tc>
        <w:tc>
          <w:tcPr>
            <w:tcW w:type="dxa" w:w="1661"/>
          </w:tcPr>
          <w:p>
            <w:pPr>
              <w:pStyle w:val="null3"/>
            </w:pPr>
            <w:r>
              <w:rPr/>
              <w:t>园林养护实施方案</w:t>
            </w:r>
          </w:p>
        </w:tc>
        <w:tc>
          <w:tcPr>
            <w:tcW w:type="dxa" w:w="2492"/>
          </w:tcPr>
          <w:p>
            <w:pPr>
              <w:pStyle w:val="null3"/>
            </w:pPr>
            <w:r>
              <w:rPr/>
              <w:t>根据绿化的管理方法和技术措施、水电计划用量、劳力和机械设备安排保证措施和冬、雨季节养护措施等养护组织方案的完整性，针对性进行比较。 1.方案完整、针对性强计［10-15分］。 2.方案较完整、针对性较强计［6-10)分。 3.方案欠缺、没有针对性计［0-6）分。 注：未提供不得分。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养护计划</w:t>
            </w:r>
          </w:p>
        </w:tc>
        <w:tc>
          <w:tcPr>
            <w:tcW w:type="dxa" w:w="2492"/>
          </w:tcPr>
          <w:p>
            <w:pPr>
              <w:pStyle w:val="null3"/>
            </w:pPr>
            <w:r>
              <w:rPr/>
              <w:t>供应商应根据采购要求并结合自身的实力和经验提供全年养护计划。 1.养护计划链条完整，工作内容详细，人力物力投入具体，符合项目特点，针对性强，根据详细程度计［7-10］分。 2.养护计划链条相对完整，有相应的工作内容和人力物力投入，基本符合项目特点，具有一定的针对性，根据完整程度、详细程度计［4-7）分。 3.计划简单，或属于照搬照抄，针对性差，计［0-4）分。 注：未提供不得分。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养护措施</w:t>
            </w:r>
          </w:p>
        </w:tc>
        <w:tc>
          <w:tcPr>
            <w:tcW w:type="dxa" w:w="2492"/>
          </w:tcPr>
          <w:p>
            <w:pPr>
              <w:pStyle w:val="null3"/>
            </w:pPr>
            <w:r>
              <w:rPr/>
              <w:t>供应商应根据采购要求并结合自身的实力和经验提供养护技术措施。各项技术措施评审标准：养护技术标准和目标明确，措施具体，实施链条完整，针对性、可行性强，能较好的实现采购需求，根据响应程度计［1-0）分； 注：未提供的对应项不得分。 1.浇水、施肥，最高1分。 2.杂草清理，最高1分。 3.草坪修剪，最高1分。 4.灌木、宿根草本修剪，最高1分。 5.园林栽植，最高1分。 6.植物保护，最高1分。 7.环境卫生，最高1分。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响应方案</w:t>
            </w:r>
          </w:p>
        </w:tc>
      </w:tr>
      <w:tr>
        <w:tc>
          <w:tcPr>
            <w:tcW w:type="dxa" w:w="831"/>
            <w:vMerge/>
          </w:tcPr>
          <w:p/>
        </w:tc>
        <w:tc>
          <w:tcPr>
            <w:tcW w:type="dxa" w:w="1661"/>
          </w:tcPr>
          <w:p>
            <w:pPr>
              <w:pStyle w:val="null3"/>
            </w:pPr>
            <w:r>
              <w:rPr/>
              <w:t>病虫害防治方案</w:t>
            </w:r>
          </w:p>
        </w:tc>
        <w:tc>
          <w:tcPr>
            <w:tcW w:type="dxa" w:w="2492"/>
          </w:tcPr>
          <w:p>
            <w:pPr>
              <w:pStyle w:val="null3"/>
            </w:pPr>
            <w:r>
              <w:rPr/>
              <w:t>供应商应根据采购要求并结合自身的实力和经验提供病虫害防治方案，包括但不限于本项目涉及到的病虫害类别以及防治措施等。 1.方案对病虫害类别梳理全面，内容详细，防治措施具体，针对性、可行性强，根据详细程度计［7-10］分。 2.方案对病虫害类别梳理相对全面，有相应的内容和防治措施，针对性较强，具有一定可行性，根据完善程度、详细程度可行性计［4-7）分。 3.方案简单，或属于照搬照抄，针对性差，［0-4）分。 注：未提供不得分。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应急预案</w:t>
            </w:r>
          </w:p>
        </w:tc>
        <w:tc>
          <w:tcPr>
            <w:tcW w:type="dxa" w:w="2492"/>
          </w:tcPr>
          <w:p>
            <w:pPr>
              <w:pStyle w:val="null3"/>
            </w:pPr>
            <w:r>
              <w:rPr/>
              <w:t>供应商应根据自身的实力和经验提供应急预案。 1.预案全面，响应迅速，处置链条完整，措施具体，可行性强，根据详细程度计[5-8]分。 2.预案相对全面，有相应的处置措施和响应时间，具有一定可行性，根据完善程度、详细程度和可行性计[3-5）分。 3.预案简单，或属于照搬照抄，针对性、可行性差，计[0-3）分。 注：未提供不得分。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项目团队、人员配置</w:t>
            </w:r>
          </w:p>
        </w:tc>
        <w:tc>
          <w:tcPr>
            <w:tcW w:type="dxa" w:w="2492"/>
          </w:tcPr>
          <w:p>
            <w:pPr>
              <w:pStyle w:val="null3"/>
            </w:pPr>
            <w:r>
              <w:rPr/>
              <w:t>1、项目部组成：供应商针对本项目组建的项目机构的组织管理体系，职责分工，管理结构、业务管理、人员管理、质量保证的承诺。（10分） （1）项目人员结构合理、专业配置齐全，人员数量10人以上(包括10人)，工作经验丰富计[6-10]分； （2）项目人员结构一般、专业配置一般；人员数量5-10人，工作经验一般计[3-6)分； （3）项目人员结构一般、专业配置度低；人员5人以下，工作经验少计[0-3）分。 2、项目负责人业绩，每提供一个绿化项目业绩计1分，满分3分，没有不得分。 3、人员配置中有中级园林师，或具有同类中级职称以上人员。每1人加1分，最多加2分。 备注：配备人员须提供本项目要求的相关证书及社保证明，未提供的不计分。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拟投入机械、 设备配置</w:t>
            </w:r>
          </w:p>
        </w:tc>
        <w:tc>
          <w:tcPr>
            <w:tcW w:type="dxa" w:w="2492"/>
          </w:tcPr>
          <w:p>
            <w:pPr>
              <w:pStyle w:val="null3"/>
            </w:pPr>
            <w:r>
              <w:rPr/>
              <w:t>根据养护的实际情况，供应商拟投入使用的机械设备数量、工具种类、实施能力。 1、拟投入本项目的机械、施工设备配置合理、齐全，完全满足本项目需要，计[5-7]分； 2、拟投入施工机械、施工设备配置较合理、齐全，基本满足本项目需要。计[3-5）分; 3、拟投入施工机械、施工设备配置不足，不能满足本项目需要。计[0-3）分。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质量、环境、安全体系</w:t>
            </w:r>
          </w:p>
        </w:tc>
        <w:tc>
          <w:tcPr>
            <w:tcW w:type="dxa" w:w="2492"/>
          </w:tcPr>
          <w:p>
            <w:pPr>
              <w:pStyle w:val="null3"/>
            </w:pPr>
            <w:r>
              <w:rPr/>
              <w:t>具有质量管理体系认证、环境管理体系认证、职业安全健康管理体系认证，每有一项得1分，满分3分。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服务承诺</w:t>
            </w:r>
          </w:p>
        </w:tc>
        <w:tc>
          <w:tcPr>
            <w:tcW w:type="dxa" w:w="2492"/>
          </w:tcPr>
          <w:p>
            <w:pPr>
              <w:pStyle w:val="null3"/>
            </w:pPr>
            <w:r>
              <w:rPr/>
              <w:t>根据服务质量管理措施方案和冬季、假日养护，管理措施和质量控制措施等服务保障承诺进行比较，按其响应程度计[0-5]分。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业绩</w:t>
            </w:r>
          </w:p>
        </w:tc>
        <w:tc>
          <w:tcPr>
            <w:tcW w:type="dxa" w:w="2492"/>
          </w:tcPr>
          <w:p>
            <w:pPr>
              <w:pStyle w:val="null3"/>
            </w:pPr>
            <w:r>
              <w:rPr/>
              <w:t>近三年（2021年1月1日至今）承接过的类似项目业绩。每有一个项目业绩得2分，最多得10分。 注：应附合同协议书或中标/成交通知书的复印件并加盖单位公章。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详见附件：法定代表人证明书与法定代表人授权书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详见附件：供应商应提交的相关资格证明材料</w:t>
      </w:r>
    </w:p>
    <w:p>
      <w:pPr>
        <w:pStyle w:val="null3"/>
        <w:ind w:firstLine="960"/>
      </w:pPr>
      <w:r>
        <w:rPr/>
        <w:t>详见附件：技术指标偏差表</w:t>
      </w:r>
    </w:p>
    <w:p>
      <w:pPr>
        <w:pStyle w:val="null3"/>
        <w:ind w:firstLine="960"/>
      </w:pPr>
      <w:r>
        <w:rPr/>
        <w:t>详见附件：陕西省采购供应商拒绝采购领域商业贿赂承诺书</w:t>
      </w:r>
    </w:p>
    <w:p>
      <w:pPr>
        <w:pStyle w:val="null3"/>
        <w:ind w:firstLine="960"/>
      </w:pPr>
      <w:r>
        <w:rPr/>
        <w:t>详见附件：响应方案</w:t>
      </w:r>
    </w:p>
    <w:p>
      <w:pPr>
        <w:pStyle w:val="null3"/>
        <w:ind w:firstLine="960"/>
      </w:pPr>
      <w:r>
        <w:rPr/>
        <w:t>详见附件：信用承诺函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