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信息网络设备运行维护项目</w:t>
      </w:r>
    </w:p>
    <w:p>
      <w:pPr>
        <w:pStyle w:val="null3"/>
        <w:jc w:val="center"/>
        <w:outlineLvl w:val="2"/>
      </w:pPr>
      <w:r>
        <w:rPr>
          <w:sz w:val="28"/>
          <w:b/>
        </w:rPr>
        <w:t>采购项目编号：</w:t>
      </w:r>
      <w:r>
        <w:rPr>
          <w:sz w:val="28"/>
          <w:b/>
        </w:rPr>
        <w:t>SDZC2024-182</w:t>
      </w:r>
      <w:r>
        <w:br/>
      </w:r>
      <w:r>
        <w:br/>
      </w:r>
      <w:r>
        <w:br/>
      </w:r>
    </w:p>
    <w:p>
      <w:pPr>
        <w:pStyle w:val="null3"/>
        <w:jc w:val="center"/>
        <w:outlineLvl w:val="2"/>
      </w:pPr>
      <w:r>
        <w:rPr>
          <w:sz w:val="28"/>
          <w:b/>
        </w:rPr>
        <w:t>陕西省无线电管理委员会机关</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2024年08月15日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陕西上德招标有限公司</w:t>
      </w:r>
      <w:r>
        <w:rPr/>
        <w:t>（以下简称“代理机构”）受</w:t>
      </w:r>
      <w:r>
        <w:rPr/>
        <w:t>陕西省无线电管理委员会机关</w:t>
      </w:r>
      <w:r>
        <w:rPr/>
        <w:t>委托，拟对</w:t>
      </w:r>
      <w:r>
        <w:rPr/>
        <w:t>信息网络设备运行维护项目</w:t>
      </w:r>
      <w:r>
        <w:rPr/>
        <w:t>进行国内公开招标，兹邀请符合本次招标要求的供应商参加投标。</w:t>
      </w:r>
    </w:p>
    <w:p>
      <w:pPr>
        <w:pStyle w:val="null3"/>
        <w:outlineLvl w:val="2"/>
      </w:pPr>
      <w:r>
        <w:rPr>
          <w:sz w:val="28"/>
          <w:b/>
        </w:rPr>
        <w:t>一、采购项目编号：</w:t>
      </w:r>
      <w:r>
        <w:rPr>
          <w:sz w:val="28"/>
          <w:b/>
        </w:rPr>
        <w:t>SDZC2024-182</w:t>
      </w:r>
    </w:p>
    <w:p>
      <w:pPr>
        <w:pStyle w:val="null3"/>
        <w:outlineLvl w:val="2"/>
      </w:pPr>
      <w:r>
        <w:rPr>
          <w:sz w:val="28"/>
          <w:b/>
        </w:rPr>
        <w:t>二、采购项目名称：</w:t>
      </w:r>
      <w:r>
        <w:rPr>
          <w:sz w:val="28"/>
          <w:b/>
        </w:rPr>
        <w:t>信息网络设备运行维护项目</w:t>
      </w:r>
    </w:p>
    <w:p>
      <w:pPr>
        <w:pStyle w:val="null3"/>
        <w:outlineLvl w:val="2"/>
      </w:pPr>
      <w:r>
        <w:rPr>
          <w:sz w:val="28"/>
          <w:b/>
        </w:rPr>
        <w:t>三、招标项目简介</w:t>
      </w:r>
    </w:p>
    <w:p>
      <w:pPr>
        <w:pStyle w:val="null3"/>
        <w:ind w:firstLine="480"/>
      </w:pPr>
      <w:r>
        <w:rPr/>
        <w:t>为贯彻和落实国家及行业信息安全相关工作要求，陕西省无线电管理委员会积极研究和探索如何更好地保证信息安全保障体系有效的正常运转。本机关致力于推进信息安全保障体系建设，应对信息安全技术的不断更新及新出现的风险。计划通过引入外部单位开展运行维护服务，对机关信息网络设备（包括办公网络）进行运行维护，以确保设备正常运行，降低管理成本，提高网络信息系统的整体服务水平。同时，根据日常维护的数据和记录，提供信息系统的整体建设规划和建议，为信息化发展提供有力保障。安全运维方案的总体目标是确保陕西省无线电管理委员会的信息系统在任何时候都能维持最高标准的安全性和稳定性。</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书面说明及承诺，加盖投标人公章）：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书面声明，加盖投标人公章）：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8、投标保证金交纳凭证或担保函：投标保证金交纳凭证或担保函；（投标保证金交纳凭证为银行凭证及基本账户证明资料，担保函为财政部门认可的政府采购信用担保机构出具）</w:t>
      </w:r>
    </w:p>
    <w:p>
      <w:pPr>
        <w:pStyle w:val="null3"/>
      </w:pPr>
      <w:r>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10、控股关系：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陕西省无线电管理委员会机关</w:t>
      </w:r>
    </w:p>
    <w:p>
      <w:pPr>
        <w:pStyle w:val="null3"/>
      </w:pPr>
      <w:r>
        <w:rPr/>
        <w:t xml:space="preserve"> 地址： </w:t>
      </w:r>
      <w:r>
        <w:rPr/>
        <w:t>省政府新城大院四号楼</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029-88360537</w:t>
      </w:r>
    </w:p>
    <w:p>
      <w:pPr>
        <w:pStyle w:val="null3"/>
        <w:outlineLvl w:val="2"/>
      </w:pPr>
      <w:r>
        <w:rPr>
          <w:sz w:val="28"/>
          <w:b/>
        </w:rPr>
        <w:t>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赵倩茹（9号工位）、姚文霄</w:t>
      </w:r>
    </w:p>
    <w:p>
      <w:pPr>
        <w:pStyle w:val="null3"/>
      </w:pPr>
      <w:r>
        <w:rPr/>
        <w:t xml:space="preserve"> 联系电话： </w:t>
      </w:r>
      <w:r>
        <w:rPr/>
        <w:t>029-86673953、029-86518381转8009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采购包1保证金金额：12,000.00元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开户银行：西安银行股份有限公司文景路支行</w:t>
            </w:r>
          </w:p>
          <w:p>
            <w:pPr>
              <w:pStyle w:val="null3"/>
            </w:pPr>
            <w:r>
              <w:rPr/>
              <w:t>银行账号：707011510000013522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陕西省无线电管理委员会机关</w:t>
      </w:r>
      <w:r>
        <w:rPr/>
        <w:t>和</w:t>
      </w:r>
      <w:r>
        <w:rPr/>
        <w:t>陕西上德招标有限公司</w:t>
      </w:r>
      <w:r>
        <w:rPr/>
        <w:t>享有。对招标文件中供应商参加本次政府采购活动应当具备的条件，招标项目技术、服务、商务及其他要求，评标细则及标准由</w:t>
      </w:r>
      <w:r>
        <w:rPr/>
        <w:t>陕西省无线电管理委员会机关</w:t>
      </w:r>
      <w:r>
        <w:rPr/>
        <w:t>负责解释。除上述招标文件内容，其他内容由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陕西省无线电管理委员会机关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联系人：赵倩茹（9号工位）</w:t>
      </w:r>
    </w:p>
    <w:p>
      <w:pPr>
        <w:pStyle w:val="null3"/>
      </w:pPr>
      <w:r>
        <w:rPr/>
        <w:t>联系电话：029-86673953、029-86518381、029-89299829、029-89293231转8009</w:t>
      </w:r>
    </w:p>
    <w:p>
      <w:pPr>
        <w:pStyle w:val="null3"/>
      </w:pPr>
      <w:r>
        <w:rPr/>
        <w:t>地址：陕西上德招标有限公司（西安市经开区凤城八路正尚国际金融广场A座7层703（张家堡转盘东南角）</w:t>
      </w:r>
    </w:p>
    <w:p>
      <w:pPr>
        <w:pStyle w:val="null3"/>
      </w:pPr>
      <w:r>
        <w:rPr/>
        <w:t>邮编：710018</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贯彻和落实国家及行业信息安全相关工作要求，陕西省无线电管理委员会积极研究和探索如何更好地保证信息安全保障体系有效的正常运转。本机关致力于推进信息安全保障体系建设，应对信息安全技术的不断更新及新出现的风险。计划通过引入外部单位开展运行维护服务，对机关信息网络设备（包括办公网络）进行运行维护，以确保设备正常运行，降低管理成本，提高网络信息系统的整体服务水平。同时，根据日常维护的数据和记录，提供信息系统的整体建设规划和建议，为信息化发展提供有力保障。安全运维方案的总体目标是确保陕西省无线电管理委员会的信息系统在任何时候都能维持最高标准的安全性和稳定性。</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信息网络设备运行维护</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标的名称：信息网络设备运行维护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FF"/>
              </w:rPr>
              <w:t>一、采购范围及项目概况</w:t>
            </w:r>
          </w:p>
          <w:p>
            <w:pPr>
              <w:pStyle w:val="null3"/>
              <w:ind w:firstLine="480"/>
              <w:jc w:val="both"/>
            </w:pPr>
            <w:r>
              <w:rPr>
                <w:rFonts w:ascii="宋体" w:hAnsi="宋体" w:cs="宋体" w:eastAsia="宋体"/>
                <w:sz w:val="24"/>
                <w:color w:val="0000FF"/>
              </w:rPr>
              <w:t>为贯彻和落实国家及行业信息安全相关工作要求，陕西省无线电管理委员会积极研究和探索如何更好地保证信息安全保障体系有效的正常运转。</w:t>
            </w:r>
            <w:r>
              <w:rPr>
                <w:rFonts w:ascii="宋体" w:hAnsi="宋体" w:cs="宋体" w:eastAsia="宋体"/>
                <w:sz w:val="24"/>
                <w:color w:val="0000FF"/>
              </w:rPr>
              <w:t>本</w:t>
            </w:r>
            <w:r>
              <w:rPr>
                <w:rFonts w:ascii="宋体" w:hAnsi="宋体" w:cs="宋体" w:eastAsia="宋体"/>
                <w:sz w:val="24"/>
                <w:color w:val="0000FF"/>
              </w:rPr>
              <w:t>机关致力于推进信息安全保障体系建设，应对信息安全技术的不断更新及新出现的风险。</w:t>
            </w:r>
            <w:r>
              <w:rPr>
                <w:rFonts w:ascii="宋体" w:hAnsi="宋体" w:cs="宋体" w:eastAsia="宋体"/>
                <w:sz w:val="24"/>
                <w:color w:val="0000FF"/>
              </w:rPr>
              <w:t>计划</w:t>
            </w:r>
            <w:r>
              <w:rPr>
                <w:rFonts w:ascii="宋体" w:hAnsi="宋体" w:cs="宋体" w:eastAsia="宋体"/>
                <w:sz w:val="24"/>
                <w:color w:val="0000FF"/>
              </w:rPr>
              <w:t>通过引入外部单位开展运行维护服务，对</w:t>
            </w:r>
            <w:r>
              <w:rPr>
                <w:rFonts w:ascii="宋体" w:hAnsi="宋体" w:cs="宋体" w:eastAsia="宋体"/>
                <w:sz w:val="24"/>
                <w:color w:val="0000FF"/>
              </w:rPr>
              <w:t>机关</w:t>
            </w:r>
            <w:r>
              <w:rPr>
                <w:rFonts w:ascii="宋体" w:hAnsi="宋体" w:cs="宋体" w:eastAsia="宋体"/>
                <w:sz w:val="24"/>
                <w:color w:val="0000FF"/>
              </w:rPr>
              <w:t>信息网络设备（包括办公网络）进行运行维护，以确保设备正常运行，降低管理成本，提高网络信息系统的整体服务水平。同时，根据日常维护的数据和记录，提供信息系统的整体建设规划和建议，为信息化发展提供有力保障。</w:t>
            </w:r>
          </w:p>
          <w:p>
            <w:pPr>
              <w:pStyle w:val="null3"/>
              <w:ind w:firstLine="480"/>
              <w:jc w:val="both"/>
            </w:pPr>
            <w:r>
              <w:rPr>
                <w:rFonts w:ascii="宋体" w:hAnsi="宋体" w:cs="宋体" w:eastAsia="宋体"/>
                <w:sz w:val="24"/>
                <w:color w:val="0000FF"/>
              </w:rPr>
              <w:t>安全运维方案的总体目标是确保陕西省无线电管理委员会的信息系统在任何时候都能维持最高标准的安全性和稳定性。</w:t>
            </w:r>
          </w:p>
          <w:p>
            <w:pPr>
              <w:pStyle w:val="null3"/>
              <w:ind w:firstLine="480"/>
              <w:jc w:val="both"/>
            </w:pPr>
            <w:r>
              <w:rPr>
                <w:rFonts w:ascii="宋体" w:hAnsi="宋体" w:cs="宋体" w:eastAsia="宋体"/>
                <w:sz w:val="24"/>
                <w:color w:val="0000FF"/>
              </w:rPr>
              <w:t>预期效果包括：</w:t>
            </w:r>
          </w:p>
          <w:p>
            <w:pPr>
              <w:pStyle w:val="null3"/>
              <w:ind w:firstLine="480"/>
              <w:jc w:val="both"/>
            </w:pPr>
            <w:r>
              <w:rPr>
                <w:rFonts w:ascii="宋体" w:hAnsi="宋体" w:cs="宋体" w:eastAsia="宋体"/>
                <w:sz w:val="24"/>
                <w:color w:val="0000FF"/>
              </w:rPr>
              <w:t>构建全面覆盖的网络安全防护体系，利用监控工具和入侵检测系统实现对所有网络活动的实时监控，及时发现并响应潜在的安全威胁；制定详尽的安全运维流程和应急预案，确保在遇到任何安全事件时，能够迅速、有序地进行处置，最小化对业务的影响；定期对系统进行安全评估和漏洞扫描，通过渗透测试和安全审计，持续识别和修复安全漏洞，提升系统的防御能力；强化数据保护措施，实施严格的数据备份和恢复策略，确保关键数据的安全性和可恢复性。</w:t>
            </w:r>
          </w:p>
          <w:p>
            <w:pPr>
              <w:pStyle w:val="null3"/>
              <w:ind w:firstLine="480"/>
              <w:jc w:val="both"/>
            </w:pPr>
            <w:r>
              <w:rPr>
                <w:rFonts w:ascii="宋体" w:hAnsi="宋体" w:cs="宋体" w:eastAsia="宋体"/>
                <w:sz w:val="24"/>
                <w:color w:val="0000FF"/>
              </w:rPr>
              <w:t>供应商充分理解并响应上述要求，确保所提供的服务和解决方案能够满足</w:t>
            </w:r>
            <w:r>
              <w:rPr>
                <w:rFonts w:ascii="宋体" w:hAnsi="宋体" w:cs="宋体" w:eastAsia="宋体"/>
                <w:sz w:val="24"/>
                <w:color w:val="0000FF"/>
              </w:rPr>
              <w:t>陕西省无线电管理委员会办公室</w:t>
            </w:r>
            <w:r>
              <w:rPr>
                <w:rFonts w:ascii="宋体" w:hAnsi="宋体" w:cs="宋体" w:eastAsia="宋体"/>
                <w:sz w:val="24"/>
                <w:color w:val="0000FF"/>
              </w:rPr>
              <w:t>的高标准需求。</w:t>
            </w:r>
          </w:p>
          <w:p>
            <w:pPr>
              <w:pStyle w:val="null3"/>
              <w:ind w:firstLine="480"/>
              <w:jc w:val="both"/>
            </w:pPr>
            <w:r>
              <w:rPr>
                <w:rFonts w:ascii="宋体" w:hAnsi="宋体" w:cs="宋体" w:eastAsia="宋体"/>
                <w:sz w:val="24"/>
                <w:color w:val="0000FF"/>
              </w:rPr>
              <w:t>最终实现项目的安全运维目标，形成长效化的工作机制，有效解决因人力配置和技术能力匮乏所存在的安全隐患。</w:t>
            </w:r>
          </w:p>
          <w:p>
            <w:pPr>
              <w:pStyle w:val="null3"/>
              <w:ind w:firstLine="480"/>
              <w:jc w:val="both"/>
            </w:pPr>
            <w:r>
              <w:rPr>
                <w:rFonts w:ascii="宋体" w:hAnsi="宋体" w:cs="宋体" w:eastAsia="宋体"/>
                <w:sz w:val="24"/>
                <w:color w:val="0000FF"/>
              </w:rPr>
              <w:t>达到信息安全问题</w:t>
            </w:r>
            <w:r>
              <w:rPr>
                <w:rFonts w:ascii="宋体" w:hAnsi="宋体" w:cs="宋体" w:eastAsia="宋体"/>
                <w:sz w:val="24"/>
                <w:color w:val="0000FF"/>
              </w:rPr>
              <w:t>“变被动排障为主动服务；变事后应急为事前预警；变自由操作为可控可管”的目标，有效解决看不清、用不好、防不住、难落地的信息安全风险。</w:t>
            </w:r>
          </w:p>
          <w:p>
            <w:pPr>
              <w:pStyle w:val="null3"/>
              <w:ind w:firstLine="482"/>
              <w:jc w:val="both"/>
            </w:pPr>
            <w:r>
              <w:rPr>
                <w:rFonts w:ascii="宋体" w:hAnsi="宋体" w:cs="宋体" w:eastAsia="宋体"/>
                <w:sz w:val="24"/>
                <w:b/>
                <w:color w:val="0000FF"/>
              </w:rPr>
              <w:t>二、服务内容</w:t>
            </w:r>
          </w:p>
          <w:p>
            <w:pPr>
              <w:pStyle w:val="null3"/>
              <w:ind w:firstLine="480"/>
              <w:jc w:val="both"/>
            </w:pPr>
            <w:r>
              <w:rPr>
                <w:rFonts w:ascii="宋体" w:hAnsi="宋体" w:cs="宋体" w:eastAsia="宋体"/>
                <w:sz w:val="24"/>
                <w:color w:val="0000FF"/>
              </w:rPr>
              <w:t>日常运维服务以威胁发现为基础、以分析处置为核心、以发现隐患为关键、以解决用户问题为目标</w:t>
            </w:r>
            <w:r>
              <w:rPr>
                <w:rFonts w:ascii="宋体" w:hAnsi="宋体" w:cs="宋体" w:eastAsia="宋体"/>
                <w:sz w:val="24"/>
                <w:color w:val="0000FF"/>
              </w:rPr>
              <w:t>，</w:t>
            </w:r>
            <w:r>
              <w:rPr>
                <w:rFonts w:ascii="宋体" w:hAnsi="宋体" w:cs="宋体" w:eastAsia="宋体"/>
                <w:sz w:val="24"/>
                <w:color w:val="0000FF"/>
              </w:rPr>
              <w:t>通过信息资产管理、服务器及安全设备进行安全评估、互联网暴露面资产监测与处置、应急响应、重保期间安全保障服务等服务，结合对安全设备的日志和流量数据，精准识别和监测网络中的安全威胁，并对确认的威胁事件及时通知客户、主动进行响应，协助完成威胁事件的处置闭环工作，驱动安全人员与</w:t>
            </w:r>
            <w:r>
              <w:rPr>
                <w:rFonts w:ascii="宋体" w:hAnsi="宋体" w:cs="宋体" w:eastAsia="宋体"/>
                <w:sz w:val="24"/>
                <w:color w:val="0000FF"/>
              </w:rPr>
              <w:t>IT运维人员共同完成资产安全风险管控，提升网络环境安全基线，从而为实战化安全运行工作提供有力支撑。</w:t>
            </w:r>
          </w:p>
          <w:p>
            <w:pPr>
              <w:pStyle w:val="null3"/>
              <w:ind w:firstLine="480"/>
              <w:jc w:val="both"/>
            </w:pPr>
            <w:r>
              <w:rPr>
                <w:rFonts w:ascii="宋体" w:hAnsi="宋体" w:cs="宋体" w:eastAsia="宋体"/>
                <w:sz w:val="24"/>
                <w:color w:val="0000FF"/>
              </w:rPr>
              <w:t>供应商应在方案中详细阐述如何实现相关服务项，并提供相应的技术支持和人员配置计划，展现出专业能力和服务水平。</w:t>
            </w:r>
          </w:p>
          <w:p>
            <w:pPr>
              <w:pStyle w:val="null3"/>
              <w:ind w:firstLine="482"/>
              <w:jc w:val="both"/>
            </w:pPr>
            <w:r>
              <w:rPr>
                <w:rFonts w:ascii="宋体" w:hAnsi="宋体" w:cs="宋体" w:eastAsia="宋体"/>
                <w:sz w:val="24"/>
                <w:b/>
                <w:color w:val="0000FF"/>
              </w:rPr>
              <w:t>技术规范符合性</w:t>
            </w:r>
            <w:r>
              <w:rPr>
                <w:rFonts w:ascii="宋体" w:hAnsi="宋体" w:cs="宋体" w:eastAsia="宋体"/>
                <w:sz w:val="24"/>
                <w:color w:val="0000FF"/>
              </w:rPr>
              <w:t xml:space="preserve"> </w:t>
            </w:r>
            <w:r>
              <w:rPr>
                <w:rFonts w:ascii="宋体" w:hAnsi="宋体" w:cs="宋体" w:eastAsia="宋体"/>
                <w:sz w:val="24"/>
                <w:color w:val="0000FF"/>
              </w:rPr>
              <w:t>供应商应在方案中详细阐述如何实现相关服务项，并确保技术规范与我机关的标准相符合。</w:t>
            </w:r>
          </w:p>
          <w:p>
            <w:pPr>
              <w:pStyle w:val="null3"/>
              <w:ind w:firstLine="482"/>
              <w:jc w:val="both"/>
            </w:pPr>
            <w:r>
              <w:rPr>
                <w:rFonts w:ascii="宋体" w:hAnsi="宋体" w:cs="宋体" w:eastAsia="宋体"/>
                <w:sz w:val="24"/>
                <w:b/>
                <w:color w:val="0000FF"/>
              </w:rPr>
              <w:t>方案优势分析</w:t>
            </w:r>
            <w:r>
              <w:rPr>
                <w:rFonts w:ascii="宋体" w:hAnsi="宋体" w:cs="宋体" w:eastAsia="宋体"/>
                <w:sz w:val="24"/>
                <w:color w:val="0000FF"/>
              </w:rPr>
              <w:t xml:space="preserve"> </w:t>
            </w:r>
            <w:r>
              <w:rPr>
                <w:rFonts w:ascii="宋体" w:hAnsi="宋体" w:cs="宋体" w:eastAsia="宋体"/>
                <w:sz w:val="24"/>
                <w:color w:val="0000FF"/>
              </w:rPr>
              <w:t>供应商需突出方案的特点和优势，展示如何超越基本要求，以确保我机关在开展过程中系统能保证安全性和稳定性。</w:t>
            </w:r>
          </w:p>
          <w:p>
            <w:pPr>
              <w:pStyle w:val="null3"/>
              <w:ind w:firstLine="482"/>
              <w:jc w:val="both"/>
            </w:pPr>
            <w:r>
              <w:rPr>
                <w:rFonts w:ascii="宋体" w:hAnsi="宋体" w:cs="宋体" w:eastAsia="宋体"/>
                <w:sz w:val="24"/>
                <w:b/>
                <w:color w:val="0000FF"/>
              </w:rPr>
              <w:t>人员配置计划</w:t>
            </w:r>
            <w:r>
              <w:rPr>
                <w:rFonts w:ascii="宋体" w:hAnsi="宋体" w:cs="宋体" w:eastAsia="宋体"/>
                <w:sz w:val="24"/>
                <w:color w:val="0000FF"/>
              </w:rPr>
              <w:t xml:space="preserve"> </w:t>
            </w:r>
            <w:r>
              <w:rPr>
                <w:rFonts w:ascii="宋体" w:hAnsi="宋体" w:cs="宋体" w:eastAsia="宋体"/>
                <w:sz w:val="24"/>
                <w:color w:val="0000FF"/>
              </w:rPr>
              <w:t>供应商应提供相应的技术支持和人员配置计划，展现出专业能力和服务水平。</w:t>
            </w:r>
          </w:p>
          <w:p>
            <w:pPr>
              <w:pStyle w:val="null3"/>
              <w:ind w:firstLine="480"/>
              <w:jc w:val="both"/>
            </w:pPr>
            <w:r>
              <w:rPr>
                <w:rFonts w:ascii="宋体" w:hAnsi="宋体" w:cs="宋体" w:eastAsia="宋体"/>
                <w:sz w:val="24"/>
                <w:color w:val="0000FF"/>
              </w:rPr>
              <w:t>请供应商根据以下服务项提供详尽的方案，确保我机关运行维护服务在开展过程中系统能保证安全性和稳定性。</w:t>
            </w:r>
          </w:p>
          <w:p>
            <w:pPr>
              <w:pStyle w:val="null3"/>
              <w:ind w:firstLine="480"/>
              <w:jc w:val="both"/>
            </w:pPr>
            <w:r>
              <w:rPr>
                <w:rFonts w:ascii="宋体" w:hAnsi="宋体" w:cs="宋体" w:eastAsia="宋体"/>
                <w:sz w:val="24"/>
                <w:color w:val="0000FF"/>
              </w:rPr>
              <w:t>具体服务内容包括但不限于：</w:t>
            </w:r>
          </w:p>
          <w:p>
            <w:pPr>
              <w:pStyle w:val="null3"/>
              <w:numPr>
                <w:ilvl w:val="0"/>
                <w:numId w:val="1"/>
              </w:numPr>
              <w:jc w:val="both"/>
            </w:pPr>
            <w:r>
              <w:rPr>
                <w:rFonts w:ascii="宋体" w:hAnsi="宋体" w:cs="宋体" w:eastAsia="宋体"/>
                <w:sz w:val="24"/>
                <w:b/>
                <w:color w:val="0000FF"/>
              </w:rPr>
              <w:t>在线支持服务</w:t>
            </w:r>
            <w:r>
              <w:rPr>
                <w:rFonts w:ascii="宋体" w:hAnsi="宋体" w:cs="宋体" w:eastAsia="宋体"/>
                <w:sz w:val="24"/>
                <w:b/>
                <w:color w:val="0000FF"/>
              </w:rPr>
              <w:t xml:space="preserve"> </w:t>
            </w:r>
          </w:p>
          <w:p>
            <w:pPr>
              <w:pStyle w:val="null3"/>
              <w:ind w:firstLine="480"/>
              <w:jc w:val="both"/>
            </w:pPr>
            <w:r>
              <w:rPr>
                <w:rFonts w:ascii="宋体" w:hAnsi="宋体" w:cs="宋体" w:eastAsia="宋体"/>
                <w:sz w:val="24"/>
                <w:color w:val="0000FF"/>
              </w:rPr>
              <w:t>供应商应确保在运行维护期限内，通过服务热线提供专业服务咨询工程师的解答服务</w:t>
            </w:r>
            <w:r>
              <w:rPr>
                <w:rFonts w:ascii="宋体" w:hAnsi="宋体" w:cs="宋体" w:eastAsia="宋体"/>
                <w:sz w:val="24"/>
                <w:color w:val="0000FF"/>
              </w:rPr>
              <w:t>，</w:t>
            </w:r>
            <w:r>
              <w:rPr>
                <w:rFonts w:ascii="宋体" w:hAnsi="宋体" w:cs="宋体" w:eastAsia="宋体"/>
                <w:sz w:val="24"/>
                <w:color w:val="0000FF"/>
              </w:rPr>
              <w:t>并应覆盖工作日的非高峰时段，以满足不同时间段的咨询需求。</w:t>
            </w:r>
          </w:p>
          <w:p>
            <w:pPr>
              <w:pStyle w:val="null3"/>
              <w:ind w:firstLine="480"/>
              <w:jc w:val="both"/>
            </w:pPr>
            <w:r>
              <w:rPr>
                <w:rFonts w:ascii="宋体" w:hAnsi="宋体" w:cs="宋体" w:eastAsia="宋体"/>
                <w:sz w:val="24"/>
                <w:color w:val="0000FF"/>
              </w:rPr>
              <w:t>响应时间应为</w:t>
            </w:r>
            <w:r>
              <w:rPr>
                <w:rFonts w:ascii="calibri" w:hAnsi="calibri" w:cs="calibri" w:eastAsia="calibri"/>
                <w:sz w:val="24"/>
                <w:color w:val="0000FF"/>
              </w:rPr>
              <w:t>5*8</w:t>
            </w:r>
            <w:r>
              <w:rPr>
                <w:rFonts w:ascii="宋体" w:hAnsi="宋体" w:cs="宋体" w:eastAsia="宋体"/>
                <w:sz w:val="24"/>
                <w:color w:val="0000FF"/>
              </w:rPr>
              <w:t>小时工作制（星期一至星期五</w:t>
            </w:r>
            <w:r>
              <w:rPr>
                <w:rFonts w:ascii="calibri" w:hAnsi="calibri" w:cs="calibri" w:eastAsia="calibri"/>
                <w:sz w:val="24"/>
                <w:color w:val="0000FF"/>
              </w:rPr>
              <w:t>9:00~18:00</w:t>
            </w:r>
            <w:r>
              <w:rPr>
                <w:rFonts w:ascii="宋体" w:hAnsi="宋体" w:cs="宋体" w:eastAsia="宋体"/>
                <w:sz w:val="24"/>
                <w:color w:val="0000FF"/>
              </w:rPr>
              <w:t>）</w:t>
            </w:r>
            <w:r>
              <w:rPr>
                <w:rFonts w:ascii="宋体" w:hAnsi="宋体" w:cs="宋体" w:eastAsia="宋体"/>
                <w:sz w:val="24"/>
                <w:color w:val="0000FF"/>
              </w:rPr>
              <w:t>。</w:t>
            </w:r>
          </w:p>
          <w:p>
            <w:pPr>
              <w:pStyle w:val="null3"/>
              <w:numPr>
                <w:ilvl w:val="0"/>
                <w:numId w:val="1"/>
              </w:numPr>
              <w:jc w:val="both"/>
            </w:pPr>
            <w:r>
              <w:rPr>
                <w:rFonts w:ascii="宋体" w:hAnsi="宋体" w:cs="宋体" w:eastAsia="宋体"/>
                <w:sz w:val="24"/>
                <w:b/>
                <w:color w:val="0000FF"/>
              </w:rPr>
              <w:t>备勤专线支持服务</w:t>
            </w:r>
          </w:p>
          <w:p>
            <w:pPr>
              <w:pStyle w:val="null3"/>
              <w:ind w:firstLine="480"/>
              <w:jc w:val="both"/>
            </w:pPr>
            <w:r>
              <w:rPr>
                <w:rFonts w:ascii="宋体" w:hAnsi="宋体" w:cs="宋体" w:eastAsia="宋体"/>
                <w:sz w:val="24"/>
                <w:color w:val="0000FF"/>
              </w:rPr>
              <w:t>鉴于</w:t>
            </w:r>
            <w:r>
              <w:rPr>
                <w:rFonts w:ascii="宋体" w:hAnsi="宋体" w:cs="宋体" w:eastAsia="宋体"/>
                <w:sz w:val="24"/>
                <w:color w:val="0000FF"/>
              </w:rPr>
              <w:t>陕西省无线电管理委员会办公室</w:t>
            </w:r>
            <w:r>
              <w:rPr>
                <w:rFonts w:ascii="宋体" w:hAnsi="宋体" w:cs="宋体" w:eastAsia="宋体"/>
                <w:sz w:val="24"/>
                <w:color w:val="0000FF"/>
              </w:rPr>
              <w:t>业务的重要性和特殊性，供应商在节假日及下班时间应提供移动备勤电话进行技术咨询服务。</w:t>
            </w:r>
          </w:p>
          <w:p>
            <w:pPr>
              <w:pStyle w:val="null3"/>
              <w:ind w:firstLine="480"/>
              <w:jc w:val="both"/>
            </w:pPr>
            <w:r>
              <w:rPr>
                <w:rFonts w:ascii="宋体" w:hAnsi="宋体" w:cs="宋体" w:eastAsia="宋体"/>
                <w:sz w:val="24"/>
                <w:color w:val="0000FF"/>
              </w:rPr>
              <w:t>响应时间应为工作日</w:t>
            </w:r>
            <w:r>
              <w:rPr>
                <w:rFonts w:ascii="calibri" w:hAnsi="calibri" w:cs="calibri" w:eastAsia="calibri"/>
                <w:sz w:val="24"/>
                <w:color w:val="0000FF"/>
              </w:rPr>
              <w:t>5</w:t>
            </w:r>
            <w:r>
              <w:rPr>
                <w:rFonts w:ascii="calibri" w:hAnsi="calibri" w:cs="calibri" w:eastAsia="calibri"/>
                <w:sz w:val="24"/>
                <w:color w:val="0000FF"/>
              </w:rPr>
              <w:t>*</w:t>
            </w:r>
            <w:r>
              <w:rPr>
                <w:rFonts w:ascii="calibri" w:hAnsi="calibri" w:cs="calibri" w:eastAsia="calibri"/>
                <w:sz w:val="24"/>
                <w:color w:val="0000FF"/>
              </w:rPr>
              <w:t>4</w:t>
            </w:r>
            <w:r>
              <w:rPr>
                <w:rFonts w:ascii="宋体" w:hAnsi="宋体" w:cs="宋体" w:eastAsia="宋体"/>
                <w:sz w:val="24"/>
                <w:color w:val="0000FF"/>
              </w:rPr>
              <w:t>小时（</w:t>
            </w:r>
            <w:r>
              <w:rPr>
                <w:rFonts w:ascii="calibri" w:hAnsi="calibri" w:cs="calibri" w:eastAsia="calibri"/>
                <w:sz w:val="24"/>
                <w:color w:val="0000FF"/>
              </w:rPr>
              <w:t>18:00~22:00</w:t>
            </w:r>
            <w:r>
              <w:rPr>
                <w:rFonts w:ascii="宋体" w:hAnsi="宋体" w:cs="宋体" w:eastAsia="宋体"/>
                <w:sz w:val="24"/>
                <w:color w:val="0000FF"/>
              </w:rPr>
              <w:t>）</w:t>
            </w:r>
            <w:r>
              <w:rPr>
                <w:rFonts w:ascii="宋体" w:hAnsi="宋体" w:cs="宋体" w:eastAsia="宋体"/>
                <w:sz w:val="24"/>
                <w:color w:val="0000FF"/>
              </w:rPr>
              <w:t>，</w:t>
            </w:r>
            <w:r>
              <w:rPr>
                <w:rFonts w:ascii="宋体" w:hAnsi="宋体" w:cs="宋体" w:eastAsia="宋体"/>
                <w:sz w:val="24"/>
                <w:color w:val="0000FF"/>
              </w:rPr>
              <w:t>节假日</w:t>
            </w:r>
            <w:r>
              <w:rPr>
                <w:rFonts w:ascii="calibri" w:hAnsi="calibri" w:cs="calibri" w:eastAsia="calibri"/>
                <w:sz w:val="24"/>
                <w:color w:val="0000FF"/>
              </w:rPr>
              <w:t>7</w:t>
            </w:r>
            <w:r>
              <w:rPr>
                <w:rFonts w:ascii="calibri" w:hAnsi="calibri" w:cs="calibri" w:eastAsia="calibri"/>
                <w:sz w:val="24"/>
                <w:color w:val="0000FF"/>
              </w:rPr>
              <w:t>*</w:t>
            </w:r>
            <w:r>
              <w:rPr>
                <w:rFonts w:ascii="calibri" w:hAnsi="calibri" w:cs="calibri" w:eastAsia="calibri"/>
                <w:sz w:val="24"/>
                <w:color w:val="0000FF"/>
              </w:rPr>
              <w:t>12</w:t>
            </w:r>
            <w:r>
              <w:rPr>
                <w:rFonts w:ascii="宋体" w:hAnsi="宋体" w:cs="宋体" w:eastAsia="宋体"/>
                <w:sz w:val="24"/>
                <w:color w:val="0000FF"/>
              </w:rPr>
              <w:t>小时（</w:t>
            </w:r>
            <w:r>
              <w:rPr>
                <w:rFonts w:ascii="calibri" w:hAnsi="calibri" w:cs="calibri" w:eastAsia="calibri"/>
                <w:sz w:val="24"/>
                <w:color w:val="0000FF"/>
              </w:rPr>
              <w:t>9:00~21:00</w:t>
            </w:r>
            <w:r>
              <w:rPr>
                <w:rFonts w:ascii="宋体" w:hAnsi="宋体" w:cs="宋体" w:eastAsia="宋体"/>
                <w:sz w:val="24"/>
                <w:color w:val="0000FF"/>
              </w:rPr>
              <w:t>）。</w:t>
            </w:r>
          </w:p>
          <w:p>
            <w:pPr>
              <w:pStyle w:val="null3"/>
              <w:numPr>
                <w:ilvl w:val="0"/>
                <w:numId w:val="1"/>
              </w:numPr>
              <w:jc w:val="both"/>
            </w:pPr>
            <w:r>
              <w:rPr>
                <w:rFonts w:ascii="宋体" w:hAnsi="宋体" w:cs="宋体" w:eastAsia="宋体"/>
                <w:sz w:val="24"/>
                <w:b/>
                <w:color w:val="0000FF"/>
              </w:rPr>
              <w:t>网络远程服务</w:t>
            </w:r>
          </w:p>
          <w:p>
            <w:pPr>
              <w:pStyle w:val="null3"/>
              <w:ind w:firstLine="480"/>
              <w:jc w:val="both"/>
            </w:pPr>
            <w:r>
              <w:rPr>
                <w:rFonts w:ascii="宋体" w:hAnsi="宋体" w:cs="宋体" w:eastAsia="宋体"/>
                <w:sz w:val="24"/>
                <w:color w:val="0000FF"/>
              </w:rPr>
              <w:t>供应商应升级远程支持工具，以提高远程服务的效率，使其能够快速诊断和解决更复杂的故障问题，并扩展服务时间以覆盖更广泛的时间段。对于电话指导无法解决的问题，供应商应能通过远程方式进行故障的诊断、分析和解决。</w:t>
            </w:r>
          </w:p>
          <w:p>
            <w:pPr>
              <w:pStyle w:val="null3"/>
              <w:ind w:firstLine="480"/>
              <w:jc w:val="both"/>
            </w:pPr>
            <w:r>
              <w:rPr>
                <w:rFonts w:ascii="宋体" w:hAnsi="宋体" w:cs="宋体" w:eastAsia="宋体"/>
                <w:sz w:val="24"/>
                <w:color w:val="0000FF"/>
              </w:rPr>
              <w:t>响应时间应为</w:t>
            </w:r>
            <w:r>
              <w:rPr>
                <w:rFonts w:ascii="calibri" w:hAnsi="calibri" w:cs="calibri" w:eastAsia="calibri"/>
                <w:sz w:val="24"/>
                <w:color w:val="0000FF"/>
              </w:rPr>
              <w:t>7*12</w:t>
            </w:r>
            <w:r>
              <w:rPr>
                <w:rFonts w:ascii="宋体" w:hAnsi="宋体" w:cs="宋体" w:eastAsia="宋体"/>
                <w:sz w:val="24"/>
                <w:color w:val="0000FF"/>
              </w:rPr>
              <w:t>小时（星期一至星期五</w:t>
            </w:r>
            <w:r>
              <w:rPr>
                <w:rFonts w:ascii="calibri" w:hAnsi="calibri" w:cs="calibri" w:eastAsia="calibri"/>
                <w:sz w:val="24"/>
                <w:color w:val="0000FF"/>
              </w:rPr>
              <w:t>9:00~21:00</w:t>
            </w:r>
            <w:r>
              <w:rPr>
                <w:rFonts w:ascii="宋体" w:hAnsi="宋体" w:cs="宋体" w:eastAsia="宋体"/>
                <w:sz w:val="24"/>
                <w:color w:val="0000FF"/>
              </w:rPr>
              <w:t>）。</w:t>
            </w:r>
          </w:p>
          <w:p>
            <w:pPr>
              <w:pStyle w:val="null3"/>
              <w:numPr>
                <w:ilvl w:val="0"/>
                <w:numId w:val="1"/>
              </w:numPr>
              <w:jc w:val="both"/>
            </w:pPr>
            <w:r>
              <w:rPr>
                <w:rFonts w:ascii="宋体" w:hAnsi="宋体" w:cs="宋体" w:eastAsia="宋体"/>
                <w:sz w:val="24"/>
                <w:b/>
                <w:color w:val="0000FF"/>
              </w:rPr>
              <w:t>故障现场处理</w:t>
            </w:r>
          </w:p>
          <w:p>
            <w:pPr>
              <w:pStyle w:val="null3"/>
              <w:ind w:firstLine="480"/>
              <w:jc w:val="both"/>
            </w:pPr>
            <w:r>
              <w:rPr>
                <w:rFonts w:ascii="宋体" w:hAnsi="宋体" w:cs="宋体" w:eastAsia="宋体"/>
                <w:sz w:val="24"/>
                <w:color w:val="0000FF"/>
              </w:rPr>
              <w:t>对于服务热线或远程维护无法解决的问题，供应商应在接到故障信息后，根据问题紧急程度分级进行现场处理。故障处理中涉及的耗材费用，由供应商承担。供应商应细化故障分级标准，并优化现场响应流程，确保快速派遣技术人员。同时，明确耗材费用承担机制，减少故障处理过程中的不确定性。</w:t>
            </w:r>
          </w:p>
          <w:p>
            <w:pPr>
              <w:pStyle w:val="null3"/>
              <w:ind w:firstLine="480"/>
              <w:jc w:val="both"/>
            </w:pPr>
            <w:r>
              <w:rPr>
                <w:rFonts w:ascii="宋体" w:hAnsi="宋体" w:cs="宋体" w:eastAsia="宋体"/>
                <w:sz w:val="24"/>
                <w:color w:val="0000FF"/>
              </w:rPr>
              <w:t>上门服务响应时间应为</w:t>
            </w:r>
            <w:r>
              <w:rPr>
                <w:rFonts w:ascii="calibri" w:hAnsi="calibri" w:cs="calibri" w:eastAsia="calibri"/>
                <w:sz w:val="24"/>
                <w:color w:val="0000FF"/>
              </w:rPr>
              <w:t>7*12</w:t>
            </w:r>
            <w:r>
              <w:rPr>
                <w:rFonts w:ascii="宋体" w:hAnsi="宋体" w:cs="宋体" w:eastAsia="宋体"/>
                <w:sz w:val="24"/>
                <w:color w:val="0000FF"/>
              </w:rPr>
              <w:t>小时（</w:t>
            </w:r>
            <w:r>
              <w:rPr>
                <w:rFonts w:ascii="calibri" w:hAnsi="calibri" w:cs="calibri" w:eastAsia="calibri"/>
                <w:sz w:val="24"/>
                <w:color w:val="0000FF"/>
              </w:rPr>
              <w:t>9:00~21:00</w:t>
            </w:r>
            <w:r>
              <w:rPr>
                <w:rFonts w:ascii="宋体" w:hAnsi="宋体" w:cs="宋体" w:eastAsia="宋体"/>
                <w:sz w:val="24"/>
                <w:color w:val="0000FF"/>
              </w:rPr>
              <w:t>），具体分级如下：</w:t>
            </w:r>
          </w:p>
          <w:p>
            <w:pPr>
              <w:pStyle w:val="null3"/>
              <w:ind w:firstLine="480"/>
              <w:jc w:val="both"/>
            </w:pPr>
            <w:r>
              <w:rPr>
                <w:rFonts w:ascii="calibri" w:hAnsi="calibri" w:cs="calibri" w:eastAsia="calibri"/>
                <w:sz w:val="24"/>
                <w:color w:val="0000FF"/>
              </w:rPr>
              <w:t>A</w:t>
            </w:r>
            <w:r>
              <w:rPr>
                <w:rFonts w:ascii="宋体" w:hAnsi="宋体" w:cs="宋体" w:eastAsia="宋体"/>
                <w:sz w:val="24"/>
                <w:color w:val="0000FF"/>
              </w:rPr>
              <w:t>级问题：系统灾难故障—系统瘫痪，业务不能开展，立即响应，最迟</w:t>
            </w:r>
            <w:r>
              <w:rPr>
                <w:rFonts w:ascii="calibri" w:hAnsi="calibri" w:cs="calibri" w:eastAsia="calibri"/>
                <w:sz w:val="24"/>
                <w:color w:val="0000FF"/>
              </w:rPr>
              <w:t>1</w:t>
            </w:r>
            <w:r>
              <w:rPr>
                <w:rFonts w:ascii="宋体" w:hAnsi="宋体" w:cs="宋体" w:eastAsia="宋体"/>
                <w:sz w:val="24"/>
                <w:color w:val="0000FF"/>
              </w:rPr>
              <w:t>小时内到达。</w:t>
            </w:r>
          </w:p>
          <w:p>
            <w:pPr>
              <w:pStyle w:val="null3"/>
              <w:ind w:firstLine="480"/>
              <w:jc w:val="both"/>
            </w:pPr>
            <w:r>
              <w:rPr>
                <w:rFonts w:ascii="calibri" w:hAnsi="calibri" w:cs="calibri" w:eastAsia="calibri"/>
                <w:sz w:val="24"/>
                <w:color w:val="0000FF"/>
              </w:rPr>
              <w:t>B</w:t>
            </w:r>
            <w:r>
              <w:rPr>
                <w:rFonts w:ascii="宋体" w:hAnsi="宋体" w:cs="宋体" w:eastAsia="宋体"/>
                <w:sz w:val="24"/>
                <w:color w:val="0000FF"/>
              </w:rPr>
              <w:t>级问题：系统严重故障—系统不能进行基本业务操作，最迟</w:t>
            </w:r>
            <w:r>
              <w:rPr>
                <w:rFonts w:ascii="calibri" w:hAnsi="calibri" w:cs="calibri" w:eastAsia="calibri"/>
                <w:sz w:val="24"/>
                <w:color w:val="0000FF"/>
              </w:rPr>
              <w:t>2</w:t>
            </w:r>
            <w:r>
              <w:rPr>
                <w:rFonts w:ascii="宋体" w:hAnsi="宋体" w:cs="宋体" w:eastAsia="宋体"/>
                <w:sz w:val="24"/>
                <w:color w:val="0000FF"/>
              </w:rPr>
              <w:t>小时内到达。</w:t>
            </w:r>
          </w:p>
          <w:p>
            <w:pPr>
              <w:pStyle w:val="null3"/>
              <w:ind w:firstLine="480"/>
              <w:jc w:val="both"/>
            </w:pPr>
            <w:r>
              <w:rPr>
                <w:rFonts w:ascii="calibri" w:hAnsi="calibri" w:cs="calibri" w:eastAsia="calibri"/>
                <w:sz w:val="24"/>
                <w:color w:val="0000FF"/>
              </w:rPr>
              <w:t>C</w:t>
            </w:r>
            <w:r>
              <w:rPr>
                <w:rFonts w:ascii="宋体" w:hAnsi="宋体" w:cs="宋体" w:eastAsia="宋体"/>
                <w:sz w:val="24"/>
                <w:color w:val="0000FF"/>
              </w:rPr>
              <w:t>级问题：系统一般错误类故障—重要部门能够维持工作，服务工程师最迟</w:t>
            </w:r>
            <w:r>
              <w:rPr>
                <w:rFonts w:ascii="calibri" w:hAnsi="calibri" w:cs="calibri" w:eastAsia="calibri"/>
                <w:sz w:val="24"/>
                <w:color w:val="0000FF"/>
              </w:rPr>
              <w:t>1</w:t>
            </w:r>
            <w:r>
              <w:rPr>
                <w:rFonts w:ascii="宋体" w:hAnsi="宋体" w:cs="宋体" w:eastAsia="宋体"/>
                <w:sz w:val="24"/>
                <w:color w:val="0000FF"/>
              </w:rPr>
              <w:t>个工作日内到达或与我方协商确定时间。</w:t>
            </w:r>
          </w:p>
          <w:p>
            <w:pPr>
              <w:pStyle w:val="null3"/>
              <w:ind w:firstLine="480"/>
              <w:jc w:val="both"/>
            </w:pPr>
            <w:r>
              <w:rPr>
                <w:rFonts w:ascii="calibri" w:hAnsi="calibri" w:cs="calibri" w:eastAsia="calibri"/>
                <w:sz w:val="24"/>
                <w:color w:val="0000FF"/>
              </w:rPr>
              <w:t>D</w:t>
            </w:r>
            <w:r>
              <w:rPr>
                <w:rFonts w:ascii="宋体" w:hAnsi="宋体" w:cs="宋体" w:eastAsia="宋体"/>
                <w:sz w:val="24"/>
                <w:color w:val="0000FF"/>
              </w:rPr>
              <w:t>级问题：系统一般需求类故障—重要部门能够维持工作，其他需求类服务请求，如一般性的参数调整等，服务工程师最迟</w:t>
            </w:r>
            <w:r>
              <w:rPr>
                <w:rFonts w:ascii="calibri" w:hAnsi="calibri" w:cs="calibri" w:eastAsia="calibri"/>
                <w:sz w:val="24"/>
                <w:color w:val="0000FF"/>
              </w:rPr>
              <w:t>2</w:t>
            </w:r>
            <w:r>
              <w:rPr>
                <w:rFonts w:ascii="宋体" w:hAnsi="宋体" w:cs="宋体" w:eastAsia="宋体"/>
                <w:sz w:val="24"/>
                <w:color w:val="0000FF"/>
              </w:rPr>
              <w:t>个工作日内到达或与我方协商确定时间。</w:t>
            </w:r>
          </w:p>
          <w:p>
            <w:pPr>
              <w:pStyle w:val="null3"/>
              <w:numPr>
                <w:ilvl w:val="0"/>
                <w:numId w:val="1"/>
              </w:numPr>
              <w:jc w:val="both"/>
            </w:pPr>
            <w:r>
              <w:rPr>
                <w:rFonts w:ascii="宋体" w:hAnsi="宋体" w:cs="宋体" w:eastAsia="宋体"/>
                <w:sz w:val="24"/>
                <w:b/>
                <w:color w:val="0000FF"/>
              </w:rPr>
              <w:t>安全扫描服务</w:t>
            </w:r>
          </w:p>
          <w:p>
            <w:pPr>
              <w:pStyle w:val="null3"/>
              <w:ind w:firstLine="480"/>
              <w:jc w:val="both"/>
            </w:pPr>
            <w:r>
              <w:rPr>
                <w:rFonts w:ascii="宋体" w:hAnsi="宋体" w:cs="宋体" w:eastAsia="宋体"/>
                <w:sz w:val="24"/>
                <w:color w:val="0000FF"/>
              </w:rPr>
              <w:t>供应商应使用最新的安全扫描工具和技术，对硬件设备和软件系统进行定期检查，以及时发现和修复安全隐患。每季度对</w:t>
            </w:r>
            <w:r>
              <w:rPr>
                <w:rFonts w:ascii="宋体" w:hAnsi="宋体" w:cs="宋体" w:eastAsia="宋体"/>
                <w:sz w:val="24"/>
                <w:color w:val="0000FF"/>
              </w:rPr>
              <w:t>陕西省无线电管理委员会办公室</w:t>
            </w:r>
            <w:r>
              <w:rPr>
                <w:rFonts w:ascii="宋体" w:hAnsi="宋体" w:cs="宋体" w:eastAsia="宋体"/>
                <w:sz w:val="24"/>
                <w:color w:val="0000FF"/>
              </w:rPr>
              <w:t>信息资产的硬件设备和软件系统进行安全扫描。供应商应提供详细的安全扫描报告，包括具体的安全建议和改进措施。硬件设备包括网络设备、安全设备、主机设备、存储设备等；软件设备包括操作系统软件、典型应用软件（如数据库软件、中间件软件等）、业务应用软件等，对信息资产所存在的安全隐患和漏洞进行及时发现。</w:t>
            </w:r>
          </w:p>
          <w:p>
            <w:pPr>
              <w:pStyle w:val="null3"/>
              <w:numPr>
                <w:ilvl w:val="0"/>
                <w:numId w:val="1"/>
              </w:numPr>
              <w:jc w:val="both"/>
            </w:pPr>
            <w:r>
              <w:rPr>
                <w:rFonts w:ascii="宋体" w:hAnsi="宋体" w:cs="宋体" w:eastAsia="宋体"/>
                <w:sz w:val="24"/>
                <w:b/>
                <w:color w:val="0000FF"/>
              </w:rPr>
              <w:t>重保期间安全保障服务</w:t>
            </w:r>
          </w:p>
          <w:p>
            <w:pPr>
              <w:pStyle w:val="null3"/>
              <w:ind w:firstLine="480"/>
              <w:jc w:val="both"/>
            </w:pPr>
            <w:r>
              <w:rPr>
                <w:rFonts w:ascii="宋体" w:hAnsi="宋体" w:cs="宋体" w:eastAsia="宋体"/>
                <w:sz w:val="24"/>
                <w:color w:val="0000FF"/>
              </w:rPr>
              <w:t>供应商应确保在重大活动期间及</w:t>
            </w:r>
            <w:r>
              <w:rPr>
                <w:rFonts w:ascii="calibri" w:hAnsi="calibri" w:cs="calibri" w:eastAsia="calibri"/>
                <w:sz w:val="24"/>
                <w:color w:val="0000FF"/>
              </w:rPr>
              <w:t>HW</w:t>
            </w:r>
            <w:r>
              <w:rPr>
                <w:rFonts w:ascii="宋体" w:hAnsi="宋体" w:cs="宋体" w:eastAsia="宋体"/>
                <w:sz w:val="24"/>
                <w:color w:val="0000FF"/>
              </w:rPr>
              <w:t>期间，对</w:t>
            </w:r>
            <w:r>
              <w:rPr>
                <w:rFonts w:ascii="宋体" w:hAnsi="宋体" w:cs="宋体" w:eastAsia="宋体"/>
                <w:sz w:val="24"/>
                <w:color w:val="0000FF"/>
              </w:rPr>
              <w:t>陕西省无线电管理委员会办公室</w:t>
            </w:r>
            <w:r>
              <w:rPr>
                <w:rFonts w:ascii="宋体" w:hAnsi="宋体" w:cs="宋体" w:eastAsia="宋体"/>
                <w:sz w:val="24"/>
                <w:color w:val="0000FF"/>
              </w:rPr>
              <w:t>网络进行</w:t>
            </w:r>
            <w:r>
              <w:rPr>
                <w:rFonts w:ascii="calibri" w:hAnsi="calibri" w:cs="calibri" w:eastAsia="calibri"/>
                <w:sz w:val="24"/>
                <w:color w:val="0000FF"/>
              </w:rPr>
              <w:t>7×24</w:t>
            </w:r>
            <w:r>
              <w:rPr>
                <w:rFonts w:ascii="宋体" w:hAnsi="宋体" w:cs="宋体" w:eastAsia="宋体"/>
                <w:sz w:val="24"/>
                <w:color w:val="0000FF"/>
              </w:rPr>
              <w:t>小时安全监控。重点监控可能影响系统稳定安全运行的事件，包括但不限于安全攻击（如</w:t>
            </w:r>
            <w:r>
              <w:rPr>
                <w:rFonts w:ascii="calibri" w:hAnsi="calibri" w:cs="calibri" w:eastAsia="calibri"/>
                <w:sz w:val="24"/>
                <w:color w:val="0000FF"/>
              </w:rPr>
              <w:t>DDOS</w:t>
            </w:r>
            <w:r>
              <w:rPr>
                <w:rFonts w:ascii="宋体" w:hAnsi="宋体" w:cs="宋体" w:eastAsia="宋体"/>
                <w:sz w:val="24"/>
                <w:color w:val="0000FF"/>
              </w:rPr>
              <w:t>攻击、恶意木马、病毒攻击等）和关键敏感数据泄露。同时，提供安全事故应急响应技术保障，确保在安全事件发生时能够迅速响应和恢复。供应商需实现快速安全响应，并每日统计和分析安全监控和日志数据，出具安全日报和保障总结报告。</w:t>
            </w:r>
          </w:p>
          <w:p>
            <w:pPr>
              <w:pStyle w:val="null3"/>
              <w:ind w:firstLine="480"/>
              <w:jc w:val="both"/>
            </w:pPr>
            <w:r>
              <w:rPr>
                <w:rFonts w:ascii="宋体" w:hAnsi="宋体" w:cs="宋体" w:eastAsia="宋体"/>
                <w:sz w:val="24"/>
                <w:color w:val="0000FF"/>
              </w:rPr>
              <w:t>全天候监控：实施</w:t>
            </w:r>
            <w:r>
              <w:rPr>
                <w:rFonts w:ascii="calibri" w:hAnsi="calibri" w:cs="calibri" w:eastAsia="calibri"/>
                <w:sz w:val="24"/>
                <w:color w:val="0000FF"/>
              </w:rPr>
              <w:t>7</w:t>
            </w:r>
            <w:r>
              <w:rPr>
                <w:rFonts w:ascii="宋体" w:hAnsi="宋体" w:cs="宋体" w:eastAsia="宋体"/>
                <w:sz w:val="24"/>
                <w:color w:val="0000FF"/>
              </w:rPr>
              <w:t>×</w:t>
            </w:r>
            <w:r>
              <w:rPr>
                <w:rFonts w:ascii="calibri" w:hAnsi="calibri" w:cs="calibri" w:eastAsia="calibri"/>
                <w:sz w:val="24"/>
                <w:color w:val="0000FF"/>
              </w:rPr>
              <w:t>24</w:t>
            </w:r>
            <w:r>
              <w:rPr>
                <w:rFonts w:ascii="宋体" w:hAnsi="宋体" w:cs="宋体" w:eastAsia="宋体"/>
                <w:sz w:val="24"/>
                <w:color w:val="0000FF"/>
              </w:rPr>
              <w:t>小时的网络和系统监控，确保实时检测和响应安全事件。</w:t>
            </w:r>
          </w:p>
          <w:p>
            <w:pPr>
              <w:pStyle w:val="null3"/>
              <w:ind w:firstLine="480"/>
              <w:jc w:val="both"/>
            </w:pPr>
            <w:r>
              <w:rPr>
                <w:rFonts w:ascii="宋体" w:hAnsi="宋体" w:cs="宋体" w:eastAsia="宋体"/>
                <w:sz w:val="24"/>
                <w:color w:val="0000FF"/>
              </w:rPr>
              <w:t>重点事件监控：特别关注可能影响系统稳定运行的事件，如</w:t>
            </w:r>
            <w:r>
              <w:rPr>
                <w:rFonts w:ascii="calibri" w:hAnsi="calibri" w:cs="calibri" w:eastAsia="calibri"/>
                <w:sz w:val="24"/>
                <w:color w:val="0000FF"/>
              </w:rPr>
              <w:t>DDOS</w:t>
            </w:r>
            <w:r>
              <w:rPr>
                <w:rFonts w:ascii="宋体" w:hAnsi="宋体" w:cs="宋体" w:eastAsia="宋体"/>
                <w:sz w:val="24"/>
                <w:color w:val="0000FF"/>
              </w:rPr>
              <w:t>攻击、恶意软件、数据泄露等。</w:t>
            </w:r>
          </w:p>
          <w:p>
            <w:pPr>
              <w:pStyle w:val="null3"/>
              <w:ind w:firstLine="480"/>
              <w:jc w:val="both"/>
            </w:pPr>
            <w:r>
              <w:rPr>
                <w:rFonts w:ascii="宋体" w:hAnsi="宋体" w:cs="宋体" w:eastAsia="宋体"/>
                <w:sz w:val="24"/>
                <w:color w:val="0000FF"/>
              </w:rPr>
              <w:t>快速响应机制：建立并实施快速安全响应流程，确保在安全事件发生时能够迅速采取行动。</w:t>
            </w:r>
          </w:p>
          <w:p>
            <w:pPr>
              <w:pStyle w:val="null3"/>
              <w:ind w:firstLine="480"/>
              <w:jc w:val="both"/>
            </w:pPr>
            <w:r>
              <w:rPr>
                <w:rFonts w:ascii="宋体" w:hAnsi="宋体" w:cs="宋体" w:eastAsia="宋体"/>
                <w:sz w:val="24"/>
                <w:color w:val="0000FF"/>
              </w:rPr>
              <w:t>日志分析与报告：每日进行安全监控和日志数据分析，提供安全日报和保障总结报告。</w:t>
            </w:r>
          </w:p>
          <w:p>
            <w:pPr>
              <w:pStyle w:val="null3"/>
              <w:numPr>
                <w:ilvl w:val="0"/>
                <w:numId w:val="1"/>
              </w:numPr>
              <w:jc w:val="both"/>
            </w:pPr>
            <w:r>
              <w:rPr>
                <w:rFonts w:ascii="宋体" w:hAnsi="宋体" w:cs="宋体" w:eastAsia="宋体"/>
                <w:sz w:val="24"/>
                <w:b/>
                <w:color w:val="0000FF"/>
              </w:rPr>
              <w:t>渗透测试服务</w:t>
            </w:r>
          </w:p>
          <w:p>
            <w:pPr>
              <w:pStyle w:val="null3"/>
              <w:ind w:firstLine="480"/>
              <w:jc w:val="both"/>
            </w:pPr>
            <w:r>
              <w:rPr>
                <w:rFonts w:ascii="宋体" w:hAnsi="宋体" w:cs="宋体" w:eastAsia="宋体"/>
                <w:sz w:val="24"/>
                <w:color w:val="0000FF"/>
              </w:rPr>
              <w:t>供应商应</w:t>
            </w:r>
            <w:r>
              <w:rPr>
                <w:rFonts w:ascii="宋体" w:hAnsi="宋体" w:cs="宋体" w:eastAsia="宋体"/>
                <w:sz w:val="24"/>
                <w:color w:val="0000FF"/>
              </w:rPr>
              <w:t>组建技术团队，团队内应包含有</w:t>
            </w:r>
            <w:r>
              <w:rPr>
                <w:rFonts w:ascii="宋体" w:hAnsi="宋体" w:cs="宋体" w:eastAsia="宋体"/>
                <w:sz w:val="24"/>
                <w:color w:val="0000FF"/>
              </w:rPr>
              <w:t>精通渗透测试技术的资深安全专家</w:t>
            </w:r>
            <w:r>
              <w:rPr>
                <w:rFonts w:ascii="宋体" w:hAnsi="宋体" w:cs="宋体" w:eastAsia="宋体"/>
                <w:sz w:val="24"/>
                <w:color w:val="0000FF"/>
              </w:rPr>
              <w:t>，在授权范围内，对</w:t>
            </w:r>
            <w:r>
              <w:rPr>
                <w:rFonts w:ascii="宋体" w:hAnsi="宋体" w:cs="宋体" w:eastAsia="宋体"/>
                <w:sz w:val="24"/>
                <w:color w:val="0000FF"/>
              </w:rPr>
              <w:t>陕西省无线电管理委员会办公室</w:t>
            </w:r>
            <w:r>
              <w:rPr>
                <w:rFonts w:ascii="宋体" w:hAnsi="宋体" w:cs="宋体" w:eastAsia="宋体"/>
                <w:sz w:val="24"/>
                <w:color w:val="0000FF"/>
              </w:rPr>
              <w:t>信息系统进行模拟黑客攻击的测试服务，用于</w:t>
            </w:r>
            <w:r>
              <w:rPr>
                <w:rFonts w:ascii="宋体" w:hAnsi="宋体" w:cs="宋体" w:eastAsia="宋体"/>
                <w:sz w:val="24"/>
                <w:color w:val="0000FF"/>
              </w:rPr>
              <w:t>陕西省无线电管理委员会办公室</w:t>
            </w:r>
            <w:r>
              <w:rPr>
                <w:rFonts w:ascii="宋体" w:hAnsi="宋体" w:cs="宋体" w:eastAsia="宋体"/>
                <w:sz w:val="24"/>
                <w:color w:val="0000FF"/>
              </w:rPr>
              <w:t>评估信息系统当前的安全性。提供包括外网渗透测试、内网渗透测试、黑盒测试、灰盒测试等多种测试方法，覆盖信息系统中包含的网站、</w:t>
            </w:r>
            <w:r>
              <w:rPr>
                <w:rFonts w:ascii="calibri" w:hAnsi="calibri" w:cs="calibri" w:eastAsia="calibri"/>
                <w:sz w:val="24"/>
                <w:color w:val="0000FF"/>
              </w:rPr>
              <w:t>APP</w:t>
            </w:r>
            <w:r>
              <w:rPr>
                <w:rFonts w:ascii="宋体" w:hAnsi="宋体" w:cs="宋体" w:eastAsia="宋体"/>
                <w:sz w:val="24"/>
                <w:color w:val="0000FF"/>
              </w:rPr>
              <w:t>等相关软硬件资产，测试频次季度一次。</w:t>
            </w:r>
            <w:r>
              <w:rPr>
                <w:rFonts w:ascii="宋体" w:hAnsi="宋体" w:cs="宋体" w:eastAsia="宋体"/>
                <w:sz w:val="24"/>
                <w:color w:val="0000FF"/>
              </w:rPr>
              <w:t>渗透测试将覆盖所有相关的软硬件资产，包括网站和应用程序，并在测试后提供详尽的渗透测试报告，包括发现的安全漏洞和改进建议。</w:t>
            </w:r>
          </w:p>
          <w:p>
            <w:pPr>
              <w:pStyle w:val="null3"/>
              <w:ind w:firstLine="480"/>
              <w:jc w:val="both"/>
            </w:pPr>
            <w:r>
              <w:rPr>
                <w:rFonts w:ascii="宋体" w:hAnsi="宋体" w:cs="宋体" w:eastAsia="宋体"/>
                <w:sz w:val="24"/>
                <w:color w:val="0000FF"/>
              </w:rPr>
              <w:t>专业团队：由资深安全专家执行渗透测试，确保测试的深度和广度。</w:t>
            </w:r>
          </w:p>
          <w:p>
            <w:pPr>
              <w:pStyle w:val="null3"/>
              <w:ind w:firstLine="480"/>
              <w:jc w:val="both"/>
            </w:pPr>
            <w:r>
              <w:rPr>
                <w:rFonts w:ascii="宋体" w:hAnsi="宋体" w:cs="宋体" w:eastAsia="宋体"/>
                <w:sz w:val="24"/>
                <w:color w:val="0000FF"/>
              </w:rPr>
              <w:t>多种测试方法：包括外网渗透测试、内网渗透测试、黑盒测试和灰盒测试等。</w:t>
            </w:r>
          </w:p>
          <w:p>
            <w:pPr>
              <w:pStyle w:val="null3"/>
              <w:ind w:firstLine="480"/>
              <w:jc w:val="both"/>
            </w:pPr>
            <w:r>
              <w:rPr>
                <w:rFonts w:ascii="宋体" w:hAnsi="宋体" w:cs="宋体" w:eastAsia="宋体"/>
                <w:sz w:val="24"/>
                <w:color w:val="0000FF"/>
              </w:rPr>
              <w:t>全面覆盖：确保测试覆盖所有相关软硬件资产，包括网站和应用程序。</w:t>
            </w:r>
          </w:p>
          <w:p>
            <w:pPr>
              <w:pStyle w:val="null3"/>
              <w:ind w:firstLine="480"/>
              <w:jc w:val="both"/>
            </w:pPr>
            <w:r>
              <w:rPr>
                <w:rFonts w:ascii="宋体" w:hAnsi="宋体" w:cs="宋体" w:eastAsia="宋体"/>
                <w:sz w:val="24"/>
                <w:color w:val="0000FF"/>
              </w:rPr>
              <w:t>详细报告：提供包含安全漏洞和改进建议的渗透测试报告。</w:t>
            </w:r>
          </w:p>
          <w:p>
            <w:pPr>
              <w:pStyle w:val="null3"/>
              <w:numPr>
                <w:ilvl w:val="0"/>
                <w:numId w:val="1"/>
              </w:numPr>
              <w:jc w:val="both"/>
            </w:pPr>
            <w:r>
              <w:rPr>
                <w:rFonts w:ascii="宋体" w:hAnsi="宋体" w:cs="宋体" w:eastAsia="宋体"/>
                <w:sz w:val="24"/>
                <w:b/>
                <w:color w:val="0000FF"/>
              </w:rPr>
              <w:t>日常安全检查服务</w:t>
            </w:r>
          </w:p>
          <w:p>
            <w:pPr>
              <w:pStyle w:val="null3"/>
              <w:ind w:firstLine="480"/>
              <w:jc w:val="both"/>
            </w:pPr>
            <w:r>
              <w:rPr>
                <w:rFonts w:ascii="宋体" w:hAnsi="宋体" w:cs="宋体" w:eastAsia="宋体"/>
                <w:sz w:val="24"/>
                <w:color w:val="0000FF"/>
              </w:rPr>
              <w:t>供应商应对</w:t>
            </w:r>
            <w:r>
              <w:rPr>
                <w:rFonts w:ascii="宋体" w:hAnsi="宋体" w:cs="宋体" w:eastAsia="宋体"/>
                <w:sz w:val="24"/>
                <w:color w:val="0000FF"/>
              </w:rPr>
              <w:t>陕西省无线电管理委员会办公室</w:t>
            </w:r>
            <w:r>
              <w:rPr>
                <w:rFonts w:ascii="宋体" w:hAnsi="宋体" w:cs="宋体" w:eastAsia="宋体"/>
                <w:sz w:val="24"/>
                <w:color w:val="0000FF"/>
              </w:rPr>
              <w:t>网络及信息系统进行日常网络安全检查，全面评估系统所存在的风险，识别网络安全问题及隐患，并提出隐患加固方案或处理措施。</w:t>
            </w:r>
            <w:r>
              <w:rPr>
                <w:rFonts w:ascii="宋体" w:hAnsi="宋体" w:cs="宋体" w:eastAsia="宋体"/>
                <w:sz w:val="24"/>
                <w:color w:val="0000FF"/>
              </w:rPr>
              <w:t>检查范围包括</w:t>
            </w:r>
            <w:r>
              <w:rPr>
                <w:rFonts w:ascii="宋体" w:hAnsi="宋体" w:cs="宋体" w:eastAsia="宋体"/>
                <w:sz w:val="24"/>
                <w:color w:val="0000FF"/>
              </w:rPr>
              <w:t>陕西省无线电管理委员会办公室</w:t>
            </w:r>
            <w:r>
              <w:rPr>
                <w:rFonts w:ascii="宋体" w:hAnsi="宋体" w:cs="宋体" w:eastAsia="宋体"/>
                <w:sz w:val="24"/>
                <w:color w:val="0000FF"/>
              </w:rPr>
              <w:t>信息系统，提出隐患加固方案或处理措施，检查频次不少于</w:t>
            </w:r>
            <w:r>
              <w:rPr>
                <w:rFonts w:ascii="calibri" w:hAnsi="calibri" w:cs="calibri" w:eastAsia="calibri"/>
                <w:sz w:val="24"/>
                <w:color w:val="0000FF"/>
              </w:rPr>
              <w:t>1</w:t>
            </w:r>
            <w:r>
              <w:rPr>
                <w:rFonts w:ascii="宋体" w:hAnsi="宋体" w:cs="宋体" w:eastAsia="宋体"/>
                <w:sz w:val="24"/>
                <w:color w:val="0000FF"/>
              </w:rPr>
              <w:t>年</w:t>
            </w:r>
            <w:r>
              <w:rPr>
                <w:rFonts w:ascii="calibri" w:hAnsi="calibri" w:cs="calibri" w:eastAsia="calibri"/>
                <w:sz w:val="24"/>
                <w:color w:val="0000FF"/>
              </w:rPr>
              <w:t>4</w:t>
            </w:r>
            <w:r>
              <w:rPr>
                <w:rFonts w:ascii="宋体" w:hAnsi="宋体" w:cs="宋体" w:eastAsia="宋体"/>
                <w:sz w:val="24"/>
                <w:color w:val="0000FF"/>
              </w:rPr>
              <w:t>次，并提供安全检查报告。</w:t>
            </w:r>
          </w:p>
          <w:p>
            <w:pPr>
              <w:pStyle w:val="null3"/>
              <w:ind w:firstLine="480"/>
              <w:jc w:val="both"/>
            </w:pPr>
            <w:r>
              <w:rPr>
                <w:rFonts w:ascii="宋体" w:hAnsi="宋体" w:cs="宋体" w:eastAsia="宋体"/>
                <w:sz w:val="24"/>
                <w:color w:val="0000FF"/>
              </w:rPr>
              <w:t>定期检查：至少每年进行四次网络安全检查，全面评估系统风险。</w:t>
            </w:r>
          </w:p>
          <w:p>
            <w:pPr>
              <w:pStyle w:val="null3"/>
              <w:ind w:firstLine="480"/>
              <w:jc w:val="both"/>
            </w:pPr>
            <w:r>
              <w:rPr>
                <w:rFonts w:ascii="宋体" w:hAnsi="宋体" w:cs="宋体" w:eastAsia="宋体"/>
                <w:sz w:val="24"/>
                <w:color w:val="0000FF"/>
              </w:rPr>
              <w:t>隐患识别：识别网络安全问题和隐患，提出加固方案或处理措施。</w:t>
            </w:r>
          </w:p>
          <w:p>
            <w:pPr>
              <w:pStyle w:val="null3"/>
              <w:ind w:firstLine="480"/>
              <w:jc w:val="both"/>
            </w:pPr>
            <w:r>
              <w:rPr>
                <w:rFonts w:ascii="宋体" w:hAnsi="宋体" w:cs="宋体" w:eastAsia="宋体"/>
                <w:sz w:val="24"/>
                <w:color w:val="0000FF"/>
              </w:rPr>
              <w:t>风险评估：评估可能发生的安全事件造成的危害程度。</w:t>
            </w:r>
          </w:p>
          <w:p>
            <w:pPr>
              <w:pStyle w:val="null3"/>
              <w:ind w:firstLine="480"/>
              <w:jc w:val="both"/>
            </w:pPr>
            <w:r>
              <w:rPr>
                <w:rFonts w:ascii="宋体" w:hAnsi="宋体" w:cs="宋体" w:eastAsia="宋体"/>
                <w:sz w:val="24"/>
                <w:color w:val="0000FF"/>
              </w:rPr>
              <w:t>检查报告：提供详细的安全检查报告，包括发现的问题和建议。</w:t>
            </w:r>
          </w:p>
          <w:p>
            <w:pPr>
              <w:pStyle w:val="null3"/>
              <w:numPr>
                <w:ilvl w:val="0"/>
                <w:numId w:val="1"/>
              </w:numPr>
              <w:jc w:val="both"/>
            </w:pPr>
            <w:r>
              <w:rPr>
                <w:rFonts w:ascii="宋体" w:hAnsi="宋体" w:cs="宋体" w:eastAsia="宋体"/>
                <w:sz w:val="24"/>
                <w:b/>
                <w:color w:val="0000FF"/>
              </w:rPr>
              <w:t>基础资源进行监控和管理服务</w:t>
            </w:r>
          </w:p>
          <w:p>
            <w:pPr>
              <w:pStyle w:val="null3"/>
              <w:ind w:firstLine="480"/>
              <w:jc w:val="both"/>
            </w:pPr>
            <w:r>
              <w:rPr>
                <w:rFonts w:ascii="宋体" w:hAnsi="宋体" w:cs="宋体" w:eastAsia="宋体"/>
                <w:sz w:val="24"/>
                <w:color w:val="0000FF"/>
              </w:rPr>
              <w:t>供应商应对现有的信息系统基础资源进行监控和管理，及时掌握资源现状和配置信息，反映资源的可用性情况和健康状况。</w:t>
            </w:r>
            <w:r>
              <w:rPr>
                <w:rFonts w:ascii="宋体" w:hAnsi="宋体" w:cs="宋体" w:eastAsia="宋体"/>
                <w:sz w:val="24"/>
                <w:color w:val="0000FF"/>
              </w:rPr>
              <w:t>创建一个可知可控的</w:t>
            </w:r>
            <w:r>
              <w:rPr>
                <w:rFonts w:ascii="calibri" w:hAnsi="calibri" w:cs="calibri" w:eastAsia="calibri"/>
                <w:sz w:val="24"/>
                <w:color w:val="0000FF"/>
              </w:rPr>
              <w:t>IT</w:t>
            </w:r>
            <w:r>
              <w:rPr>
                <w:rFonts w:ascii="宋体" w:hAnsi="宋体" w:cs="宋体" w:eastAsia="宋体"/>
                <w:sz w:val="24"/>
                <w:color w:val="0000FF"/>
              </w:rPr>
              <w:t>环境，从而保证</w:t>
            </w:r>
            <w:r>
              <w:rPr>
                <w:rFonts w:ascii="宋体" w:hAnsi="宋体" w:cs="宋体" w:eastAsia="宋体"/>
                <w:sz w:val="24"/>
                <w:color w:val="0000FF"/>
              </w:rPr>
              <w:t>陕西省无线电管理委员会办公室</w:t>
            </w:r>
            <w:r>
              <w:rPr>
                <w:rFonts w:ascii="宋体" w:hAnsi="宋体" w:cs="宋体" w:eastAsia="宋体"/>
                <w:sz w:val="24"/>
                <w:color w:val="0000FF"/>
              </w:rPr>
              <w:t>信息系统的各类业务应用系统的可靠、高效、持续、安全运行，交付基础资源监控报告。</w:t>
            </w:r>
          </w:p>
          <w:p>
            <w:pPr>
              <w:pStyle w:val="null3"/>
              <w:ind w:firstLine="480"/>
              <w:jc w:val="both"/>
            </w:pPr>
            <w:r>
              <w:rPr>
                <w:rFonts w:ascii="宋体" w:hAnsi="宋体" w:cs="宋体" w:eastAsia="宋体"/>
                <w:sz w:val="24"/>
                <w:color w:val="0000FF"/>
              </w:rPr>
              <w:t>服务项目范围覆盖的信息系统资源以下方面的关键状态及参数指标：</w:t>
            </w:r>
          </w:p>
          <w:p>
            <w:pPr>
              <w:pStyle w:val="null3"/>
              <w:ind w:firstLine="480"/>
              <w:jc w:val="both"/>
            </w:pPr>
            <w:r>
              <w:rPr>
                <w:rFonts w:ascii="宋体" w:hAnsi="宋体" w:cs="宋体" w:eastAsia="宋体"/>
                <w:sz w:val="24"/>
                <w:color w:val="0000FF"/>
              </w:rPr>
              <w:t>运行状态、故障情况</w:t>
            </w:r>
            <w:r>
              <w:rPr>
                <w:rFonts w:ascii="宋体" w:hAnsi="宋体" w:cs="宋体" w:eastAsia="宋体"/>
                <w:sz w:val="24"/>
                <w:color w:val="0000FF"/>
              </w:rPr>
              <w:t>；</w:t>
            </w:r>
            <w:r>
              <w:rPr>
                <w:rFonts w:ascii="宋体" w:hAnsi="宋体" w:cs="宋体" w:eastAsia="宋体"/>
                <w:sz w:val="24"/>
                <w:color w:val="0000FF"/>
              </w:rPr>
              <w:t>配置信息</w:t>
            </w:r>
            <w:r>
              <w:rPr>
                <w:rFonts w:ascii="宋体" w:hAnsi="宋体" w:cs="宋体" w:eastAsia="宋体"/>
                <w:sz w:val="24"/>
                <w:color w:val="0000FF"/>
              </w:rPr>
              <w:t>；</w:t>
            </w:r>
            <w:r>
              <w:rPr>
                <w:rFonts w:ascii="宋体" w:hAnsi="宋体" w:cs="宋体" w:eastAsia="宋体"/>
                <w:sz w:val="24"/>
                <w:color w:val="0000FF"/>
              </w:rPr>
              <w:t>可用性情况及健康状况性能指标；统计运维数椐、提供信息系统管理和工作报告、归纳总结并提供</w:t>
            </w:r>
            <w:r>
              <w:rPr>
                <w:rFonts w:ascii="宋体" w:hAnsi="宋体" w:cs="宋体" w:eastAsia="宋体"/>
                <w:sz w:val="24"/>
                <w:color w:val="0000FF"/>
              </w:rPr>
              <w:t>我方</w:t>
            </w:r>
            <w:r>
              <w:rPr>
                <w:rFonts w:ascii="宋体" w:hAnsi="宋体" w:cs="宋体" w:eastAsia="宋体"/>
                <w:sz w:val="24"/>
                <w:color w:val="0000FF"/>
              </w:rPr>
              <w:t>想了解的数椐报告</w:t>
            </w:r>
          </w:p>
          <w:p>
            <w:pPr>
              <w:pStyle w:val="null3"/>
              <w:ind w:firstLine="480"/>
              <w:jc w:val="both"/>
            </w:pPr>
            <w:r>
              <w:rPr>
                <w:rFonts w:ascii="宋体" w:hAnsi="宋体" w:cs="宋体" w:eastAsia="宋体"/>
                <w:sz w:val="24"/>
                <w:color w:val="0000FF"/>
              </w:rPr>
              <w:t>资源监控：对信息系统基础资源进行持续监控，包括运行状态、故障情况等。</w:t>
            </w:r>
          </w:p>
          <w:p>
            <w:pPr>
              <w:pStyle w:val="null3"/>
              <w:ind w:firstLine="480"/>
              <w:jc w:val="both"/>
            </w:pPr>
            <w:r>
              <w:rPr>
                <w:rFonts w:ascii="宋体" w:hAnsi="宋体" w:cs="宋体" w:eastAsia="宋体"/>
                <w:sz w:val="24"/>
                <w:color w:val="0000FF"/>
              </w:rPr>
              <w:t>配置管理：管理信息系统资源的配置信息，确保资源配置的合理性和安全性。</w:t>
            </w:r>
          </w:p>
          <w:p>
            <w:pPr>
              <w:pStyle w:val="null3"/>
              <w:ind w:firstLine="480"/>
              <w:jc w:val="both"/>
            </w:pPr>
            <w:r>
              <w:rPr>
                <w:rFonts w:ascii="宋体" w:hAnsi="宋体" w:cs="宋体" w:eastAsia="宋体"/>
                <w:sz w:val="24"/>
                <w:color w:val="0000FF"/>
              </w:rPr>
              <w:t>性能监控：监控性能指标，评估资源的可用性和健康状况。</w:t>
            </w:r>
          </w:p>
          <w:p>
            <w:pPr>
              <w:pStyle w:val="null3"/>
              <w:ind w:firstLine="480"/>
              <w:jc w:val="both"/>
            </w:pPr>
            <w:r>
              <w:rPr>
                <w:rFonts w:ascii="宋体" w:hAnsi="宋体" w:cs="宋体" w:eastAsia="宋体"/>
                <w:sz w:val="24"/>
                <w:color w:val="0000FF"/>
              </w:rPr>
              <w:t>数据报告：定期提供基础资源监控报告，包括运维数据和我方所需的数据报告。</w:t>
            </w:r>
          </w:p>
          <w:p>
            <w:pPr>
              <w:pStyle w:val="null3"/>
              <w:numPr>
                <w:ilvl w:val="0"/>
                <w:numId w:val="1"/>
              </w:numPr>
              <w:jc w:val="both"/>
            </w:pPr>
            <w:r>
              <w:rPr>
                <w:rFonts w:ascii="宋体" w:hAnsi="宋体" w:cs="宋体" w:eastAsia="宋体"/>
                <w:sz w:val="24"/>
                <w:b/>
                <w:color w:val="0000FF"/>
              </w:rPr>
              <w:t>信息资产统计服务</w:t>
            </w:r>
          </w:p>
          <w:p>
            <w:pPr>
              <w:pStyle w:val="null3"/>
              <w:ind w:firstLine="480"/>
              <w:jc w:val="both"/>
            </w:pPr>
            <w:r>
              <w:rPr>
                <w:rFonts w:ascii="宋体" w:hAnsi="宋体" w:cs="宋体" w:eastAsia="宋体"/>
                <w:sz w:val="24"/>
                <w:color w:val="0000FF"/>
              </w:rPr>
              <w:t>供应商应对</w:t>
            </w:r>
            <w:r>
              <w:rPr>
                <w:rFonts w:ascii="宋体" w:hAnsi="宋体" w:cs="宋体" w:eastAsia="宋体"/>
                <w:sz w:val="24"/>
                <w:color w:val="0000FF"/>
              </w:rPr>
              <w:t>陕西省无线电管理委员会办公室</w:t>
            </w:r>
            <w:r>
              <w:rPr>
                <w:rFonts w:ascii="宋体" w:hAnsi="宋体" w:cs="宋体" w:eastAsia="宋体"/>
                <w:sz w:val="24"/>
                <w:color w:val="0000FF"/>
              </w:rPr>
              <w:t>现有的信息资产情况进行梳理统计，以更好地提供系统的运行维护服务</w:t>
            </w:r>
            <w:r>
              <w:rPr>
                <w:rFonts w:ascii="宋体" w:hAnsi="宋体" w:cs="宋体" w:eastAsia="宋体"/>
                <w:sz w:val="24"/>
                <w:color w:val="0000FF"/>
              </w:rPr>
              <w:t>，交付信息资产统计清单。</w:t>
            </w:r>
          </w:p>
          <w:p>
            <w:pPr>
              <w:pStyle w:val="null3"/>
              <w:ind w:firstLine="480"/>
              <w:jc w:val="both"/>
            </w:pPr>
            <w:r>
              <w:rPr>
                <w:rFonts w:ascii="宋体" w:hAnsi="宋体" w:cs="宋体" w:eastAsia="宋体"/>
                <w:sz w:val="24"/>
                <w:color w:val="0000FF"/>
              </w:rPr>
              <w:t>服务内容包括：</w:t>
            </w:r>
            <w:r>
              <w:rPr>
                <w:rFonts w:ascii="宋体" w:hAnsi="宋体" w:cs="宋体" w:eastAsia="宋体"/>
                <w:sz w:val="24"/>
                <w:color w:val="0000FF"/>
              </w:rPr>
              <w:t>硬件设备型号、数量、版本等信息统计记录；软件产品型号、版本和补丁等信息统计记录；网络结构、网络路由、网络</w:t>
            </w:r>
            <w:r>
              <w:rPr>
                <w:rFonts w:ascii="calibri" w:hAnsi="calibri" w:cs="calibri" w:eastAsia="calibri"/>
                <w:sz w:val="24"/>
                <w:color w:val="0000FF"/>
              </w:rPr>
              <w:t>IP</w:t>
            </w:r>
            <w:r>
              <w:rPr>
                <w:rFonts w:ascii="宋体" w:hAnsi="宋体" w:cs="宋体" w:eastAsia="宋体"/>
                <w:sz w:val="24"/>
                <w:color w:val="0000FF"/>
              </w:rPr>
              <w:t>地址统计记录；综合布线系统结构图的绘制；其它附属设备的统计记录</w:t>
            </w:r>
          </w:p>
          <w:p>
            <w:pPr>
              <w:pStyle w:val="null3"/>
              <w:ind w:firstLine="480"/>
              <w:jc w:val="both"/>
            </w:pPr>
            <w:r>
              <w:rPr>
                <w:rFonts w:ascii="宋体" w:hAnsi="宋体" w:cs="宋体" w:eastAsia="宋体"/>
                <w:sz w:val="24"/>
                <w:color w:val="0000FF"/>
              </w:rPr>
              <w:t>资产梳理：全面梳理统计信息资产，包括硬件设备、软件产品、网络结构等。</w:t>
            </w:r>
          </w:p>
          <w:p>
            <w:pPr>
              <w:pStyle w:val="null3"/>
              <w:ind w:firstLine="480"/>
              <w:jc w:val="both"/>
            </w:pPr>
            <w:r>
              <w:rPr>
                <w:rFonts w:ascii="宋体" w:hAnsi="宋体" w:cs="宋体" w:eastAsia="宋体"/>
                <w:sz w:val="24"/>
                <w:color w:val="0000FF"/>
              </w:rPr>
              <w:t>型号和版本记录：记录硬件设备的型号、数量、版本信息，以及软件产品的型号、版本和补丁信息。</w:t>
            </w:r>
          </w:p>
          <w:p>
            <w:pPr>
              <w:pStyle w:val="null3"/>
              <w:ind w:firstLine="480"/>
              <w:jc w:val="both"/>
            </w:pPr>
            <w:r>
              <w:rPr>
                <w:rFonts w:ascii="宋体" w:hAnsi="宋体" w:cs="宋体" w:eastAsia="宋体"/>
                <w:sz w:val="24"/>
                <w:color w:val="0000FF"/>
              </w:rPr>
              <w:t>网络信息统计：统计网络结构、网络路由、网络</w:t>
            </w:r>
            <w:r>
              <w:rPr>
                <w:rFonts w:ascii="calibri" w:hAnsi="calibri" w:cs="calibri" w:eastAsia="calibri"/>
                <w:sz w:val="24"/>
                <w:color w:val="0000FF"/>
              </w:rPr>
              <w:t>IP</w:t>
            </w:r>
            <w:r>
              <w:rPr>
                <w:rFonts w:ascii="宋体" w:hAnsi="宋体" w:cs="宋体" w:eastAsia="宋体"/>
                <w:sz w:val="24"/>
                <w:color w:val="0000FF"/>
              </w:rPr>
              <w:t>地址等信息。</w:t>
            </w:r>
          </w:p>
          <w:p>
            <w:pPr>
              <w:pStyle w:val="null3"/>
              <w:ind w:firstLine="480"/>
              <w:jc w:val="both"/>
            </w:pPr>
            <w:r>
              <w:rPr>
                <w:rFonts w:ascii="宋体" w:hAnsi="宋体" w:cs="宋体" w:eastAsia="宋体"/>
                <w:sz w:val="24"/>
                <w:color w:val="0000FF"/>
              </w:rPr>
              <w:t>布线系统图：绘制综合布线系统结构图。</w:t>
            </w:r>
          </w:p>
          <w:p>
            <w:pPr>
              <w:pStyle w:val="null3"/>
              <w:ind w:firstLine="480"/>
              <w:jc w:val="both"/>
            </w:pPr>
            <w:r>
              <w:rPr>
                <w:rFonts w:ascii="宋体" w:hAnsi="宋体" w:cs="宋体" w:eastAsia="宋体"/>
                <w:sz w:val="24"/>
                <w:color w:val="0000FF"/>
              </w:rPr>
              <w:t>附属设备记录：统计记录其他附属设备的信息。</w:t>
            </w:r>
          </w:p>
          <w:p>
            <w:pPr>
              <w:pStyle w:val="null3"/>
              <w:numPr>
                <w:ilvl w:val="0"/>
                <w:numId w:val="1"/>
              </w:numPr>
              <w:jc w:val="both"/>
            </w:pPr>
            <w:r>
              <w:rPr>
                <w:rFonts w:ascii="宋体" w:hAnsi="宋体" w:cs="宋体" w:eastAsia="宋体"/>
                <w:sz w:val="24"/>
                <w:b/>
                <w:color w:val="0000FF"/>
              </w:rPr>
              <w:t>现场巡检服务</w:t>
            </w:r>
          </w:p>
          <w:p>
            <w:pPr>
              <w:pStyle w:val="null3"/>
              <w:ind w:firstLine="480"/>
              <w:jc w:val="both"/>
            </w:pPr>
            <w:r>
              <w:rPr>
                <w:rFonts w:ascii="宋体" w:hAnsi="宋体" w:cs="宋体" w:eastAsia="宋体"/>
                <w:sz w:val="24"/>
                <w:color w:val="0000FF"/>
              </w:rPr>
              <w:t>供应商应定期派遣专业人员对</w:t>
            </w:r>
            <w:r>
              <w:rPr>
                <w:rFonts w:ascii="宋体" w:hAnsi="宋体" w:cs="宋体" w:eastAsia="宋体"/>
                <w:sz w:val="24"/>
                <w:color w:val="0000FF"/>
              </w:rPr>
              <w:t>陕西省无线电管理委员会办公室</w:t>
            </w:r>
            <w:r>
              <w:rPr>
                <w:rFonts w:ascii="宋体" w:hAnsi="宋体" w:cs="宋体" w:eastAsia="宋体"/>
                <w:sz w:val="24"/>
                <w:color w:val="0000FF"/>
              </w:rPr>
              <w:t>的设备和网络进行全面检查，确保所有硬件和软件都处于最佳运行状态。通过巡检，供应商需识别并解决潜在问题，降低运营风险并提高系统的整体稳定性。</w:t>
            </w:r>
          </w:p>
          <w:p>
            <w:pPr>
              <w:pStyle w:val="null3"/>
              <w:ind w:firstLine="480"/>
              <w:jc w:val="both"/>
            </w:pPr>
            <w:r>
              <w:rPr>
                <w:rFonts w:ascii="宋体" w:hAnsi="宋体" w:cs="宋体" w:eastAsia="宋体"/>
                <w:sz w:val="24"/>
                <w:color w:val="0000FF"/>
              </w:rPr>
              <w:t>定期派遣专业人员对陕西省无线电管理委员会的设备和网络进行现场巡检，以确保所有硬件和软件都处于最佳运行状态。识别并解决潜在问题，从而降低运营风险并提高系统的整体稳定性。</w:t>
            </w:r>
          </w:p>
          <w:p>
            <w:pPr>
              <w:pStyle w:val="null3"/>
              <w:ind w:firstLine="480"/>
              <w:jc w:val="both"/>
            </w:pPr>
            <w:r>
              <w:rPr>
                <w:rFonts w:ascii="宋体" w:hAnsi="宋体" w:cs="宋体" w:eastAsia="宋体"/>
                <w:sz w:val="24"/>
                <w:color w:val="0000FF"/>
              </w:rPr>
              <w:t>全面检查：对所有设备和网络进行全面检查，确保设备运行状态和网络配置符合最佳实践。</w:t>
            </w:r>
          </w:p>
          <w:p>
            <w:pPr>
              <w:pStyle w:val="null3"/>
              <w:ind w:firstLine="480"/>
              <w:jc w:val="both"/>
            </w:pPr>
            <w:r>
              <w:rPr>
                <w:rFonts w:ascii="宋体" w:hAnsi="宋体" w:cs="宋体" w:eastAsia="宋体"/>
                <w:sz w:val="24"/>
                <w:color w:val="0000FF"/>
              </w:rPr>
              <w:t>隐患发现：通过巡检发现可能影响系统稳定性的隐患，并提供预警和解决建议。</w:t>
            </w:r>
          </w:p>
          <w:p>
            <w:pPr>
              <w:pStyle w:val="null3"/>
              <w:ind w:firstLine="480"/>
              <w:jc w:val="both"/>
            </w:pPr>
            <w:r>
              <w:rPr>
                <w:rFonts w:ascii="宋体" w:hAnsi="宋体" w:cs="宋体" w:eastAsia="宋体"/>
                <w:sz w:val="24"/>
                <w:color w:val="0000FF"/>
              </w:rPr>
              <w:t>巡检报告：生成详细的巡检报告，包括检查结果、发现的问题及改进措施。</w:t>
            </w:r>
          </w:p>
          <w:p>
            <w:pPr>
              <w:pStyle w:val="null3"/>
              <w:numPr>
                <w:ilvl w:val="0"/>
                <w:numId w:val="1"/>
              </w:numPr>
              <w:jc w:val="both"/>
            </w:pPr>
            <w:r>
              <w:rPr>
                <w:rFonts w:ascii="宋体" w:hAnsi="宋体" w:cs="宋体" w:eastAsia="宋体"/>
                <w:sz w:val="24"/>
                <w:b/>
                <w:color w:val="0000FF"/>
              </w:rPr>
              <w:t>安全评估服务</w:t>
            </w:r>
          </w:p>
          <w:p>
            <w:pPr>
              <w:pStyle w:val="null3"/>
              <w:ind w:firstLine="480"/>
              <w:jc w:val="both"/>
            </w:pPr>
            <w:r>
              <w:rPr>
                <w:rFonts w:ascii="宋体" w:hAnsi="宋体" w:cs="宋体" w:eastAsia="宋体"/>
                <w:sz w:val="24"/>
                <w:color w:val="0000FF"/>
              </w:rPr>
              <w:t>供应商应依据《计算机信息系统安全保护等级划分准则》（</w:t>
            </w:r>
            <w:r>
              <w:rPr>
                <w:rFonts w:ascii="calibri" w:hAnsi="calibri" w:cs="calibri" w:eastAsia="calibri"/>
                <w:sz w:val="24"/>
                <w:color w:val="0000FF"/>
              </w:rPr>
              <w:t>GB17859-1999</w:t>
            </w:r>
            <w:r>
              <w:rPr>
                <w:rFonts w:ascii="宋体" w:hAnsi="宋体" w:cs="宋体" w:eastAsia="宋体"/>
                <w:sz w:val="24"/>
                <w:color w:val="0000FF"/>
              </w:rPr>
              <w:t>）、《信息安全技术 网络安全等级保护实施指南》（</w:t>
            </w:r>
            <w:r>
              <w:rPr>
                <w:rFonts w:ascii="calibri" w:hAnsi="calibri" w:cs="calibri" w:eastAsia="calibri"/>
                <w:sz w:val="24"/>
                <w:color w:val="0000FF"/>
              </w:rPr>
              <w:t>GB/T25058-2019</w:t>
            </w:r>
            <w:r>
              <w:rPr>
                <w:rFonts w:ascii="宋体" w:hAnsi="宋体" w:cs="宋体" w:eastAsia="宋体"/>
                <w:sz w:val="24"/>
                <w:color w:val="0000FF"/>
              </w:rPr>
              <w:t>）</w:t>
            </w:r>
            <w:r>
              <w:rPr>
                <w:rFonts w:ascii="宋体" w:hAnsi="宋体" w:cs="宋体" w:eastAsia="宋体"/>
                <w:sz w:val="24"/>
                <w:color w:val="0000FF"/>
              </w:rPr>
              <w:t>、《信息安全技术</w:t>
            </w:r>
            <w:r>
              <w:rPr>
                <w:rFonts w:ascii="宋体" w:hAnsi="宋体" w:cs="宋体" w:eastAsia="宋体"/>
                <w:sz w:val="24"/>
                <w:color w:val="0000FF"/>
              </w:rPr>
              <w:t>网络安全等级保护基本要求》（</w:t>
            </w:r>
            <w:r>
              <w:rPr>
                <w:rFonts w:ascii="calibri" w:hAnsi="calibri" w:cs="calibri" w:eastAsia="calibri"/>
                <w:sz w:val="24"/>
                <w:color w:val="0000FF"/>
              </w:rPr>
              <w:t>GB/T22239-2019</w:t>
            </w:r>
            <w:r>
              <w:rPr>
                <w:rFonts w:ascii="宋体" w:hAnsi="宋体" w:cs="宋体" w:eastAsia="宋体"/>
                <w:sz w:val="24"/>
                <w:color w:val="0000FF"/>
              </w:rPr>
              <w:t>）、《信息安全技术 网络安全等级保护测评要求》（</w:t>
            </w:r>
            <w:r>
              <w:rPr>
                <w:rFonts w:ascii="calibri" w:hAnsi="calibri" w:cs="calibri" w:eastAsia="calibri"/>
                <w:sz w:val="24"/>
                <w:color w:val="0000FF"/>
              </w:rPr>
              <w:t>GB/T28448-2019</w:t>
            </w:r>
            <w:r>
              <w:rPr>
                <w:rFonts w:ascii="宋体" w:hAnsi="宋体" w:cs="宋体" w:eastAsia="宋体"/>
                <w:sz w:val="24"/>
                <w:color w:val="0000FF"/>
              </w:rPr>
              <w:t>）、《信息安全技术 网络安全等级保护测评过程指南》（</w:t>
            </w:r>
            <w:r>
              <w:rPr>
                <w:rFonts w:ascii="calibri" w:hAnsi="calibri" w:cs="calibri" w:eastAsia="calibri"/>
                <w:sz w:val="24"/>
                <w:color w:val="0000FF"/>
              </w:rPr>
              <w:t>GB/T28449-2018</w:t>
            </w:r>
            <w:r>
              <w:rPr>
                <w:rFonts w:ascii="宋体" w:hAnsi="宋体" w:cs="宋体" w:eastAsia="宋体"/>
                <w:sz w:val="24"/>
                <w:color w:val="0000FF"/>
              </w:rPr>
              <w:t>）</w:t>
            </w:r>
            <w:r>
              <w:rPr>
                <w:rFonts w:ascii="宋体" w:hAnsi="宋体" w:cs="宋体" w:eastAsia="宋体"/>
                <w:sz w:val="24"/>
                <w:color w:val="0000FF"/>
              </w:rPr>
              <w:t>等相关国家标准和行业最佳实践，对陕西省无线电管理委员会的信息系统进行全面的安全评估</w:t>
            </w:r>
            <w:r>
              <w:rPr>
                <w:rFonts w:ascii="宋体" w:hAnsi="宋体" w:cs="宋体" w:eastAsia="宋体"/>
                <w:sz w:val="24"/>
                <w:color w:val="0000FF"/>
              </w:rPr>
              <w:t>，对系统的安全物理环境、安全通信网络、安全区域边界、安全计算环境、安全管理中心等方面进行安全评估，发现不合规项，全面考虑系统所存在的风险，评估因为不合规导致的薄弱项引起的安全事件可能造成的危害程度，评估次数不小于每年</w:t>
            </w:r>
            <w:r>
              <w:rPr>
                <w:rFonts w:ascii="calibri" w:hAnsi="calibri" w:cs="calibri" w:eastAsia="calibri"/>
                <w:sz w:val="24"/>
                <w:color w:val="0000FF"/>
              </w:rPr>
              <w:t>1</w:t>
            </w:r>
            <w:r>
              <w:rPr>
                <w:rFonts w:ascii="宋体" w:hAnsi="宋体" w:cs="宋体" w:eastAsia="宋体"/>
                <w:sz w:val="24"/>
                <w:color w:val="0000FF"/>
              </w:rPr>
              <w:t>次。</w:t>
            </w:r>
          </w:p>
          <w:p>
            <w:pPr>
              <w:pStyle w:val="null3"/>
              <w:ind w:firstLine="480"/>
              <w:jc w:val="both"/>
            </w:pPr>
            <w:r>
              <w:rPr>
                <w:rFonts w:ascii="宋体" w:hAnsi="宋体" w:cs="宋体" w:eastAsia="宋体"/>
                <w:sz w:val="24"/>
                <w:color w:val="0000FF"/>
              </w:rPr>
              <w:t>标准遵循：根据国家和行业安全标准进行安全评估。</w:t>
            </w:r>
          </w:p>
          <w:p>
            <w:pPr>
              <w:pStyle w:val="null3"/>
              <w:ind w:firstLine="480"/>
              <w:jc w:val="both"/>
            </w:pPr>
            <w:r>
              <w:rPr>
                <w:rFonts w:ascii="宋体" w:hAnsi="宋体" w:cs="宋体" w:eastAsia="宋体"/>
                <w:sz w:val="24"/>
                <w:color w:val="0000FF"/>
              </w:rPr>
              <w:t>全面评估：评估系统的物理环境、通信网络、区域边界、计算环境和管理中心。</w:t>
            </w:r>
          </w:p>
          <w:p>
            <w:pPr>
              <w:pStyle w:val="null3"/>
              <w:ind w:firstLine="480"/>
              <w:jc w:val="both"/>
            </w:pPr>
            <w:r>
              <w:rPr>
                <w:rFonts w:ascii="宋体" w:hAnsi="宋体" w:cs="宋体" w:eastAsia="宋体"/>
                <w:sz w:val="24"/>
                <w:color w:val="0000FF"/>
              </w:rPr>
              <w:t>风险识别：识别不合规项和系统薄弱环节，评估潜在安全事件的危害程度。</w:t>
            </w:r>
          </w:p>
          <w:p>
            <w:pPr>
              <w:pStyle w:val="null3"/>
              <w:ind w:firstLine="480"/>
              <w:jc w:val="both"/>
            </w:pPr>
            <w:r>
              <w:rPr>
                <w:rFonts w:ascii="宋体" w:hAnsi="宋体" w:cs="宋体" w:eastAsia="宋体"/>
                <w:sz w:val="24"/>
                <w:color w:val="0000FF"/>
              </w:rPr>
              <w:t>评估报告：提供包含发现问题和改进建议的安全评估报告。</w:t>
            </w:r>
          </w:p>
          <w:p>
            <w:pPr>
              <w:pStyle w:val="null3"/>
              <w:numPr>
                <w:ilvl w:val="0"/>
                <w:numId w:val="1"/>
              </w:numPr>
              <w:jc w:val="both"/>
            </w:pPr>
            <w:r>
              <w:rPr>
                <w:rFonts w:ascii="宋体" w:hAnsi="宋体" w:cs="宋体" w:eastAsia="宋体"/>
                <w:sz w:val="24"/>
                <w:b/>
                <w:color w:val="0000FF"/>
              </w:rPr>
              <w:t>建设整改咨询及安全加固（不涉及硬件）服务</w:t>
            </w:r>
          </w:p>
          <w:p>
            <w:pPr>
              <w:pStyle w:val="null3"/>
              <w:ind w:firstLine="480"/>
              <w:jc w:val="both"/>
            </w:pPr>
            <w:r>
              <w:rPr>
                <w:rFonts w:ascii="宋体" w:hAnsi="宋体" w:cs="宋体" w:eastAsia="宋体"/>
                <w:sz w:val="24"/>
                <w:color w:val="0000FF"/>
              </w:rPr>
              <w:t>供应商应基于安全评估和渗透测试结果，提供详细的安全建设整改建议，并协助</w:t>
            </w:r>
            <w:r>
              <w:rPr>
                <w:rFonts w:ascii="宋体" w:hAnsi="宋体" w:cs="宋体" w:eastAsia="宋体"/>
                <w:sz w:val="24"/>
                <w:color w:val="0000FF"/>
              </w:rPr>
              <w:t>陕西省无线电管理委员会办公室</w:t>
            </w:r>
            <w:r>
              <w:rPr>
                <w:rFonts w:ascii="宋体" w:hAnsi="宋体" w:cs="宋体" w:eastAsia="宋体"/>
                <w:sz w:val="24"/>
                <w:color w:val="0000FF"/>
              </w:rPr>
              <w:t>进行漏洞修复、补丁升级等非硬件层面的安全加固。</w:t>
            </w:r>
          </w:p>
          <w:p>
            <w:pPr>
              <w:pStyle w:val="null3"/>
              <w:ind w:firstLine="480"/>
              <w:jc w:val="both"/>
            </w:pPr>
            <w:r>
              <w:rPr>
                <w:rFonts w:ascii="宋体" w:hAnsi="宋体" w:cs="宋体" w:eastAsia="宋体"/>
                <w:sz w:val="24"/>
                <w:color w:val="0000FF"/>
              </w:rPr>
              <w:t>建设整改咨询工作以安全评估和渗透检测发现的安全问题为工作重点，编写《安全建设整改建议》；将信息系统的安全建设整改需求落实到可操作的安全技术和管理上，提出能够实现的技术参数或制度及其具体规范。</w:t>
            </w:r>
          </w:p>
          <w:p>
            <w:pPr>
              <w:pStyle w:val="null3"/>
              <w:ind w:firstLine="480"/>
              <w:jc w:val="both"/>
            </w:pPr>
            <w:r>
              <w:rPr>
                <w:rFonts w:ascii="宋体" w:hAnsi="宋体" w:cs="宋体" w:eastAsia="宋体"/>
                <w:sz w:val="24"/>
                <w:color w:val="0000FF"/>
              </w:rPr>
              <w:t>陕西省无线电管理委员会办公室</w:t>
            </w:r>
            <w:r>
              <w:rPr>
                <w:rFonts w:ascii="宋体" w:hAnsi="宋体" w:cs="宋体" w:eastAsia="宋体"/>
                <w:sz w:val="24"/>
                <w:color w:val="0000FF"/>
              </w:rPr>
              <w:t>依据相关《安全建设整改建议》开展建设整改工作时，供应商将提供建设整改过程中的与建设整改相关的咨询服务。</w:t>
            </w:r>
          </w:p>
          <w:p>
            <w:pPr>
              <w:pStyle w:val="null3"/>
              <w:ind w:firstLine="480"/>
              <w:jc w:val="both"/>
            </w:pPr>
            <w:r>
              <w:rPr>
                <w:rFonts w:ascii="宋体" w:hAnsi="宋体" w:cs="宋体" w:eastAsia="宋体"/>
                <w:sz w:val="24"/>
                <w:color w:val="0000FF"/>
              </w:rPr>
              <w:t>对信息系统安全整改建议进行确认，并依照建议，协助</w:t>
            </w:r>
            <w:r>
              <w:rPr>
                <w:rFonts w:ascii="宋体" w:hAnsi="宋体" w:cs="宋体" w:eastAsia="宋体"/>
                <w:sz w:val="24"/>
                <w:color w:val="0000FF"/>
              </w:rPr>
              <w:t>陕西省无线电管理委员会办公室</w:t>
            </w:r>
            <w:r>
              <w:rPr>
                <w:rFonts w:ascii="宋体" w:hAnsi="宋体" w:cs="宋体" w:eastAsia="宋体"/>
                <w:sz w:val="24"/>
                <w:color w:val="0000FF"/>
              </w:rPr>
              <w:t>进行漏洞修复，补丁升级等非硬件层面的安全加固，制定可执行的安全整改方案和计划，然后协助采购单位分步实施安全整改工作。</w:t>
            </w:r>
          </w:p>
          <w:p>
            <w:pPr>
              <w:pStyle w:val="null3"/>
              <w:ind w:firstLine="480"/>
              <w:jc w:val="both"/>
            </w:pPr>
            <w:r>
              <w:rPr>
                <w:rFonts w:ascii="宋体" w:hAnsi="宋体" w:cs="宋体" w:eastAsia="宋体"/>
                <w:sz w:val="24"/>
                <w:color w:val="0000FF"/>
              </w:rPr>
              <w:t>整改建议：基于安全评估和渗透测试结果，提供详细的安全建设整改建议。</w:t>
            </w:r>
          </w:p>
          <w:p>
            <w:pPr>
              <w:pStyle w:val="null3"/>
              <w:ind w:firstLine="480"/>
              <w:jc w:val="both"/>
            </w:pPr>
            <w:r>
              <w:rPr>
                <w:rFonts w:ascii="宋体" w:hAnsi="宋体" w:cs="宋体" w:eastAsia="宋体"/>
                <w:sz w:val="24"/>
                <w:color w:val="0000FF"/>
              </w:rPr>
              <w:t>技术参数：提出具体的技术参数和制度规范，以实现安全加固。</w:t>
            </w:r>
          </w:p>
          <w:p>
            <w:pPr>
              <w:pStyle w:val="null3"/>
              <w:ind w:firstLine="480"/>
              <w:jc w:val="both"/>
            </w:pPr>
            <w:r>
              <w:rPr>
                <w:rFonts w:ascii="宋体" w:hAnsi="宋体" w:cs="宋体" w:eastAsia="宋体"/>
                <w:sz w:val="24"/>
                <w:color w:val="0000FF"/>
              </w:rPr>
              <w:t>整改协助：协助陕西省无线电管理委员会实施安全整改工作，包括漏洞修复和补丁升级。</w:t>
            </w:r>
          </w:p>
          <w:p>
            <w:pPr>
              <w:pStyle w:val="null3"/>
              <w:ind w:firstLine="480"/>
              <w:jc w:val="both"/>
            </w:pPr>
            <w:r>
              <w:rPr>
                <w:rFonts w:ascii="宋体" w:hAnsi="宋体" w:cs="宋体" w:eastAsia="宋体"/>
                <w:sz w:val="24"/>
                <w:color w:val="0000FF"/>
              </w:rPr>
              <w:t>整改报告：提供整改方案和计划，以及整改过程中的咨询服务。</w:t>
            </w:r>
          </w:p>
          <w:p>
            <w:pPr>
              <w:pStyle w:val="null3"/>
              <w:numPr>
                <w:ilvl w:val="0"/>
                <w:numId w:val="1"/>
              </w:numPr>
              <w:jc w:val="both"/>
            </w:pPr>
            <w:r>
              <w:rPr>
                <w:rFonts w:ascii="宋体" w:hAnsi="宋体" w:cs="宋体" w:eastAsia="宋体"/>
                <w:sz w:val="24"/>
                <w:b/>
                <w:color w:val="0000FF"/>
              </w:rPr>
              <w:t>应急响应服务</w:t>
            </w:r>
          </w:p>
          <w:p>
            <w:pPr>
              <w:pStyle w:val="null3"/>
              <w:ind w:firstLine="480"/>
              <w:jc w:val="both"/>
            </w:pPr>
            <w:r>
              <w:rPr>
                <w:rFonts w:ascii="宋体" w:hAnsi="宋体" w:cs="宋体" w:eastAsia="宋体"/>
                <w:sz w:val="24"/>
                <w:color w:val="0000FF"/>
              </w:rPr>
              <w:t>供应商应为陕西省无线电管理委员会提供快速、专业的支持，以应对信息系统中的突发安全事件。</w:t>
            </w:r>
          </w:p>
          <w:p>
            <w:pPr>
              <w:pStyle w:val="null3"/>
              <w:ind w:firstLine="480"/>
              <w:jc w:val="both"/>
            </w:pPr>
            <w:r>
              <w:rPr>
                <w:rFonts w:ascii="宋体" w:hAnsi="宋体" w:cs="宋体" w:eastAsia="宋体"/>
                <w:sz w:val="24"/>
                <w:color w:val="0000FF"/>
              </w:rPr>
              <w:t>应急响应服务旨在为陕西省无线电管理委员会提供快速、专业的支持，以应对信息系统中的突发安全事件。供应商应确保事件得到及时处理，并采取措施防止类似事件再次发生，最大程度地减少对业务的影响。</w:t>
            </w:r>
          </w:p>
          <w:p>
            <w:pPr>
              <w:pStyle w:val="null3"/>
              <w:ind w:firstLine="480"/>
              <w:jc w:val="both"/>
            </w:pPr>
            <w:r>
              <w:rPr>
                <w:rFonts w:ascii="宋体" w:hAnsi="宋体" w:cs="宋体" w:eastAsia="宋体"/>
                <w:sz w:val="24"/>
                <w:color w:val="0000FF"/>
              </w:rPr>
              <w:t>针对本次项目，服务方提供</w:t>
            </w:r>
            <w:r>
              <w:rPr>
                <w:rFonts w:ascii="calibri" w:hAnsi="calibri" w:cs="calibri" w:eastAsia="calibri"/>
                <w:sz w:val="24"/>
                <w:color w:val="0000FF"/>
              </w:rPr>
              <w:t>7*24</w:t>
            </w:r>
            <w:r>
              <w:rPr>
                <w:rFonts w:ascii="宋体" w:hAnsi="宋体" w:cs="宋体" w:eastAsia="宋体"/>
                <w:sz w:val="24"/>
                <w:color w:val="0000FF"/>
              </w:rPr>
              <w:t>的常规应急响应及灾难恢复专家服务。在接到我方故障报修电话</w:t>
            </w:r>
            <w:r>
              <w:rPr>
                <w:rFonts w:ascii="calibri" w:hAnsi="calibri" w:cs="calibri" w:eastAsia="calibri"/>
                <w:sz w:val="24"/>
                <w:color w:val="0000FF"/>
              </w:rPr>
              <w:t>10</w:t>
            </w:r>
            <w:r>
              <w:rPr>
                <w:rFonts w:ascii="宋体" w:hAnsi="宋体" w:cs="宋体" w:eastAsia="宋体"/>
                <w:sz w:val="24"/>
                <w:color w:val="0000FF"/>
              </w:rPr>
              <w:t>分钟内响应。对客户信息网络应用系统突发的信息安全事件进行响应、处理、恢复、取证、跟踪、事后分析的方法及过程。</w:t>
            </w:r>
          </w:p>
          <w:p>
            <w:pPr>
              <w:pStyle w:val="null3"/>
              <w:ind w:firstLine="480"/>
              <w:jc w:val="both"/>
            </w:pPr>
            <w:r>
              <w:rPr>
                <w:rFonts w:ascii="宋体" w:hAnsi="宋体" w:cs="宋体" w:eastAsia="宋体"/>
                <w:sz w:val="24"/>
                <w:color w:val="0000FF"/>
              </w:rPr>
              <w:t>快速响应：提供</w:t>
            </w:r>
            <w:r>
              <w:rPr>
                <w:rFonts w:ascii="calibri" w:hAnsi="calibri" w:cs="calibri" w:eastAsia="calibri"/>
                <w:sz w:val="24"/>
                <w:color w:val="0000FF"/>
              </w:rPr>
              <w:t>7</w:t>
            </w:r>
            <w:r>
              <w:rPr>
                <w:rFonts w:ascii="宋体" w:hAnsi="宋体" w:cs="宋体" w:eastAsia="宋体"/>
                <w:sz w:val="24"/>
                <w:color w:val="0000FF"/>
              </w:rPr>
              <w:t>×</w:t>
            </w:r>
            <w:r>
              <w:rPr>
                <w:rFonts w:ascii="calibri" w:hAnsi="calibri" w:cs="calibri" w:eastAsia="calibri"/>
                <w:sz w:val="24"/>
                <w:color w:val="0000FF"/>
              </w:rPr>
              <w:t>24</w:t>
            </w:r>
            <w:r>
              <w:rPr>
                <w:rFonts w:ascii="宋体" w:hAnsi="宋体" w:cs="宋体" w:eastAsia="宋体"/>
                <w:sz w:val="24"/>
                <w:color w:val="0000FF"/>
              </w:rPr>
              <w:t>小时的应急响应服务，确保在接到故障报修电话后</w:t>
            </w:r>
            <w:r>
              <w:rPr>
                <w:rFonts w:ascii="calibri" w:hAnsi="calibri" w:cs="calibri" w:eastAsia="calibri"/>
                <w:sz w:val="24"/>
                <w:color w:val="0000FF"/>
              </w:rPr>
              <w:t>10</w:t>
            </w:r>
            <w:r>
              <w:rPr>
                <w:rFonts w:ascii="宋体" w:hAnsi="宋体" w:cs="宋体" w:eastAsia="宋体"/>
                <w:sz w:val="24"/>
                <w:color w:val="0000FF"/>
              </w:rPr>
              <w:t>分钟内响应。</w:t>
            </w:r>
          </w:p>
          <w:p>
            <w:pPr>
              <w:pStyle w:val="null3"/>
              <w:ind w:firstLine="480"/>
              <w:jc w:val="both"/>
            </w:pPr>
            <w:r>
              <w:rPr>
                <w:rFonts w:ascii="宋体" w:hAnsi="宋体" w:cs="宋体" w:eastAsia="宋体"/>
                <w:sz w:val="24"/>
                <w:color w:val="0000FF"/>
              </w:rPr>
              <w:t>事件处理：对突发信息安全事件进行快速响应、处理、恢复和取证。</w:t>
            </w:r>
          </w:p>
          <w:p>
            <w:pPr>
              <w:pStyle w:val="null3"/>
              <w:ind w:firstLine="480"/>
              <w:jc w:val="both"/>
            </w:pPr>
            <w:r>
              <w:rPr>
                <w:rFonts w:ascii="宋体" w:hAnsi="宋体" w:cs="宋体" w:eastAsia="宋体"/>
                <w:sz w:val="24"/>
                <w:color w:val="0000FF"/>
              </w:rPr>
              <w:t>事后分析：对事件进行跟踪和事后分析，提供详细的分析报告。</w:t>
            </w:r>
          </w:p>
          <w:p>
            <w:pPr>
              <w:pStyle w:val="null3"/>
              <w:ind w:firstLine="480"/>
              <w:jc w:val="both"/>
            </w:pPr>
            <w:r>
              <w:rPr>
                <w:rFonts w:ascii="宋体" w:hAnsi="宋体" w:cs="宋体" w:eastAsia="宋体"/>
                <w:sz w:val="24"/>
                <w:color w:val="0000FF"/>
              </w:rPr>
              <w:t>灾难恢复：提供灾难恢复专家服务，确保系统能够迅速恢复正常运行。</w:t>
            </w:r>
          </w:p>
          <w:p>
            <w:pPr>
              <w:pStyle w:val="null3"/>
              <w:numPr>
                <w:ilvl w:val="0"/>
                <w:numId w:val="1"/>
              </w:numPr>
              <w:jc w:val="both"/>
            </w:pPr>
            <w:r>
              <w:rPr>
                <w:rFonts w:ascii="宋体" w:hAnsi="宋体" w:cs="宋体" w:eastAsia="宋体"/>
                <w:sz w:val="24"/>
                <w:b/>
                <w:color w:val="0000FF"/>
              </w:rPr>
              <w:t>配合检查服务</w:t>
            </w:r>
          </w:p>
          <w:p>
            <w:pPr>
              <w:pStyle w:val="null3"/>
              <w:ind w:firstLine="480"/>
              <w:jc w:val="both"/>
            </w:pPr>
            <w:r>
              <w:rPr>
                <w:rFonts w:ascii="宋体" w:hAnsi="宋体" w:cs="宋体" w:eastAsia="宋体"/>
                <w:sz w:val="24"/>
                <w:color w:val="0000FF"/>
              </w:rPr>
              <w:t>供应商协助</w:t>
            </w:r>
            <w:r>
              <w:rPr>
                <w:rFonts w:ascii="宋体" w:hAnsi="宋体" w:cs="宋体" w:eastAsia="宋体"/>
                <w:sz w:val="24"/>
                <w:color w:val="0000FF"/>
              </w:rPr>
              <w:t>陕西省无线电管理委员会办公室</w:t>
            </w:r>
            <w:r>
              <w:rPr>
                <w:rFonts w:ascii="宋体" w:hAnsi="宋体" w:cs="宋体" w:eastAsia="宋体"/>
                <w:sz w:val="24"/>
                <w:color w:val="0000FF"/>
              </w:rPr>
              <w:t>响应公安机关、单位内部以及第三方机构针对信息系统安全等级保护工作的检查工作。服务内容包括协助甲方准备、完善各类资料文档，配合检查过程中的答疑及技术支持及其他现场检查的响应。</w:t>
            </w:r>
          </w:p>
          <w:p>
            <w:pPr>
              <w:pStyle w:val="null3"/>
              <w:ind w:firstLine="480"/>
              <w:jc w:val="both"/>
            </w:pPr>
            <w:r>
              <w:rPr>
                <w:rFonts w:ascii="宋体" w:hAnsi="宋体" w:cs="宋体" w:eastAsia="宋体"/>
                <w:sz w:val="24"/>
                <w:color w:val="0000FF"/>
              </w:rPr>
              <w:t>文档准备：协助准备和完善各类安全检查所需的文档资料。</w:t>
            </w:r>
          </w:p>
          <w:p>
            <w:pPr>
              <w:pStyle w:val="null3"/>
              <w:ind w:firstLine="480"/>
              <w:jc w:val="both"/>
            </w:pPr>
            <w:r>
              <w:rPr>
                <w:rFonts w:ascii="宋体" w:hAnsi="宋体" w:cs="宋体" w:eastAsia="宋体"/>
                <w:sz w:val="24"/>
                <w:color w:val="0000FF"/>
              </w:rPr>
              <w:t>技术支持：在安全检查过程中提供必要的技术支持和答疑服务。</w:t>
            </w:r>
          </w:p>
          <w:p>
            <w:pPr>
              <w:pStyle w:val="null3"/>
              <w:ind w:firstLine="480"/>
              <w:jc w:val="both"/>
            </w:pPr>
            <w:r>
              <w:rPr>
                <w:rFonts w:ascii="宋体" w:hAnsi="宋体" w:cs="宋体" w:eastAsia="宋体"/>
                <w:sz w:val="24"/>
                <w:color w:val="0000FF"/>
              </w:rPr>
              <w:t>现场响应：在第三方机构进行现场检查时，提供及时的现场响应和配合。</w:t>
            </w:r>
          </w:p>
          <w:p>
            <w:pPr>
              <w:pStyle w:val="null3"/>
              <w:numPr>
                <w:ilvl w:val="0"/>
                <w:numId w:val="1"/>
              </w:numPr>
              <w:jc w:val="both"/>
            </w:pPr>
            <w:r>
              <w:rPr>
                <w:rFonts w:ascii="宋体" w:hAnsi="宋体" w:cs="宋体" w:eastAsia="宋体"/>
                <w:sz w:val="24"/>
                <w:b/>
                <w:color w:val="0000FF"/>
              </w:rPr>
              <w:t>互联网暴露面资产监测与处置服务</w:t>
            </w:r>
          </w:p>
          <w:p>
            <w:pPr>
              <w:pStyle w:val="null3"/>
              <w:ind w:firstLine="480"/>
              <w:jc w:val="both"/>
            </w:pPr>
            <w:r>
              <w:rPr>
                <w:rFonts w:ascii="宋体" w:hAnsi="宋体" w:cs="宋体" w:eastAsia="宋体"/>
                <w:sz w:val="24"/>
                <w:color w:val="0000FF"/>
              </w:rPr>
              <w:t>供应商应对陕西省无线电管理委员会在互联网上的资产进行监测，搜集和整理可能存在的安全风险信息，并提供相应的处置建议。</w:t>
            </w:r>
          </w:p>
          <w:p>
            <w:pPr>
              <w:pStyle w:val="null3"/>
              <w:ind w:firstLine="480"/>
              <w:jc w:val="both"/>
            </w:pPr>
            <w:r>
              <w:rPr>
                <w:rFonts w:ascii="宋体" w:hAnsi="宋体" w:cs="宋体" w:eastAsia="宋体"/>
                <w:sz w:val="24"/>
                <w:color w:val="0000FF"/>
              </w:rPr>
              <w:t>对陕西省无线电管理委员会在互联网上的资产进行监测，搜集和整理可能存在的安全风险信息，并提供相应的处置建议。通过持续监测和及时响应，降低因资产暴露带来的安全风险。</w:t>
            </w:r>
            <w:r>
              <w:rPr>
                <w:rFonts w:ascii="宋体" w:hAnsi="宋体" w:cs="宋体" w:eastAsia="宋体"/>
                <w:sz w:val="24"/>
                <w:color w:val="0000FF"/>
              </w:rPr>
              <w:t>根据重保、安全巡检等反馈的信息，对互联网发布的存在安全风险的资产进行处置。专家对授权资产域名在互联网上暴露的包括但不限于子域名、</w:t>
            </w:r>
            <w:r>
              <w:rPr>
                <w:rFonts w:ascii="calibri" w:hAnsi="calibri" w:cs="calibri" w:eastAsia="calibri"/>
                <w:sz w:val="24"/>
                <w:color w:val="0000FF"/>
              </w:rPr>
              <w:t>IP</w:t>
            </w:r>
            <w:r>
              <w:rPr>
                <w:rFonts w:ascii="宋体" w:hAnsi="宋体" w:cs="宋体" w:eastAsia="宋体"/>
                <w:sz w:val="24"/>
                <w:color w:val="0000FF"/>
              </w:rPr>
              <w:t>段、高危漏洞指纹信息、高危</w:t>
            </w:r>
            <w:r>
              <w:rPr>
                <w:rFonts w:ascii="calibri" w:hAnsi="calibri" w:cs="calibri" w:eastAsia="calibri"/>
                <w:sz w:val="24"/>
                <w:color w:val="0000FF"/>
              </w:rPr>
              <w:t>POC</w:t>
            </w:r>
            <w:r>
              <w:rPr>
                <w:rFonts w:ascii="宋体" w:hAnsi="宋体" w:cs="宋体" w:eastAsia="宋体"/>
                <w:sz w:val="24"/>
                <w:color w:val="0000FF"/>
              </w:rPr>
              <w:t>探测等资产等敏感信息进行搜集和梳理，并将暴露面信息整理后发送至我方。</w:t>
            </w:r>
          </w:p>
          <w:p>
            <w:pPr>
              <w:pStyle w:val="null3"/>
              <w:ind w:firstLine="480"/>
              <w:jc w:val="both"/>
            </w:pPr>
            <w:r>
              <w:rPr>
                <w:rFonts w:ascii="宋体" w:hAnsi="宋体" w:cs="宋体" w:eastAsia="宋体"/>
                <w:sz w:val="24"/>
                <w:color w:val="0000FF"/>
              </w:rPr>
              <w:t>资产搜集：搜集互联网上暴露的敏感信息，如子域名、</w:t>
            </w:r>
            <w:r>
              <w:rPr>
                <w:rFonts w:ascii="calibri" w:hAnsi="calibri" w:cs="calibri" w:eastAsia="calibri"/>
                <w:sz w:val="24"/>
                <w:color w:val="0000FF"/>
              </w:rPr>
              <w:t>IP</w:t>
            </w:r>
            <w:r>
              <w:rPr>
                <w:rFonts w:ascii="宋体" w:hAnsi="宋体" w:cs="宋体" w:eastAsia="宋体"/>
                <w:sz w:val="24"/>
                <w:color w:val="0000FF"/>
              </w:rPr>
              <w:t>段、高危漏洞指纹等。</w:t>
            </w:r>
          </w:p>
          <w:p>
            <w:pPr>
              <w:pStyle w:val="null3"/>
              <w:ind w:firstLine="480"/>
              <w:jc w:val="both"/>
            </w:pPr>
            <w:r>
              <w:rPr>
                <w:rFonts w:ascii="宋体" w:hAnsi="宋体" w:cs="宋体" w:eastAsia="宋体"/>
                <w:sz w:val="24"/>
                <w:color w:val="0000FF"/>
              </w:rPr>
              <w:t>信息整理：将搜集到的暴露面信息进行整理，并及时通知我方。</w:t>
            </w:r>
          </w:p>
          <w:p>
            <w:pPr>
              <w:pStyle w:val="null3"/>
              <w:ind w:firstLine="480"/>
              <w:jc w:val="both"/>
            </w:pPr>
            <w:r>
              <w:rPr>
                <w:rFonts w:ascii="宋体" w:hAnsi="宋体" w:cs="宋体" w:eastAsia="宋体"/>
                <w:sz w:val="24"/>
                <w:color w:val="0000FF"/>
              </w:rPr>
              <w:t>风险处置：对发现的风险资产进行评估和处置，以降低安全风险。</w:t>
            </w:r>
          </w:p>
          <w:p>
            <w:pPr>
              <w:pStyle w:val="null3"/>
              <w:ind w:firstLine="480"/>
              <w:jc w:val="both"/>
            </w:pPr>
            <w:r>
              <w:rPr>
                <w:rFonts w:ascii="宋体" w:hAnsi="宋体" w:cs="宋体" w:eastAsia="宋体"/>
                <w:sz w:val="24"/>
                <w:color w:val="0000FF"/>
              </w:rPr>
              <w:t>持续监测：建立持续的监测机制，确保及时发现新的暴露面资产。</w:t>
            </w:r>
          </w:p>
          <w:p>
            <w:pPr>
              <w:pStyle w:val="null3"/>
              <w:numPr>
                <w:ilvl w:val="0"/>
                <w:numId w:val="1"/>
              </w:numPr>
              <w:jc w:val="both"/>
            </w:pPr>
            <w:r>
              <w:rPr>
                <w:rFonts w:ascii="宋体" w:hAnsi="宋体" w:cs="宋体" w:eastAsia="宋体"/>
                <w:sz w:val="24"/>
                <w:b/>
                <w:color w:val="0000FF"/>
              </w:rPr>
              <w:t>互联网开放服务管理服务</w:t>
            </w:r>
          </w:p>
          <w:p>
            <w:pPr>
              <w:pStyle w:val="null3"/>
              <w:ind w:firstLine="480"/>
              <w:jc w:val="both"/>
            </w:pPr>
            <w:r>
              <w:rPr>
                <w:rFonts w:ascii="宋体" w:hAnsi="宋体" w:cs="宋体" w:eastAsia="宋体"/>
                <w:sz w:val="24"/>
                <w:color w:val="0000FF"/>
              </w:rPr>
              <w:t>供应商应确保安全工程师对映射发布到互联网的服务端口及归属进行梳理，梳理结果记录到《互联网服务开放情况统计表》。可通过查看互联网出口处负责</w:t>
            </w:r>
            <w:r>
              <w:rPr>
                <w:rFonts w:ascii="calibri" w:hAnsi="calibri" w:cs="calibri" w:eastAsia="calibri"/>
                <w:sz w:val="24"/>
                <w:color w:val="0000FF"/>
              </w:rPr>
              <w:t>NAT</w:t>
            </w:r>
            <w:r>
              <w:rPr>
                <w:rFonts w:ascii="宋体" w:hAnsi="宋体" w:cs="宋体" w:eastAsia="宋体"/>
                <w:sz w:val="24"/>
                <w:color w:val="0000FF"/>
              </w:rPr>
              <w:t>的设备的地址转换策略进行梳理；</w:t>
            </w:r>
          </w:p>
          <w:p>
            <w:pPr>
              <w:pStyle w:val="null3"/>
              <w:ind w:firstLine="480"/>
              <w:jc w:val="both"/>
            </w:pPr>
            <w:r>
              <w:rPr>
                <w:rFonts w:ascii="宋体" w:hAnsi="宋体" w:cs="宋体" w:eastAsia="宋体"/>
                <w:sz w:val="24"/>
                <w:color w:val="0000FF"/>
              </w:rPr>
              <w:t>梳理完成后根据该表在互联网出口处通过防火墙配置访问控制策略，严格控制互联网服务的开放。</w:t>
            </w:r>
          </w:p>
          <w:p>
            <w:pPr>
              <w:pStyle w:val="null3"/>
              <w:ind w:firstLine="480"/>
              <w:jc w:val="both"/>
            </w:pPr>
            <w:r>
              <w:rPr>
                <w:rFonts w:ascii="宋体" w:hAnsi="宋体" w:cs="宋体" w:eastAsia="宋体"/>
                <w:sz w:val="24"/>
                <w:color w:val="0000FF"/>
              </w:rPr>
              <w:t>当新增服务要发布到互联网时，驻场工程师应先根据具体业务情况及现有条件制定相应保护措施（如在</w:t>
            </w:r>
            <w:r>
              <w:rPr>
                <w:rFonts w:ascii="calibri" w:hAnsi="calibri" w:cs="calibri" w:eastAsia="calibri"/>
                <w:sz w:val="24"/>
                <w:color w:val="0000FF"/>
              </w:rPr>
              <w:t>WAF</w:t>
            </w:r>
            <w:r>
              <w:rPr>
                <w:rFonts w:ascii="宋体" w:hAnsi="宋体" w:cs="宋体" w:eastAsia="宋体"/>
                <w:sz w:val="24"/>
                <w:color w:val="0000FF"/>
              </w:rPr>
              <w:t>、</w:t>
            </w:r>
            <w:r>
              <w:rPr>
                <w:rFonts w:ascii="calibri" w:hAnsi="calibri" w:cs="calibri" w:eastAsia="calibri"/>
                <w:sz w:val="24"/>
                <w:color w:val="0000FF"/>
              </w:rPr>
              <w:t>IPS</w:t>
            </w:r>
            <w:r>
              <w:rPr>
                <w:rFonts w:ascii="宋体" w:hAnsi="宋体" w:cs="宋体" w:eastAsia="宋体"/>
                <w:sz w:val="24"/>
                <w:color w:val="0000FF"/>
              </w:rPr>
              <w:t>中增加防护、漏洞扫描等）后，再开放端口访问，并更新《互联网服务开放情况统计表》。（在进行相关防护措施部署时，仍应根据策略变更流程进行）。</w:t>
            </w:r>
          </w:p>
          <w:p>
            <w:pPr>
              <w:pStyle w:val="null3"/>
              <w:ind w:firstLine="480"/>
              <w:jc w:val="both"/>
            </w:pPr>
            <w:r>
              <w:rPr>
                <w:rFonts w:ascii="宋体" w:hAnsi="宋体" w:cs="宋体" w:eastAsia="宋体"/>
                <w:sz w:val="24"/>
                <w:color w:val="0000FF"/>
              </w:rPr>
              <w:t>服务梳理：对映射到互联网的服务端口及归属进行详细梳理。</w:t>
            </w:r>
          </w:p>
          <w:p>
            <w:pPr>
              <w:pStyle w:val="null3"/>
              <w:ind w:firstLine="480"/>
              <w:jc w:val="both"/>
            </w:pPr>
            <w:r>
              <w:rPr>
                <w:rFonts w:ascii="宋体" w:hAnsi="宋体" w:cs="宋体" w:eastAsia="宋体"/>
                <w:sz w:val="24"/>
                <w:color w:val="0000FF"/>
              </w:rPr>
              <w:t>访问控制：根据梳理结果，在防火墙中配置访问控制策略，严格控制服务开放。</w:t>
            </w:r>
          </w:p>
          <w:p>
            <w:pPr>
              <w:pStyle w:val="null3"/>
              <w:ind w:firstLine="480"/>
              <w:jc w:val="both"/>
            </w:pPr>
            <w:r>
              <w:rPr>
                <w:rFonts w:ascii="宋体" w:hAnsi="宋体" w:cs="宋体" w:eastAsia="宋体"/>
                <w:sz w:val="24"/>
                <w:color w:val="0000FF"/>
              </w:rPr>
              <w:t>新增服务管理：对新增的互联网服务进行安全评估和管理，确保服务安全。</w:t>
            </w:r>
          </w:p>
          <w:p>
            <w:pPr>
              <w:pStyle w:val="null3"/>
              <w:ind w:firstLine="480"/>
              <w:jc w:val="both"/>
            </w:pPr>
            <w:r>
              <w:rPr>
                <w:rFonts w:ascii="宋体" w:hAnsi="宋体" w:cs="宋体" w:eastAsia="宋体"/>
                <w:sz w:val="24"/>
                <w:color w:val="0000FF"/>
              </w:rPr>
              <w:t>记录更新：更新《互联网服务开放情况统计表》，记录服务变更情况。</w:t>
            </w:r>
          </w:p>
          <w:p>
            <w:pPr>
              <w:pStyle w:val="null3"/>
              <w:numPr>
                <w:ilvl w:val="0"/>
                <w:numId w:val="1"/>
              </w:numPr>
              <w:jc w:val="both"/>
            </w:pPr>
            <w:r>
              <w:rPr>
                <w:rFonts w:ascii="宋体" w:hAnsi="宋体" w:cs="宋体" w:eastAsia="宋体"/>
                <w:sz w:val="24"/>
                <w:b/>
                <w:color w:val="0000FF"/>
              </w:rPr>
              <w:t>互联网安全事件预警服务</w:t>
            </w:r>
          </w:p>
          <w:p>
            <w:pPr>
              <w:pStyle w:val="null3"/>
              <w:ind w:firstLine="480"/>
              <w:jc w:val="both"/>
            </w:pPr>
            <w:r>
              <w:rPr>
                <w:rFonts w:ascii="宋体" w:hAnsi="宋体" w:cs="宋体" w:eastAsia="宋体"/>
                <w:sz w:val="24"/>
                <w:color w:val="0000FF"/>
              </w:rPr>
              <w:t>供应商</w:t>
            </w:r>
            <w:r>
              <w:rPr>
                <w:rFonts w:ascii="宋体" w:hAnsi="宋体" w:cs="宋体" w:eastAsia="宋体"/>
                <w:sz w:val="24"/>
                <w:color w:val="0000FF"/>
              </w:rPr>
              <w:t>应</w:t>
            </w:r>
            <w:r>
              <w:rPr>
                <w:rFonts w:ascii="宋体" w:hAnsi="宋体" w:cs="宋体" w:eastAsia="宋体"/>
                <w:sz w:val="24"/>
                <w:color w:val="0000FF"/>
              </w:rPr>
              <w:t>提供互联网安全事件的预警服务，通过持续监测陕西省无线电管理委员会的互联网服务，及时发现并分析安全威胁，提供有效的技术支持和解决方案，以及详尽的安全事件报告，以提高对安全事件的预防和响应能力。</w:t>
            </w:r>
            <w:r>
              <w:rPr>
                <w:rFonts w:ascii="宋体" w:hAnsi="宋体" w:cs="宋体" w:eastAsia="宋体"/>
                <w:sz w:val="24"/>
                <w:color w:val="0000FF"/>
              </w:rPr>
              <w:t>针对监测到的</w:t>
            </w:r>
            <w:r>
              <w:rPr>
                <w:rFonts w:ascii="calibri" w:hAnsi="calibri" w:cs="calibri" w:eastAsia="calibri"/>
                <w:sz w:val="24"/>
                <w:color w:val="0000FF"/>
              </w:rPr>
              <w:t>HTTP/HTTPS</w:t>
            </w:r>
            <w:r>
              <w:rPr>
                <w:rFonts w:ascii="宋体" w:hAnsi="宋体" w:cs="宋体" w:eastAsia="宋体"/>
                <w:sz w:val="24"/>
                <w:color w:val="0000FF"/>
              </w:rPr>
              <w:t>可用性、</w:t>
            </w:r>
            <w:r>
              <w:rPr>
                <w:rFonts w:ascii="calibri" w:hAnsi="calibri" w:cs="calibri" w:eastAsia="calibri"/>
                <w:sz w:val="24"/>
                <w:color w:val="0000FF"/>
              </w:rPr>
              <w:t>DNS</w:t>
            </w:r>
            <w:r>
              <w:rPr>
                <w:rFonts w:ascii="宋体" w:hAnsi="宋体" w:cs="宋体" w:eastAsia="宋体"/>
                <w:sz w:val="24"/>
                <w:color w:val="0000FF"/>
              </w:rPr>
              <w:t>可用性、页面篡改或网页挂马等监测信息进行及时报告和技术支持，提供监测记录和相关信息。以网络流量日志为基础，在产生威胁后，进行验证分析，为</w:t>
            </w:r>
            <w:r>
              <w:rPr>
                <w:rFonts w:ascii="宋体" w:hAnsi="宋体" w:cs="宋体" w:eastAsia="宋体"/>
                <w:sz w:val="24"/>
                <w:color w:val="0000FF"/>
              </w:rPr>
              <w:t>陕西省无线电管理委员会办公室</w:t>
            </w:r>
            <w:r>
              <w:rPr>
                <w:rFonts w:ascii="宋体" w:hAnsi="宋体" w:cs="宋体" w:eastAsia="宋体"/>
                <w:sz w:val="24"/>
                <w:color w:val="0000FF"/>
              </w:rPr>
              <w:t>提供真实可靠的威胁情况分析，提供解决方案协助客户及时进行处置。</w:t>
            </w:r>
          </w:p>
          <w:p>
            <w:pPr>
              <w:pStyle w:val="null3"/>
              <w:ind w:firstLine="480"/>
              <w:jc w:val="both"/>
            </w:pPr>
            <w:r>
              <w:rPr>
                <w:rFonts w:ascii="宋体" w:hAnsi="宋体" w:cs="宋体" w:eastAsia="宋体"/>
                <w:sz w:val="24"/>
                <w:color w:val="0000FF"/>
              </w:rPr>
              <w:t>监测实施：实施对</w:t>
            </w:r>
            <w:r>
              <w:rPr>
                <w:rFonts w:ascii="calibri" w:hAnsi="calibri" w:cs="calibri" w:eastAsia="calibri"/>
                <w:sz w:val="24"/>
                <w:color w:val="0000FF"/>
              </w:rPr>
              <w:t>HTTP/HTTPS</w:t>
            </w:r>
            <w:r>
              <w:rPr>
                <w:rFonts w:ascii="宋体" w:hAnsi="宋体" w:cs="宋体" w:eastAsia="宋体"/>
                <w:sz w:val="24"/>
                <w:color w:val="0000FF"/>
              </w:rPr>
              <w:t>、</w:t>
            </w:r>
            <w:r>
              <w:rPr>
                <w:rFonts w:ascii="calibri" w:hAnsi="calibri" w:cs="calibri" w:eastAsia="calibri"/>
                <w:sz w:val="24"/>
                <w:color w:val="0000FF"/>
              </w:rPr>
              <w:t>DNS</w:t>
            </w:r>
            <w:r>
              <w:rPr>
                <w:rFonts w:ascii="宋体" w:hAnsi="宋体" w:cs="宋体" w:eastAsia="宋体"/>
                <w:sz w:val="24"/>
                <w:color w:val="0000FF"/>
              </w:rPr>
              <w:t>等互联网服务的可用性监测。</w:t>
            </w:r>
          </w:p>
          <w:p>
            <w:pPr>
              <w:pStyle w:val="null3"/>
              <w:ind w:firstLine="480"/>
              <w:jc w:val="both"/>
            </w:pPr>
            <w:r>
              <w:rPr>
                <w:rFonts w:ascii="宋体" w:hAnsi="宋体" w:cs="宋体" w:eastAsia="宋体"/>
                <w:sz w:val="24"/>
                <w:color w:val="0000FF"/>
              </w:rPr>
              <w:t>威胁分析：对监测到的威胁进行分析，提供真实可靠的威胁情报。</w:t>
            </w:r>
          </w:p>
          <w:p>
            <w:pPr>
              <w:pStyle w:val="null3"/>
              <w:ind w:firstLine="480"/>
              <w:jc w:val="both"/>
            </w:pPr>
            <w:r>
              <w:rPr>
                <w:rFonts w:ascii="宋体" w:hAnsi="宋体" w:cs="宋体" w:eastAsia="宋体"/>
                <w:sz w:val="24"/>
                <w:color w:val="0000FF"/>
              </w:rPr>
              <w:t>技术支持：对安全事件提供及时的技术支持和解决方案。</w:t>
            </w:r>
          </w:p>
          <w:p>
            <w:pPr>
              <w:pStyle w:val="null3"/>
              <w:ind w:firstLine="480"/>
              <w:jc w:val="both"/>
            </w:pPr>
            <w:r>
              <w:rPr>
                <w:rFonts w:ascii="宋体" w:hAnsi="宋体" w:cs="宋体" w:eastAsia="宋体"/>
                <w:sz w:val="24"/>
                <w:color w:val="0000FF"/>
              </w:rPr>
              <w:t>报告提供：提供监测记录和相关信息的安全事件报告。</w:t>
            </w:r>
          </w:p>
          <w:p>
            <w:pPr>
              <w:pStyle w:val="null3"/>
              <w:jc w:val="both"/>
            </w:pPr>
          </w:p>
        </w:tc>
      </w:tr>
    </w:tbl>
    <w:p>
      <w:pPr>
        <w:pStyle w:val="null3"/>
        <w:outlineLvl w:val="3"/>
      </w:pPr>
      <w:r>
        <w:rPr>
          <w:sz w:val="24"/>
          <w:b/>
        </w:rPr>
        <w:t>3.2.3人员配置要求</w:t>
      </w:r>
    </w:p>
    <w:p>
      <w:pPr>
        <w:pStyle w:val="null3"/>
      </w:pPr>
      <w:r>
        <w:rPr/>
        <w:t>采购包1：</w:t>
      </w:r>
    </w:p>
    <w:p>
      <w:pPr>
        <w:pStyle w:val="null3"/>
      </w:pPr>
      <w:r>
        <w:rPr/>
        <w:t>根据项目服务要求配备</w:t>
      </w:r>
    </w:p>
    <w:p>
      <w:pPr>
        <w:pStyle w:val="null3"/>
        <w:outlineLvl w:val="3"/>
      </w:pPr>
      <w:r>
        <w:rPr>
          <w:sz w:val="24"/>
          <w:b/>
        </w:rPr>
        <w:t>3.2.4设施设备配置要求</w:t>
      </w:r>
    </w:p>
    <w:p>
      <w:pPr>
        <w:pStyle w:val="null3"/>
      </w:pPr>
      <w:r>
        <w:rPr/>
        <w:t>采购包1：</w:t>
      </w:r>
    </w:p>
    <w:p>
      <w:pPr>
        <w:pStyle w:val="null3"/>
      </w:pPr>
      <w:r>
        <w:rPr/>
        <w:t>根据项目服务要求配备</w:t>
      </w:r>
    </w:p>
    <w:p>
      <w:pPr>
        <w:pStyle w:val="null3"/>
        <w:outlineLvl w:val="3"/>
      </w:pPr>
      <w:r>
        <w:rPr>
          <w:sz w:val="24"/>
          <w:b/>
        </w:rPr>
        <w:t>3.2.5其他要求</w:t>
      </w:r>
    </w:p>
    <w:p>
      <w:pPr>
        <w:pStyle w:val="null3"/>
      </w:pPr>
      <w:r>
        <w:rPr/>
        <w:t>采购包1：</w:t>
      </w:r>
    </w:p>
    <w:p>
      <w:pPr>
        <w:pStyle w:val="null3"/>
      </w:pPr>
      <w:r>
        <w:rPr/>
        <w:t>投标人应遵照国家规范规定的技术服务内容及要求作出明确承诺</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1年（2025.1.1--2025.12.31）</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1、合同签订后5个工作日内，乙方向甲方出具合同总价款5%金额的银行保函，保函有效期截止到项目终验合格之日结束；2、甲方收到乙方合格银行保函后支付全部合同总价款；3、乙方承诺在甲方办理支付手续前，为甲方出具等额的符合国家规定的发票；4、上述时间不包括甲方正常办理支付报批手续的时间（办理银行担保所需的手续费、担保费等全部由中标人承担）</w:t>
      </w:r>
      <w:r>
        <w:rPr/>
        <w:t xml:space="preserve"> ，达到付款条件起 </w:t>
      </w:r>
      <w:r>
        <w:rPr/>
        <w:t>30</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1.中标人在领取中标通知书时提供一正两副纸质投标文件，装订：纸质投标文件采用书籍（胶装）方式装订成册，与电子投标文件一致的签字、盖章的完整版本。 2.本项目采购标的对应的中小企业划分标准所属行业为（软件和信息技术服务业）。 注：工信部联企业[2011]300号，（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提供具有履行本合同所必需的设备和专业技术能力的说明及承诺；（提供书面说明及承诺，加盖投标人公章）</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提供参加政府采购活动前三年内在经营活动中没有重大违法记录的书面声明；（提供书面声明，加盖投标人公章）</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投标保证金交纳凭证或担保函</w:t>
            </w:r>
          </w:p>
        </w:tc>
        <w:tc>
          <w:tcPr>
            <w:tcW w:type="dxa" w:w="3322"/>
          </w:tcPr>
          <w:p>
            <w:pPr>
              <w:pStyle w:val="null3"/>
            </w:pPr>
            <w:r>
              <w:rPr/>
              <w:t>投标保证金交纳凭证或担保函；（投标保证金交纳凭证为银行凭证及基本账户证明资料，担保函为财政部门认可的政府采购信用担保机构出具）</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控股关系</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投标报价是否超过采购预算</w:t>
            </w:r>
          </w:p>
        </w:tc>
        <w:tc>
          <w:tcPr>
            <w:tcW w:type="dxa" w:w="1661"/>
          </w:tcPr>
          <w:p>
            <w:pPr>
              <w:pStyle w:val="null3"/>
            </w:pPr>
            <w:r>
              <w:rPr/>
              <w:t>开标一览表 投标函 标的清单</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投标有效期是否符合招标文件的要求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招标文件商务要求</w:t>
            </w:r>
          </w:p>
        </w:tc>
        <w:tc>
          <w:tcPr>
            <w:tcW w:type="dxa" w:w="3322"/>
          </w:tcPr>
          <w:p>
            <w:pPr>
              <w:pStyle w:val="null3"/>
            </w:pPr>
            <w:r>
              <w:rPr/>
              <w:t>对招标文件商务要求是否作出明确且实质性响应</w:t>
            </w:r>
          </w:p>
        </w:tc>
        <w:tc>
          <w:tcPr>
            <w:tcW w:type="dxa" w:w="1661"/>
          </w:tcPr>
          <w:p>
            <w:pPr>
              <w:pStyle w:val="null3"/>
            </w:pPr>
            <w:r>
              <w:rPr/>
              <w:t>商务条款响应偏离表（格式） 投标文件封面</w:t>
            </w:r>
          </w:p>
        </w:tc>
      </w:tr>
      <w:tr>
        <w:tc>
          <w:tcPr>
            <w:tcW w:type="dxa" w:w="831"/>
          </w:tcPr>
          <w:p>
            <w:pPr>
              <w:pStyle w:val="null3"/>
            </w:pPr>
            <w:r>
              <w:rPr/>
              <w:t>5</w:t>
            </w:r>
          </w:p>
        </w:tc>
        <w:tc>
          <w:tcPr>
            <w:tcW w:type="dxa" w:w="2492"/>
          </w:tcPr>
          <w:p>
            <w:pPr>
              <w:pStyle w:val="null3"/>
            </w:pPr>
            <w:r>
              <w:rPr/>
              <w:t>招标文件服务内容和要求</w:t>
            </w:r>
          </w:p>
        </w:tc>
        <w:tc>
          <w:tcPr>
            <w:tcW w:type="dxa" w:w="3322"/>
          </w:tcPr>
          <w:p>
            <w:pPr>
              <w:pStyle w:val="null3"/>
            </w:pPr>
            <w:r>
              <w:rPr/>
              <w:t>对招标文件服务内容和要求是否作出明确响应，对不得偏离的要求是否作出实质性响应</w:t>
            </w:r>
          </w:p>
        </w:tc>
        <w:tc>
          <w:tcPr>
            <w:tcW w:type="dxa" w:w="1661"/>
          </w:tcPr>
          <w:p>
            <w:pPr>
              <w:pStyle w:val="null3"/>
            </w:pPr>
            <w:r>
              <w:rPr/>
              <w:t>服务响应偏离表（格式） 投标文件封面</w:t>
            </w:r>
          </w:p>
        </w:tc>
      </w:tr>
      <w:tr>
        <w:tc>
          <w:tcPr>
            <w:tcW w:type="dxa" w:w="831"/>
          </w:tcPr>
          <w:p>
            <w:pPr>
              <w:pStyle w:val="null3"/>
            </w:pPr>
            <w:r>
              <w:rPr/>
              <w:t>6</w:t>
            </w:r>
          </w:p>
        </w:tc>
        <w:tc>
          <w:tcPr>
            <w:tcW w:type="dxa" w:w="2492"/>
          </w:tcPr>
          <w:p>
            <w:pPr>
              <w:pStyle w:val="null3"/>
            </w:pPr>
            <w:r>
              <w:rPr/>
              <w:t>法律、法规和招标文件规定的其他无效响应情形</w:t>
            </w:r>
          </w:p>
        </w:tc>
        <w:tc>
          <w:tcPr>
            <w:tcW w:type="dxa" w:w="3322"/>
          </w:tcPr>
          <w:p>
            <w:pPr>
              <w:pStyle w:val="null3"/>
            </w:pPr>
            <w:r>
              <w:rPr/>
              <w:t>是否有法律、法规和招标文件规定的其他无效响应情形</w:t>
            </w:r>
          </w:p>
        </w:tc>
        <w:tc>
          <w:tcPr>
            <w:tcW w:type="dxa" w:w="1661"/>
          </w:tcPr>
          <w:p>
            <w:pPr>
              <w:pStyle w:val="null3"/>
            </w:pPr>
            <w:r>
              <w:rPr/>
              <w:t>重点难点分析 合理化建议 中小企业声明函 业绩 安全运维方案 企业实力 《拒绝政府采购领域商业贿赂承诺书》（格式） 商务条款响应偏离表（格式） 资格证明文件 服务团队及能力 服务响应偏离表（格式） 投标函 培训方案 残疾人福利性单位声明函 标的清单 投标文件封面 法定代表人授权书（格式） 监狱企业的证明文件 实施方案 投标人认为有必要补充说明的事宜</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安全运维方案</w:t>
            </w:r>
          </w:p>
        </w:tc>
        <w:tc>
          <w:tcPr>
            <w:tcW w:type="dxa" w:w="2492"/>
          </w:tcPr>
          <w:p>
            <w:pPr>
              <w:pStyle w:val="null3"/>
            </w:pPr>
            <w:r>
              <w:rPr/>
              <w:t>安全运维方案结合招标文件要求编写。 ①方案内容完整，方案描述详细，服务条理清晰的计10-12分； ②方案详细可行但内容有细微偏差的计7-10分； ③方案只有书面承诺，描述粗略，缺少具体措施办法的计4-7分； ④方案有3项及以上欠缺的计1-4分； ⑤未提供的不得分。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安全运维方案</w:t>
            </w:r>
          </w:p>
        </w:tc>
      </w:tr>
      <w:tr>
        <w:tc>
          <w:tcPr>
            <w:tcW w:type="dxa" w:w="831"/>
            <w:vMerge/>
          </w:tcPr>
          <w:p/>
        </w:tc>
        <w:tc>
          <w:tcPr>
            <w:tcW w:type="dxa" w:w="1661"/>
          </w:tcPr>
          <w:p>
            <w:pPr>
              <w:pStyle w:val="null3"/>
            </w:pPr>
            <w:r>
              <w:rPr/>
              <w:t>实施方案</w:t>
            </w:r>
          </w:p>
        </w:tc>
        <w:tc>
          <w:tcPr>
            <w:tcW w:type="dxa" w:w="2492"/>
          </w:tcPr>
          <w:p>
            <w:pPr>
              <w:pStyle w:val="null3"/>
            </w:pPr>
            <w:r>
              <w:rPr/>
              <w:t>结合采购需求，提供完整切实可行的实施方案，包括但不限于人员安排与分工（团队构建、人员职责及任务；专业能力匹配；沟通机制）；项目实施计划（阶段划分、时间规划、资源分配、进度跟踪）；执行过程管控（质量控制、变更管理、问题解决、文档管理）；风险分析与处置（风险识别、风险评估、风险应对策略、风险监控）等。 ①内容详细全面、架构完整、层次清楚、完善可行的计10-12分； ②内容详细可行但有细微偏差的的计7-10分； ③内容只有书面承诺，描述粗略，缺少具体措施办法的计4-7分。 ④方案有2项及以上欠缺的计1-4分； ⑤未提供的不得分。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重点难点分析</w:t>
            </w:r>
          </w:p>
        </w:tc>
        <w:tc>
          <w:tcPr>
            <w:tcW w:type="dxa" w:w="2492"/>
          </w:tcPr>
          <w:p>
            <w:pPr>
              <w:pStyle w:val="null3"/>
            </w:pPr>
            <w:r>
              <w:rPr/>
              <w:t>项目重点分析应涵盖关键点的识别和核心任务的深入分析，同时对这些要素进行优先级划分、难点识别还应包括潜在难点的预测、分类和影响评估。解决方案应针对技术、管理和资源难点提供具体的解决策略等。 ①内容详细全面、架构完整、层次清楚、完善可行的计6-8分； ②内容详细可行但有细微偏差的的计3-6分； ③内容只有书面承诺，描述粗略，缺少具体措施办法的计1-3分。 ④未提供的不得分。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重点难点分析</w:t>
            </w:r>
          </w:p>
        </w:tc>
      </w:tr>
      <w:tr>
        <w:tc>
          <w:tcPr>
            <w:tcW w:type="dxa" w:w="831"/>
            <w:vMerge/>
          </w:tcPr>
          <w:p/>
        </w:tc>
        <w:tc>
          <w:tcPr>
            <w:tcW w:type="dxa" w:w="1661"/>
          </w:tcPr>
          <w:p>
            <w:pPr>
              <w:pStyle w:val="null3"/>
            </w:pPr>
            <w:r>
              <w:rPr/>
              <w:t>合理化建议</w:t>
            </w:r>
          </w:p>
        </w:tc>
        <w:tc>
          <w:tcPr>
            <w:tcW w:type="dxa" w:w="2492"/>
          </w:tcPr>
          <w:p>
            <w:pPr>
              <w:pStyle w:val="null3"/>
            </w:pPr>
            <w:r>
              <w:rPr/>
              <w:t>合理化建议应包括流程优化、风险缓解、成本效益分析和持续改进机制的建立等，以确保项目能够高效、顺利地进行，通过这些措施，供应商能够为陕西省无线电管理委员会提供一个全面、深入的项目实施策略，确保项目目标的实现。 ①内容详细全面、架构完整、层次清楚、完善可行的计6-8分； ②内容详细可行但有细微偏差的的计3-6分； ③内容只有书面承诺，描述粗略，缺少具体措施办法的计1-3分。 ④未提供的不得分。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合理化建议</w:t>
            </w:r>
          </w:p>
        </w:tc>
      </w:tr>
      <w:tr>
        <w:tc>
          <w:tcPr>
            <w:tcW w:type="dxa" w:w="831"/>
            <w:vMerge/>
          </w:tcPr>
          <w:p/>
        </w:tc>
        <w:tc>
          <w:tcPr>
            <w:tcW w:type="dxa" w:w="1661"/>
          </w:tcPr>
          <w:p>
            <w:pPr>
              <w:pStyle w:val="null3"/>
            </w:pPr>
            <w:r>
              <w:rPr/>
              <w:t>培训方案</w:t>
            </w:r>
          </w:p>
        </w:tc>
        <w:tc>
          <w:tcPr>
            <w:tcW w:type="dxa" w:w="2492"/>
          </w:tcPr>
          <w:p>
            <w:pPr>
              <w:pStyle w:val="null3"/>
            </w:pPr>
            <w:r>
              <w:rPr/>
              <w:t>提供切实可行的培训计划，并负责为采购方培训操作维护人员，并有完整的培训方案，列出详细的培训内容、培训方式等说明。 ①内容详细全面、架构完整、层次清楚、完善可行的计7-9分； ②内容详细可行但有细微偏差的的计4-7分； ③内容只有书面承诺，描述粗略，缺少具体措施办法的计1-4分。 ④未提供的不得分。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服务团队及能力1</w:t>
            </w:r>
          </w:p>
        </w:tc>
        <w:tc>
          <w:tcPr>
            <w:tcW w:type="dxa" w:w="2492"/>
          </w:tcPr>
          <w:p>
            <w:pPr>
              <w:pStyle w:val="null3"/>
            </w:pPr>
            <w:r>
              <w:rPr/>
              <w:t>1.项目经理：具备信息安全保障人员认证证书（CISAW-风险管理），大数据-DSMM证书（能力三级），注册信息系统安全专家(CISSP)，网络安全能力认证证书（CCSC）-网络安全管理II级，提供以上全部证明文件的计4分，不满足不计分。 注：需提供公司为其缴纳的开标前近6个月的社保证明，未提供社保证明或证书的均不计分。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服务团队及能力</w:t>
            </w:r>
          </w:p>
        </w:tc>
      </w:tr>
      <w:tr>
        <w:tc>
          <w:tcPr>
            <w:tcW w:type="dxa" w:w="831"/>
            <w:vMerge/>
          </w:tcPr>
          <w:p/>
        </w:tc>
        <w:tc>
          <w:tcPr>
            <w:tcW w:type="dxa" w:w="1661"/>
          </w:tcPr>
          <w:p>
            <w:pPr>
              <w:pStyle w:val="null3"/>
            </w:pPr>
            <w:r>
              <w:rPr/>
              <w:t>服务团队及能力2</w:t>
            </w:r>
          </w:p>
        </w:tc>
        <w:tc>
          <w:tcPr>
            <w:tcW w:type="dxa" w:w="2492"/>
          </w:tcPr>
          <w:p>
            <w:pPr>
              <w:pStyle w:val="null3"/>
            </w:pPr>
            <w:r>
              <w:rPr/>
              <w:t>2.技术主管：具备注册数据安全治理专业人员证书（CISP-DSG），信息安全保障人员认证证书（CISAW-安全集成），重要信息系统保护人员证书（CIIP-D），注册信息安全开发人员（CISP-CISD)，提供以上全部证明文件的计4分，不满足不计分。 注：需提供公司为其缴纳的开标前近6个月的社保证明，未提供社保证明或证书的均不计分。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服务团队及能力</w:t>
            </w:r>
          </w:p>
        </w:tc>
      </w:tr>
      <w:tr>
        <w:tc>
          <w:tcPr>
            <w:tcW w:type="dxa" w:w="831"/>
            <w:vMerge/>
          </w:tcPr>
          <w:p/>
        </w:tc>
        <w:tc>
          <w:tcPr>
            <w:tcW w:type="dxa" w:w="1661"/>
          </w:tcPr>
          <w:p>
            <w:pPr>
              <w:pStyle w:val="null3"/>
            </w:pPr>
            <w:r>
              <w:rPr/>
              <w:t>服务团队及能力3</w:t>
            </w:r>
          </w:p>
        </w:tc>
        <w:tc>
          <w:tcPr>
            <w:tcW w:type="dxa" w:w="2492"/>
          </w:tcPr>
          <w:p>
            <w:pPr>
              <w:pStyle w:val="null3"/>
            </w:pPr>
            <w:r>
              <w:rPr/>
              <w:t>3.风险安全管理员：具备信息安全保障人员认证证书(CISAW-应急服务），IT服务管理人才认证（ITIL），网络安全能力认证证书（CCSC）-网络安全技术I级，注册信息安全工程师证书（CISP-CISE），提供以上全部证明文件的计4分，不满足不计分。 注：需提供公司为其缴纳的开标前近6个月的社保证明，未提供社保证明或证书的均不计分。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服务团队及能力</w:t>
            </w:r>
          </w:p>
        </w:tc>
      </w:tr>
      <w:tr>
        <w:tc>
          <w:tcPr>
            <w:tcW w:type="dxa" w:w="831"/>
            <w:vMerge/>
          </w:tcPr>
          <w:p/>
        </w:tc>
        <w:tc>
          <w:tcPr>
            <w:tcW w:type="dxa" w:w="1661"/>
          </w:tcPr>
          <w:p>
            <w:pPr>
              <w:pStyle w:val="null3"/>
            </w:pPr>
            <w:r>
              <w:rPr/>
              <w:t>服务团队及能力4</w:t>
            </w:r>
          </w:p>
        </w:tc>
        <w:tc>
          <w:tcPr>
            <w:tcW w:type="dxa" w:w="2492"/>
          </w:tcPr>
          <w:p>
            <w:pPr>
              <w:pStyle w:val="null3"/>
            </w:pPr>
            <w:r>
              <w:rPr/>
              <w:t>4.针对本项目的其他项目成员需具备能力证书： （1）具备注册渗透测试工程师（CISP-PTE)，计2分； （2）具备软件测试工程师（高级），提供1个加1分，计满2分为止； 注：以上人员需提供公司为其缴纳的开标前近6个月的社保证明，未提供社保证明或证书的均不计分。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服务团队及能力</w:t>
            </w:r>
          </w:p>
        </w:tc>
      </w:tr>
      <w:tr>
        <w:tc>
          <w:tcPr>
            <w:tcW w:type="dxa" w:w="831"/>
            <w:vMerge/>
          </w:tcPr>
          <w:p/>
        </w:tc>
        <w:tc>
          <w:tcPr>
            <w:tcW w:type="dxa" w:w="1661"/>
          </w:tcPr>
          <w:p>
            <w:pPr>
              <w:pStyle w:val="null3"/>
            </w:pPr>
            <w:r>
              <w:rPr/>
              <w:t>企业实力1</w:t>
            </w:r>
          </w:p>
        </w:tc>
        <w:tc>
          <w:tcPr>
            <w:tcW w:type="dxa" w:w="2492"/>
          </w:tcPr>
          <w:p>
            <w:pPr>
              <w:pStyle w:val="null3"/>
            </w:pPr>
            <w:r>
              <w:rPr/>
              <w:t>1.供应商具备质量管理体系认证ISO9001，信息技术服务管理体系认证证书ISO/IEC20000，信息安全管理体系认证证书ISO/IEC27001，每份计1分，计满3分为止，未提供证明材料的不计分。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企业实力</w:t>
            </w:r>
          </w:p>
        </w:tc>
      </w:tr>
      <w:tr>
        <w:tc>
          <w:tcPr>
            <w:tcW w:type="dxa" w:w="831"/>
            <w:vMerge/>
          </w:tcPr>
          <w:p/>
        </w:tc>
        <w:tc>
          <w:tcPr>
            <w:tcW w:type="dxa" w:w="1661"/>
          </w:tcPr>
          <w:p>
            <w:pPr>
              <w:pStyle w:val="null3"/>
            </w:pPr>
            <w:r>
              <w:rPr/>
              <w:t>企业实力2</w:t>
            </w:r>
          </w:p>
        </w:tc>
        <w:tc>
          <w:tcPr>
            <w:tcW w:type="dxa" w:w="2492"/>
          </w:tcPr>
          <w:p>
            <w:pPr>
              <w:pStyle w:val="null3"/>
            </w:pPr>
            <w:r>
              <w:rPr/>
              <w:t>2.供应商具备《CCRC信息安全服务资质认证证书》-安全运维、《CCRC信息安全服务资质认证证书》-网络安全审计、《CCRC信息安全服务资质认证证书》-应急处理，每份计1分，计满3分为止，未提供证明材料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企业实力</w:t>
            </w:r>
          </w:p>
        </w:tc>
      </w:tr>
      <w:tr>
        <w:tc>
          <w:tcPr>
            <w:tcW w:type="dxa" w:w="831"/>
            <w:vMerge/>
          </w:tcPr>
          <w:p/>
        </w:tc>
        <w:tc>
          <w:tcPr>
            <w:tcW w:type="dxa" w:w="1661"/>
          </w:tcPr>
          <w:p>
            <w:pPr>
              <w:pStyle w:val="null3"/>
            </w:pPr>
            <w:r>
              <w:rPr/>
              <w:t>企业实力3</w:t>
            </w:r>
          </w:p>
        </w:tc>
        <w:tc>
          <w:tcPr>
            <w:tcW w:type="dxa" w:w="2492"/>
          </w:tcPr>
          <w:p>
            <w:pPr>
              <w:pStyle w:val="null3"/>
            </w:pPr>
            <w:r>
              <w:rPr/>
              <w:t>3.供应商具有近一年内获得的原创漏洞证明，每份计1分，计满2分为止，未提供证明材料的不计分。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企业实力</w:t>
            </w:r>
          </w:p>
        </w:tc>
      </w:tr>
      <w:tr>
        <w:tc>
          <w:tcPr>
            <w:tcW w:type="dxa" w:w="831"/>
            <w:vMerge/>
          </w:tcPr>
          <w:p/>
        </w:tc>
        <w:tc>
          <w:tcPr>
            <w:tcW w:type="dxa" w:w="1661"/>
          </w:tcPr>
          <w:p>
            <w:pPr>
              <w:pStyle w:val="null3"/>
            </w:pPr>
            <w:r>
              <w:rPr/>
              <w:t>企业实力4</w:t>
            </w:r>
          </w:p>
        </w:tc>
        <w:tc>
          <w:tcPr>
            <w:tcW w:type="dxa" w:w="2492"/>
          </w:tcPr>
          <w:p>
            <w:pPr>
              <w:pStyle w:val="null3"/>
            </w:pPr>
            <w:r>
              <w:rPr/>
              <w:t>4.供应商具有网络安全相关的计算机软件著作权登记证书，每份计1分，计满2分为止，未提供证明材料的不计分。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企业实力</w:t>
            </w:r>
          </w:p>
        </w:tc>
      </w:tr>
      <w:tr>
        <w:tc>
          <w:tcPr>
            <w:tcW w:type="dxa" w:w="831"/>
            <w:vMerge/>
          </w:tcPr>
          <w:p/>
        </w:tc>
        <w:tc>
          <w:tcPr>
            <w:tcW w:type="dxa" w:w="1661"/>
          </w:tcPr>
          <w:p>
            <w:pPr>
              <w:pStyle w:val="null3"/>
            </w:pPr>
            <w:r>
              <w:rPr/>
              <w:t>业绩</w:t>
            </w:r>
          </w:p>
        </w:tc>
        <w:tc>
          <w:tcPr>
            <w:tcW w:type="dxa" w:w="2492"/>
          </w:tcPr>
          <w:p>
            <w:pPr>
              <w:pStyle w:val="null3"/>
            </w:pPr>
            <w:r>
              <w:rPr/>
              <w:t>提供自2021年1月1日起签订类似项目业绩的有效证明文件，每份计1分，计满5分为止。注：提供合同复印件或中标通知书加盖公章。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采用低价优先法计算即满足文件要求且投标价格最低的投标报价为评标基准价，其价格为20分。其他供应商的价格分按照下列公式计算：投标报价得分=（评标基准价/投标报价）×20%×100。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w:t>
      </w:r>
    </w:p>
    <w:p>
      <w:pPr>
        <w:pStyle w:val="null3"/>
        <w:ind w:firstLine="960"/>
      </w:pPr>
      <w:r>
        <w:rPr/>
        <w:t>详见附件：安全运维方案</w:t>
      </w:r>
    </w:p>
    <w:p>
      <w:pPr>
        <w:pStyle w:val="null3"/>
        <w:ind w:firstLine="960"/>
      </w:pPr>
      <w:r>
        <w:rPr/>
        <w:t>详见附件：实施方案</w:t>
      </w:r>
    </w:p>
    <w:p>
      <w:pPr>
        <w:pStyle w:val="null3"/>
        <w:ind w:firstLine="960"/>
      </w:pPr>
      <w:r>
        <w:rPr/>
        <w:t>详见附件：重点难点分析</w:t>
      </w:r>
    </w:p>
    <w:p>
      <w:pPr>
        <w:pStyle w:val="null3"/>
        <w:ind w:firstLine="960"/>
      </w:pPr>
      <w:r>
        <w:rPr/>
        <w:t>详见附件：合理化建议</w:t>
      </w:r>
    </w:p>
    <w:p>
      <w:pPr>
        <w:pStyle w:val="null3"/>
        <w:ind w:firstLine="960"/>
      </w:pPr>
      <w:r>
        <w:rPr/>
        <w:t>详见附件：培训方案</w:t>
      </w:r>
    </w:p>
    <w:p>
      <w:pPr>
        <w:pStyle w:val="null3"/>
        <w:ind w:firstLine="960"/>
      </w:pPr>
      <w:r>
        <w:rPr/>
        <w:t>详见附件：服务团队及能力</w:t>
      </w:r>
    </w:p>
    <w:p>
      <w:pPr>
        <w:pStyle w:val="null3"/>
        <w:ind w:firstLine="960"/>
      </w:pPr>
      <w:r>
        <w:rPr/>
        <w:t>详见附件：企业实力</w:t>
      </w:r>
    </w:p>
    <w:p>
      <w:pPr>
        <w:pStyle w:val="null3"/>
        <w:ind w:firstLine="960"/>
      </w:pPr>
      <w:r>
        <w:rPr/>
        <w:t>详见附件：业绩</w:t>
      </w:r>
    </w:p>
    <w:p>
      <w:pPr>
        <w:pStyle w:val="null3"/>
        <w:ind w:firstLine="960"/>
      </w:pPr>
      <w:r>
        <w:rPr/>
        <w:t>详见附件：投标人认为有必要补充说明的事宜</w:t>
      </w:r>
    </w:p>
    <w:p>
      <w:pPr>
        <w:pStyle w:val="null3"/>
        <w:ind w:firstLine="960"/>
      </w:pPr>
      <w:r>
        <w:rPr/>
        <w:t>详见附件：《拒绝政府采购领域商业贿赂承诺书》（格式）</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详见附件：182合同.docx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