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病理分析前处理设备和试剂采购项目</w:t>
      </w:r>
    </w:p>
    <w:p>
      <w:pPr>
        <w:pStyle w:val="null3"/>
        <w:jc w:val="center"/>
        <w:outlineLvl w:val="2"/>
      </w:pPr>
      <w:r>
        <w:rPr>
          <w:sz w:val="28"/>
          <w:b/>
        </w:rPr>
        <w:t>采购项目编号：</w:t>
      </w:r>
      <w:r>
        <w:rPr>
          <w:sz w:val="28"/>
          <w:b/>
        </w:rPr>
        <w:t>【KRDL】K2-2408218</w:t>
      </w:r>
      <w:r>
        <w:br/>
      </w:r>
      <w:r>
        <w:br/>
      </w:r>
      <w:r>
        <w:br/>
      </w:r>
    </w:p>
    <w:p>
      <w:pPr>
        <w:pStyle w:val="null3"/>
        <w:jc w:val="center"/>
        <w:outlineLvl w:val="2"/>
      </w:pPr>
      <w:r>
        <w:rPr>
          <w:sz w:val="28"/>
          <w:b/>
        </w:rPr>
        <w:t>陕西中医药大学附属医院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2024年08月16日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陕西中医药大学附属医院</w:t>
      </w:r>
      <w:r>
        <w:rPr/>
        <w:t>委托，拟对</w:t>
      </w:r>
      <w:r>
        <w:rPr/>
        <w:t>病理分析前处理设备和试剂采购项目</w:t>
      </w:r>
      <w:r>
        <w:rPr/>
        <w:t>进行国内公开招标，兹邀请符合本次招标要求的供应商参加投标。</w:t>
      </w:r>
    </w:p>
    <w:p>
      <w:pPr>
        <w:pStyle w:val="null3"/>
        <w:outlineLvl w:val="2"/>
      </w:pPr>
      <w:r>
        <w:rPr>
          <w:sz w:val="28"/>
          <w:b/>
        </w:rPr>
        <w:t>一、采购项目编号：</w:t>
      </w:r>
      <w:r>
        <w:rPr>
          <w:sz w:val="28"/>
          <w:b/>
        </w:rPr>
        <w:t>【KRDL】K2-2408218</w:t>
      </w:r>
    </w:p>
    <w:p>
      <w:pPr>
        <w:pStyle w:val="null3"/>
        <w:outlineLvl w:val="2"/>
      </w:pPr>
      <w:r>
        <w:rPr>
          <w:sz w:val="28"/>
          <w:b/>
        </w:rPr>
        <w:t>二、采购项目名称：</w:t>
      </w:r>
      <w:r>
        <w:rPr>
          <w:sz w:val="28"/>
          <w:b/>
        </w:rPr>
        <w:t>病理分析前处理设备和试剂采购项目</w:t>
      </w:r>
    </w:p>
    <w:p>
      <w:pPr>
        <w:pStyle w:val="null3"/>
        <w:outlineLvl w:val="2"/>
      </w:pPr>
      <w:r>
        <w:rPr>
          <w:sz w:val="28"/>
          <w:b/>
        </w:rPr>
        <w:t>三、招标项目简介</w:t>
      </w:r>
    </w:p>
    <w:p>
      <w:pPr>
        <w:pStyle w:val="null3"/>
        <w:ind w:firstLine="480"/>
      </w:pPr>
      <w:r>
        <w:rPr/>
        <w:t>陕西中医药大学附属医院病理分析前处理设备和试剂采购项目，拟采购病理分析前处理设备和试剂，具体内容详见本项目第三章 招标项目技术、服务、商务及其他要求。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1、主体资格：供应商为向采购人提供相关货物及相应服务的法人或其他组织；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4、财务状况证明：供应商提供经会计师事务所审计的2022年或2023年的财务审计报告或在开标日期前六个月内其基本开户银行出具的资信证明；</w:t>
      </w:r>
    </w:p>
    <w:p>
      <w:pPr>
        <w:pStyle w:val="null3"/>
      </w:pPr>
      <w:r>
        <w:rPr/>
        <w:t>5、信誉要求：截止至投标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其他要求：供应商如为代理商和经销商的应提供合法有效的《医疗器械经营许可证》及拟投产品制造商的《医疗器械生产许可证》；及投标产品的医疗器械注册证或医疗器械备案凭证。供应商如为制造商应提供合法有效拟投产品的《医疗器械生产许可证》；及投标产品的医疗器械注册证或医疗器械备案凭证。</w:t>
      </w:r>
    </w:p>
    <w:p>
      <w:pPr>
        <w:pStyle w:val="null3"/>
      </w:pPr>
      <w:r>
        <w:rPr/>
        <w:t>8、是否专门面向中小企业采购：本项目不专门面向中小企业采购；</w:t>
      </w:r>
    </w:p>
    <w:p>
      <w:pPr>
        <w:pStyle w:val="null3"/>
      </w:pPr>
      <w:r>
        <w:rPr/>
        <w:t>9、是否接受进口产品：本项目未做进口论证的产品，供应商所投的任何进口产品均不被接受。</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陕西中医药大学附属医院</w:t>
      </w:r>
    </w:p>
    <w:p>
      <w:pPr>
        <w:pStyle w:val="null3"/>
      </w:pPr>
      <w:r>
        <w:rPr/>
        <w:t xml:space="preserve"> 地址： </w:t>
      </w:r>
      <w:r>
        <w:rPr/>
        <w:t>陕西省咸阳市渭阳西路副2号</w:t>
      </w:r>
    </w:p>
    <w:p>
      <w:pPr>
        <w:pStyle w:val="null3"/>
      </w:pPr>
      <w:r>
        <w:rPr/>
        <w:t xml:space="preserve"> 邮编： </w:t>
      </w:r>
      <w:r>
        <w:rPr/>
        <w:t>710000</w:t>
      </w:r>
    </w:p>
    <w:p>
      <w:pPr>
        <w:pStyle w:val="null3"/>
      </w:pPr>
      <w:r>
        <w:rPr/>
        <w:t xml:space="preserve"> 联系人： </w:t>
      </w:r>
      <w:r>
        <w:rPr/>
        <w:t>马老师</w:t>
      </w:r>
    </w:p>
    <w:p>
      <w:pPr>
        <w:pStyle w:val="null3"/>
      </w:pPr>
      <w:r>
        <w:rPr/>
        <w:t xml:space="preserve"> 联系电话： </w:t>
      </w:r>
      <w:r>
        <w:rPr/>
        <w:t>029-33320910</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代光艳、刘昆</w:t>
      </w:r>
    </w:p>
    <w:p>
      <w:pPr>
        <w:pStyle w:val="null3"/>
      </w:pPr>
      <w:r>
        <w:rPr/>
        <w:t xml:space="preserve"> 联系电话： </w:t>
      </w:r>
      <w:r>
        <w:rPr/>
        <w:t>029-89581311、17302920968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857号）的有关规定下浮30%≤8400元向采购代理机构一次付清代理服务费。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陕西中医药大学附属医院</w:t>
      </w:r>
      <w:r>
        <w:rPr/>
        <w:t>和</w:t>
      </w:r>
      <w:r>
        <w:rPr/>
        <w:t>开瑞项目管理有限公司</w:t>
      </w:r>
      <w:r>
        <w:rPr/>
        <w:t>享有。对招标文件中供应商参加本次政府采购活动应当具备的条件，招标项目技术、服务、商务及其他要求，评标细则及标准由</w:t>
      </w:r>
      <w:r>
        <w:rPr/>
        <w:t>陕西中医药大学附属医院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联系人：代光艳、刘昆</w:t>
      </w:r>
    </w:p>
    <w:p>
      <w:pPr>
        <w:pStyle w:val="null3"/>
      </w:pPr>
      <w:r>
        <w:rPr/>
        <w:t>联系电话：029-89581311、17302920968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中医药大学附属医院病理分析前处理设备和试剂采购项目，拟采购病理分析前处理设备和试剂，本次招标是对所采购标的物的总计和综合单价进行招标。病理分析前处理设备部分采用固定总价的形式，各供应商在填报投标报价时综合考虑，中标价格在项目实施过程中不予调整。病理分析前处理试剂部分结算时根据实际配送量×中标单价进行计算，预算金额为最终结算上限金额。</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50,862.00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病理分析前处理设备</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病理分析前处理试剂</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标的名称：病理分析前处理设备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80"/>
              <w:jc w:val="left"/>
            </w:pPr>
            <w:r>
              <w:rPr/>
              <w:t>（一）病理分析前处理设备部分技术参数及要求</w:t>
            </w:r>
          </w:p>
          <w:p>
            <w:pPr>
              <w:pStyle w:val="null3"/>
            </w:pPr>
            <w:r>
              <w:rPr/>
              <w:t>1.技术标准和要求【病理分析前处理设备单价最高限价为：50000元/台】</w:t>
            </w:r>
          </w:p>
          <w:p>
            <w:pPr>
              <w:pStyle w:val="null3"/>
            </w:pPr>
            <w:r>
              <w:rPr/>
              <w:t>（1）功能：固定、脱水、透明、浸蜡、包埋和冷冻综合一体机；</w:t>
            </w:r>
          </w:p>
          <w:p>
            <w:pPr>
              <w:pStyle w:val="null3"/>
            </w:pPr>
            <w:r>
              <w:rPr/>
              <w:t>（2）温控方式：PID精准温控；</w:t>
            </w:r>
          </w:p>
          <w:p>
            <w:pPr>
              <w:pStyle w:val="null3"/>
            </w:pPr>
            <w:r>
              <w:rPr/>
              <w:t>（3）温控精度：±1℃；</w:t>
            </w:r>
          </w:p>
          <w:p>
            <w:pPr>
              <w:pStyle w:val="null3"/>
            </w:pPr>
            <w:r>
              <w:rPr/>
              <w:t>（4）最大处理量:≥100个/批；</w:t>
            </w:r>
          </w:p>
          <w:p>
            <w:pPr>
              <w:pStyle w:val="null3"/>
            </w:pPr>
            <w:r>
              <w:rPr/>
              <w:t>（5）处理缸:≥3个，相互独立工作；</w:t>
            </w:r>
          </w:p>
          <w:p>
            <w:pPr>
              <w:pStyle w:val="null3"/>
            </w:pPr>
            <w:r>
              <w:rPr/>
              <w:t>（6）蜡缸:≥2个；</w:t>
            </w:r>
          </w:p>
          <w:p>
            <w:pPr>
              <w:pStyle w:val="null3"/>
            </w:pPr>
            <w:r>
              <w:rPr/>
              <w:t>（7）浸蜡缸容积:可同时对多个处理缸标本浸蜡；</w:t>
            </w:r>
          </w:p>
          <w:p>
            <w:pPr>
              <w:pStyle w:val="null3"/>
            </w:pPr>
            <w:r>
              <w:rPr/>
              <w:t>（8）组织处理程序：≥15种可编程组织处理程序；</w:t>
            </w:r>
          </w:p>
          <w:p>
            <w:pPr>
              <w:pStyle w:val="null3"/>
            </w:pPr>
            <w:r>
              <w:rPr/>
              <w:t>（9）包埋系统：配置包埋区、冷却区和暂存区；</w:t>
            </w:r>
          </w:p>
          <w:p>
            <w:pPr>
              <w:pStyle w:val="null3"/>
            </w:pPr>
            <w:r>
              <w:rPr/>
              <w:t>（10）组织脱水时间：大组织（直径≤1.5，厚度0.2cm）约60~90min；小组织（直径≤0.5，厚度0.2cm）约20~30min；</w:t>
            </w:r>
          </w:p>
          <w:p>
            <w:pPr>
              <w:pStyle w:val="null3"/>
            </w:pPr>
            <w:r>
              <w:rPr/>
              <w:t>（11）显示器：≥10英寸彩色触摸屏；</w:t>
            </w:r>
          </w:p>
          <w:p>
            <w:pPr>
              <w:pStyle w:val="null3"/>
            </w:pPr>
            <w:r>
              <w:rPr/>
              <w:t>（12） 残蜡管理：配置残蜡回收系统；</w:t>
            </w:r>
          </w:p>
          <w:p>
            <w:pPr>
              <w:pStyle w:val="null3"/>
            </w:pPr>
            <w:r>
              <w:rPr/>
              <w:t>（13）包埋照明：柔和LED照明灯；</w:t>
            </w:r>
          </w:p>
          <w:p>
            <w:pPr>
              <w:pStyle w:val="null3"/>
            </w:pPr>
            <w:r>
              <w:rPr/>
              <w:t>（14）滴蜡操作方式：软接触开关；</w:t>
            </w:r>
          </w:p>
          <w:p>
            <w:pPr>
              <w:pStyle w:val="null3"/>
            </w:pPr>
            <w:r>
              <w:rPr/>
              <w:t>（15）报警方式：声音、颜色和文字；</w:t>
            </w:r>
          </w:p>
          <w:p>
            <w:pPr>
              <w:pStyle w:val="null3"/>
            </w:pPr>
            <w:r>
              <w:rPr/>
              <w:t>（16）预约化蜡：具有预约化蜡功能</w:t>
            </w:r>
          </w:p>
          <w:p>
            <w:pPr>
              <w:pStyle w:val="null3"/>
            </w:pPr>
            <w:r>
              <w:rPr/>
              <w:t>（17）强大的软件管理系统：UI界面美观、操作简单；实时状态监控；标本处理量记录。</w:t>
            </w:r>
          </w:p>
          <w:p>
            <w:pPr>
              <w:pStyle w:val="null3"/>
            </w:pPr>
            <w:r>
              <w:rPr/>
              <w:t>2.商务要求（以此为准）</w:t>
            </w:r>
            <w:r>
              <w:br/>
            </w:r>
            <w:r>
              <w:rPr/>
              <w:t xml:space="preserve"> （1）交货期：合同签订之日起30个日历日内；</w:t>
            </w:r>
          </w:p>
          <w:p>
            <w:pPr>
              <w:pStyle w:val="null3"/>
            </w:pPr>
            <w:r>
              <w:rPr/>
              <w:t>（2）质保期：验收合格之日起3年；</w:t>
            </w:r>
          </w:p>
          <w:p>
            <w:pPr>
              <w:pStyle w:val="null3"/>
            </w:pPr>
            <w:r>
              <w:rPr/>
              <w:t>（3）交货地点：陕西中医药大学附属医院指定地点；</w:t>
            </w:r>
          </w:p>
          <w:p>
            <w:pPr>
              <w:pStyle w:val="null3"/>
            </w:pPr>
            <w:r>
              <w:rPr/>
              <w:t>（4）付款方式：验收合格一个月后支付合同款的60%，验收合格三个月后支付合同款的30%，正常使用满一年后支付合同款的5%，验收合格、正常使用满三年后支付合同款的5%。支付方式采用银行转账的形式。</w:t>
            </w:r>
          </w:p>
        </w:tc>
      </w:tr>
    </w:tbl>
    <w:p>
      <w:pPr>
        <w:pStyle w:val="null3"/>
      </w:pPr>
      <w:r>
        <w:rPr/>
        <w:t>标的名称：病理分析前处理试剂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80"/>
              <w:jc w:val="both"/>
            </w:pPr>
            <w:r>
              <w:rPr/>
              <w:t>（二）病理分析前处理试剂技术参数及要求</w:t>
            </w:r>
          </w:p>
          <w:p>
            <w:pPr>
              <w:pStyle w:val="null3"/>
            </w:pPr>
            <w:r>
              <w:rPr/>
              <w:t>1.技术标准和要求【核心产品，病理分析前处理试剂单价最高限价为：862</w:t>
            </w:r>
          </w:p>
          <w:p>
            <w:pPr>
              <w:pStyle w:val="null3"/>
            </w:pPr>
            <w:r>
              <w:rPr/>
              <w:t>元/瓶（500ML）】</w:t>
            </w:r>
          </w:p>
          <w:p>
            <w:pPr>
              <w:pStyle w:val="null3"/>
            </w:pPr>
            <w:r>
              <w:rPr/>
              <w:t>（1）规格要求：≥500ml/瓶；</w:t>
            </w:r>
          </w:p>
          <w:p>
            <w:pPr>
              <w:pStyle w:val="null3"/>
            </w:pPr>
            <w:r>
              <w:rPr/>
              <w:t>（2）主要成分：主要由固定液、脱水液、透明液和清洗剂组成；</w:t>
            </w:r>
          </w:p>
          <w:p>
            <w:pPr>
              <w:pStyle w:val="null3"/>
            </w:pPr>
            <w:r>
              <w:rPr/>
              <w:t>（3）环保要求：试剂不含甲醛和苯等有毒致癌物质，可提供第三方检验报告；</w:t>
            </w:r>
          </w:p>
          <w:p>
            <w:pPr>
              <w:pStyle w:val="null3"/>
            </w:pPr>
            <w:r>
              <w:rPr/>
              <w:t>（4）试剂功能：仅使用一种试剂即可完成组织固定、脱水、透明过程；</w:t>
            </w:r>
          </w:p>
          <w:p>
            <w:pPr>
              <w:pStyle w:val="null3"/>
            </w:pPr>
            <w:r>
              <w:rPr/>
              <w:t>（5）试剂用途：用于生物组织样本的固定、脱水、透明一站式快速处理；</w:t>
            </w:r>
          </w:p>
          <w:p>
            <w:pPr>
              <w:pStyle w:val="null3"/>
            </w:pPr>
            <w:r>
              <w:rPr/>
              <w:t>（6）组织脱水时间：可在1-2小时内完成病理组织切片的前处理；</w:t>
            </w:r>
          </w:p>
          <w:p>
            <w:pPr>
              <w:pStyle w:val="null3"/>
            </w:pPr>
            <w:r>
              <w:rPr/>
              <w:t>（7）处理效果要求：不影响组织后续的免疫组化及分子病理检测，可以提供权威文献资料；</w:t>
            </w:r>
          </w:p>
          <w:p>
            <w:pPr>
              <w:pStyle w:val="null3"/>
            </w:pPr>
            <w:r>
              <w:rPr/>
              <w:t>（8）适用仪器：病理分析前处理设备；</w:t>
            </w:r>
          </w:p>
          <w:p>
            <w:pPr>
              <w:pStyle w:val="null3"/>
            </w:pPr>
            <w:r>
              <w:rPr/>
              <w:t>（9）储存及效期：要求常温密闭保存，有效期24个月（提供说明书）</w:t>
            </w:r>
          </w:p>
          <w:p>
            <w:pPr>
              <w:pStyle w:val="null3"/>
            </w:pPr>
            <w:r>
              <w:rPr/>
              <w:t>2.商务要求（以此为准）</w:t>
            </w:r>
          </w:p>
          <w:p>
            <w:pPr>
              <w:pStyle w:val="null3"/>
            </w:pPr>
            <w:r>
              <w:rPr/>
              <w:t>（1）交货期：接采购人通知后3个日历日内；</w:t>
            </w:r>
          </w:p>
          <w:p>
            <w:pPr>
              <w:pStyle w:val="null3"/>
            </w:pPr>
            <w:r>
              <w:rPr/>
              <w:t>（2）有效期：24个月；</w:t>
            </w:r>
          </w:p>
          <w:p>
            <w:pPr>
              <w:pStyle w:val="null3"/>
            </w:pPr>
            <w:r>
              <w:rPr/>
              <w:t>（3）交货地点：陕西中医药大学附属医院指定地点；</w:t>
            </w:r>
          </w:p>
          <w:p>
            <w:pPr>
              <w:pStyle w:val="null3"/>
            </w:pPr>
            <w:r>
              <w:rPr/>
              <w:t>（4）付款方式： 中标人若为生产厂家，甲方按照“三个月循环账期付款”；中标人若为非生产厂家，甲方按照"九个月循环账期付款"。在合同到期后，剩余应付合同款甲方分六个月平均付清(本项目耗材为单价采购，按实际使用量分阶段付款，具体以签订的合同为准)</w:t>
            </w:r>
          </w:p>
          <w:p>
            <w:pPr>
              <w:pStyle w:val="null3"/>
            </w:pPr>
            <w:r>
              <w:rPr/>
              <w:t>（5）合同履行期限：自合同签订之日3年。</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（一）病理分析前处理设备交货期为：合同签订之日起30个日历日内； （二）病理分析前处理试剂交货期为：接采购人通知后3个日历日内。</w:t>
      </w:r>
    </w:p>
    <w:p>
      <w:pPr>
        <w:pStyle w:val="null3"/>
        <w:outlineLvl w:val="3"/>
      </w:pPr>
      <w:r>
        <w:rPr>
          <w:sz w:val="24"/>
          <w:b/>
        </w:rPr>
        <w:t>3.4.2交货地点</w:t>
      </w:r>
    </w:p>
    <w:p>
      <w:pPr>
        <w:pStyle w:val="null3"/>
      </w:pPr>
      <w:r>
        <w:rPr/>
        <w:t>采购包1：</w:t>
      </w:r>
    </w:p>
    <w:p>
      <w:pPr>
        <w:pStyle w:val="null3"/>
      </w:pPr>
      <w:r>
        <w:rPr/>
        <w:t>陕西中医药大学附属医院指定地点。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“分期付款”为系统固定推述内容，具体付款方式以下列内容为准： （一）病理分析前处理设备付款方式为：验收合格一个月后支付合同款的60%，验收合格三个月后支付合同款的30%，正常使用满一年后支付合同款的5%，验收合格、正常使用满三年后支付合同款的5%。支付方式采用银行转账的形式</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 xml:space="preserve"> （二）病理分析前处理试剂付款方式为：中标人若为生产厂家，甲方按照“三个月循环账期付款”；中标人若为非生产厂家，甲方按照"九个月循环账期付款"。在合同到期后，剩余应付合同款甲方分六个月平均付清(本项目耗材为单价采购，按实际使用量分阶段付款，具体以签订的合同为准) </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本项目验收由采购人有关部门进行验收，投标人按采购方要求将全部货物到指定地点并完成配送服务及相关工作后，招标人组织验收，质量按招标文件的采购参数内容验收，质量达到现行合格标准，符合国家、行业、地方规定以及招标文件规定标准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（1）中标人所供货物须保证技术指标符合要求、质量性能可靠、进货渠道正常，全面满足招标文件要求，且货物不存在任何权利瑕疵。 （2）中标人所供货物如出现质量问题，招标人可以选择换货。换货后依然无法达到质量要求，招标人有权退货并终止合同，由此造成的损失全部由中标人承担。</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（2）中标人未按合同要求的提供产品或产品质量不能满足技术要求，招标人有权终止合同，甚至对中标人违约行为进行追究。 （3）如有纠纷，双方友好协商解决，协商不成时可诉讼到招标人所在地人民法院解决。</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供应商为向采购人提供相关货物及相应服务的法人或其他组织；</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供应商提供经会计师事务所审计的2022年或2023年的财务审计报告或在开标日期前六个月内其基本开户银行出具的资信证明；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供应商如为代理商和经销商的应提供合法有效的《医疗器械经营许可证》及拟投产品制造商的《医疗器械生产许可证》；及投标产品的医疗器械注册证或医疗器械备案凭证。供应商如为制造商应提供合法有效拟投产品的《医疗器械生产许可证》；及投标产品的医疗器械注册证或医疗器械备案凭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是否专门面向中小企业采购</w:t>
            </w:r>
          </w:p>
        </w:tc>
        <w:tc>
          <w:tcPr>
            <w:tcW w:type="dxa" w:w="3322"/>
          </w:tcPr>
          <w:p>
            <w:pPr>
              <w:pStyle w:val="null3"/>
            </w:pPr>
            <w:r>
              <w:rPr/>
              <w:t>本项目不专门面向中小企业采购；</w:t>
            </w:r>
          </w:p>
        </w:tc>
        <w:tc>
          <w:tcPr>
            <w:tcW w:type="dxa" w:w="1661"/>
          </w:tcPr>
          <w:p>
            <w:pPr>
              <w:pStyle w:val="null3"/>
            </w:pPr>
            <w:r>
              <w:rPr/>
              <w:t>中小企业声明函 供应商应提交的相关资格证明材料</w:t>
            </w:r>
          </w:p>
        </w:tc>
      </w:tr>
      <w:tr>
        <w:tc>
          <w:tcPr>
            <w:tcW w:type="dxa" w:w="831"/>
          </w:tcPr>
          <w:p>
            <w:pPr>
              <w:pStyle w:val="null3"/>
            </w:pPr>
            <w:r>
              <w:rPr/>
              <w:t>9</w:t>
            </w:r>
          </w:p>
        </w:tc>
        <w:tc>
          <w:tcPr>
            <w:tcW w:type="dxa" w:w="2492"/>
          </w:tcPr>
          <w:p>
            <w:pPr>
              <w:pStyle w:val="null3"/>
            </w:pPr>
            <w:r>
              <w:rPr/>
              <w:t>是否接受进口产品</w:t>
            </w:r>
          </w:p>
        </w:tc>
        <w:tc>
          <w:tcPr>
            <w:tcW w:type="dxa" w:w="3322"/>
          </w:tcPr>
          <w:p>
            <w:pPr>
              <w:pStyle w:val="null3"/>
            </w:pPr>
            <w:r>
              <w:rPr/>
              <w:t>本项目未做进口论证的产品，供应商所投的任何进口产品均不被接受。</w:t>
            </w:r>
          </w:p>
        </w:tc>
        <w:tc>
          <w:tcPr>
            <w:tcW w:type="dxa" w:w="1661"/>
          </w:tcPr>
          <w:p>
            <w:pPr>
              <w:pStyle w:val="null3"/>
            </w:pPr>
            <w:r>
              <w:rPr/>
              <w:t>标的清单 供应商应提交的相关资格证明材料 分项报价清单</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 号）、陕西省财政厅关于印发《陕西省中小企业政府采购信用融资办法》（陕财办采〔2018〕23 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商务应答表 供应商应提交的相关资格证明材料 质量保证 投标函 残疾人福利性单位声明函 标的清单 类似业绩表 投标文件封面 供货实施方案 技术指标响应偏离表 监狱企业的证明文件 分项报价清单</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售后服务方案 中小企业声明函 商务应答表 供应商应提交的相关资格证明材料 质量保证 投标函 残疾人福利性单位声明函 标的清单 类似业绩表 投标文件封面 供货实施方案 技术指标响应偏离表 监狱企业的证明文件 分项报价清单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中小企业声明函 商务应答表 供应商应提交的相关资格证明材料 质量保证 投标函 残疾人福利性单位声明函 标的清单 类似业绩表 投标文件封面 供货实施方案 技术指标响应偏离表 监狱企业的证明文件 分项报价清单</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中小企业声明函 商务应答表 供应商应提交的相关资格证明材料 质量保证 投标函 残疾人福利性单位声明函 标的清单 类似业绩表 投标文件封面 供货实施方案 技术指标响应偏离表 监狱企业的证明文件 分项报价清单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根据投标人拟投产品的产品技术和性能响应情况评审： 完全满足本项目采购技术参数的，得20分；采购技术参数有负偏离的，每一项扣1分；所有技术参数均负偏离的，本项总分按0分计。 （以供应商出具的：包含但不限于产品技术说明书、产品制造商公开发布的产品彩页、产品标准、使用说明书等技术指标和参数证明或支持文件为准，投标人应在投标文件中给出明确的证明材料索引。）</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技术指标响应偏离表</w:t>
            </w:r>
          </w:p>
        </w:tc>
      </w:tr>
      <w:tr>
        <w:tc>
          <w:tcPr>
            <w:tcW w:type="dxa" w:w="831"/>
            <w:vMerge/>
          </w:tcPr>
          <w:p/>
        </w:tc>
        <w:tc>
          <w:tcPr>
            <w:tcW w:type="dxa" w:w="1661"/>
          </w:tcPr>
          <w:p>
            <w:pPr>
              <w:pStyle w:val="null3"/>
            </w:pPr>
            <w:r>
              <w:rPr/>
              <w:t>供货实施方案1</w:t>
            </w:r>
          </w:p>
        </w:tc>
        <w:tc>
          <w:tcPr>
            <w:tcW w:type="dxa" w:w="2492"/>
          </w:tcPr>
          <w:p>
            <w:pPr>
              <w:pStyle w:val="null3"/>
            </w:pPr>
            <w:r>
              <w:rPr/>
              <w:t>1.根据投标人针对本项目提供的供货实施方案，做出合理计划及制订工作保障措施，进行评审：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供货实施方案2</w:t>
            </w:r>
          </w:p>
        </w:tc>
        <w:tc>
          <w:tcPr>
            <w:tcW w:type="dxa" w:w="2492"/>
          </w:tcPr>
          <w:p>
            <w:pPr>
              <w:pStyle w:val="null3"/>
            </w:pPr>
            <w:r>
              <w:rPr/>
              <w:t>2.投标人根据项目特点及招标人实际需求能够保障设备及耗材生产加工的相关保障措施，进行评审： 保障措施科学、合理，可行性高完全满足项目要求的得3.1-5分； 保障措施合理、不完整，基本能满足项目要求的得1.1-3分； 保障措施有较多欠缺的得0-1分； 未提供相关保障措施的得0分。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供货实施方案3</w:t>
            </w:r>
          </w:p>
        </w:tc>
        <w:tc>
          <w:tcPr>
            <w:tcW w:type="dxa" w:w="2492"/>
          </w:tcPr>
          <w:p>
            <w:pPr>
              <w:pStyle w:val="null3"/>
            </w:pPr>
            <w:r>
              <w:rPr/>
              <w:t>3.根据投标人提供能够及时有效的为招标人配送耗材且具有调配综合能力的相关证明材料，进行评审： 证明材料真实、有效可行，针对性强，能够确保招标人使用得3.1-5分； 证明材料相对完整，具有一定的针对性，基本能够保证招标人使用得1.1-3分； 证明材料简单粗略，表述不具体，无法完全保障招标人使用得0-1分； 未提供不的得0分。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供货实施方案4</w:t>
            </w:r>
          </w:p>
        </w:tc>
        <w:tc>
          <w:tcPr>
            <w:tcW w:type="dxa" w:w="2492"/>
          </w:tcPr>
          <w:p>
            <w:pPr>
              <w:pStyle w:val="null3"/>
            </w:pPr>
            <w:r>
              <w:rPr/>
              <w:t>4.根据投标人针对本项目提供的配送团队配置情况进行评审： 配送团队配置经验丰富，协调能力及人员配备分工合理，责任明确，完整详尽，完全能够保障本项目实施的得3.1-5分； 配送团队配置经验丰富，协调能力及人员配备分工合理，责任明确，较为完善，针对性一般，基本上保障本项目实施的得1.1-3分； 配送团队配置及协调能力及人员配备分工不合存在部分缺陷和不足的得0-1分；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供货实施方案5</w:t>
            </w:r>
          </w:p>
        </w:tc>
        <w:tc>
          <w:tcPr>
            <w:tcW w:type="dxa" w:w="2492"/>
          </w:tcPr>
          <w:p>
            <w:pPr>
              <w:pStyle w:val="null3"/>
            </w:pPr>
            <w:r>
              <w:rPr/>
              <w:t>5.根据投标人针对本项目耗材产品运输过程中对产品的保护措施: 保障措施科学、合理，可行性高完全满足项目要求的得3.1-5分； 保障措施合理、不完整，基本能满足项目要求的得1.1-3分； 保障措施有较多欠缺的得0-1分； 未提供相关保障措施的得0分。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耗材出现故障或不能正常工作时候的应急方案（包括但不限于确保设备正常使用的应急措施、提供相同产品或不低于故障产品规格档次的备用产品供采购人使用的使用承诺）进行评审： 应急方案详细可行，针对性强，能够确保招标人使用得3.1-5分；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质量保证</w:t>
            </w:r>
          </w:p>
        </w:tc>
        <w:tc>
          <w:tcPr>
            <w:tcW w:type="dxa" w:w="2492"/>
          </w:tcPr>
          <w:p>
            <w:pPr>
              <w:pStyle w:val="null3"/>
            </w:pPr>
            <w:r>
              <w:rPr/>
              <w:t>根据投标人提供的所投产品的合法来源渠道和生产厂家实力等与产品质量相关的证明材料进行综合评审： 合法来源渠道和生产厂家实力证明等材料种类齐全、详细、充分的得3.1-5分； 合法来源渠道和生产厂家实力等证明材料较完整的得1.1-3分； 法来源渠道和生产厂家实力等证明材料有较多缺失的得0.1-1分；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投标文件中提供该投标人自2021年8月1日起至今的类似项目业绩证明材料，每提供一份业绩合同得2分，满分为10分，不得重复累计。 注：以合同签订时间为准，投标人应在投标文件中提供业绩合同复印件或扫描件且加盖单位公章。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投标人自主填报投标报价，其投标报价均不得超过本项目招标文件中规定的设备及耗材的单价最高限价，否则按照无效投标处理。其中【病理分析前处理设备】价格分值为：5分； 【病理分析前处理试剂】价格分值为：25分；合计总分价格分值为30分。评标基准价：即满足招标文件要求且报价最低的为评标基准价，其他供应商的价格分统一按照下列公式计算，投标报价得分=(评标基准价/投标报价)×价格分值。备注：投标报价总得分=【病理分析前处理设备】报价得分+【病理分析前处理试剂】报价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详见附件：分项报价清单</w:t>
      </w:r>
    </w:p>
    <w:p>
      <w:pPr>
        <w:pStyle w:val="null3"/>
        <w:ind w:firstLine="960"/>
      </w:pPr>
      <w:r>
        <w:rPr/>
        <w:t>详见附件：技术指标响应偏离表</w:t>
      </w:r>
    </w:p>
    <w:p>
      <w:pPr>
        <w:pStyle w:val="null3"/>
        <w:ind w:firstLine="960"/>
      </w:pPr>
      <w:r>
        <w:rPr/>
        <w:t>详见附件：供货实施方案</w:t>
      </w:r>
    </w:p>
    <w:p>
      <w:pPr>
        <w:pStyle w:val="null3"/>
        <w:ind w:firstLine="960"/>
      </w:pPr>
      <w:r>
        <w:rPr/>
        <w:t>详见附件：售后服务方案</w:t>
      </w:r>
    </w:p>
    <w:p>
      <w:pPr>
        <w:pStyle w:val="null3"/>
        <w:ind w:firstLine="960"/>
      </w:pPr>
      <w:r>
        <w:rPr/>
        <w:t>详见附件：质量保证</w:t>
      </w:r>
    </w:p>
    <w:p>
      <w:pPr>
        <w:pStyle w:val="null3"/>
        <w:ind w:firstLine="960"/>
      </w:pPr>
      <w:r>
        <w:rPr/>
        <w:t>详见附件：类似业绩表</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详见附件：拟签订的合同参考文本.docx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