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版本号：240801003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全省无线电检测仪器仪表运行维护项目</w:t>
      </w:r>
    </w:p>
    <w:p>
      <w:pPr>
        <w:pStyle w:val="null3"/>
        <w:jc w:val="center"/>
        <w:outlineLvl w:val="2"/>
      </w:pPr>
      <w:r>
        <w:rPr>
          <w:sz w:val="28"/>
          <w:b/>
        </w:rPr>
        <w:t>采购项目编号：</w:t>
      </w:r>
      <w:r>
        <w:rPr>
          <w:sz w:val="28"/>
          <w:b/>
        </w:rPr>
        <w:t>SXYFC2024-102</w:t>
      </w:r>
      <w:r>
        <w:br/>
      </w:r>
      <w:r>
        <w:br/>
      </w:r>
      <w:r>
        <w:br/>
      </w:r>
    </w:p>
    <w:p>
      <w:pPr>
        <w:pStyle w:val="null3"/>
        <w:jc w:val="center"/>
        <w:outlineLvl w:val="2"/>
      </w:pPr>
      <w:r>
        <w:rPr>
          <w:sz w:val="28"/>
          <w:b/>
        </w:rPr>
        <w:t>陕西省无线电管理委员会机关</w:t>
      </w:r>
    </w:p>
    <w:p>
      <w:pPr>
        <w:pStyle w:val="null3"/>
        <w:jc w:val="center"/>
        <w:outlineLvl w:val="2"/>
      </w:pPr>
      <w:r>
        <w:rPr>
          <w:sz w:val="28"/>
          <w:b/>
        </w:rPr>
        <w:t>陕西源丰成工程项目管理有限公司</w:t>
      </w:r>
      <w:r>
        <w:rPr>
          <w:sz w:val="28"/>
          <w:b/>
        </w:rPr>
        <w:t>共同编制</w:t>
      </w:r>
    </w:p>
    <w:p>
      <w:pPr>
        <w:pStyle w:val="null3"/>
        <w:jc w:val="center"/>
        <w:outlineLvl w:val="2"/>
      </w:pPr>
      <w:r>
        <w:rPr>
          <w:sz w:val="28"/>
          <w:b/>
        </w:rPr>
        <w:t>2024年08月01日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陕西源丰成工程项目管理有限公司</w:t>
      </w:r>
      <w:r>
        <w:rPr/>
        <w:t>（以下简称“代理机构”）受</w:t>
      </w:r>
      <w:r>
        <w:rPr/>
        <w:t>陕西省无线电管理委员会机关</w:t>
      </w:r>
      <w:r>
        <w:rPr/>
        <w:t>委托，拟对</w:t>
      </w:r>
      <w:r>
        <w:rPr/>
        <w:t>全省无线电检测仪器仪表运行维护项目</w:t>
      </w:r>
      <w:r>
        <w:rPr/>
        <w:t>进行国内公开招标，兹邀请符合本次招标要求的供应商参加投标。</w:t>
      </w:r>
    </w:p>
    <w:p>
      <w:pPr>
        <w:pStyle w:val="null3"/>
        <w:outlineLvl w:val="2"/>
      </w:pPr>
      <w:r>
        <w:rPr>
          <w:sz w:val="28"/>
          <w:b/>
        </w:rPr>
        <w:t>一、采购项目编号：</w:t>
      </w:r>
      <w:r>
        <w:rPr>
          <w:sz w:val="28"/>
          <w:b/>
        </w:rPr>
        <w:t>SXYFC2024-102</w:t>
      </w:r>
    </w:p>
    <w:p>
      <w:pPr>
        <w:pStyle w:val="null3"/>
        <w:outlineLvl w:val="2"/>
      </w:pPr>
      <w:r>
        <w:rPr>
          <w:sz w:val="28"/>
          <w:b/>
        </w:rPr>
        <w:t>二、采购项目名称：</w:t>
      </w:r>
      <w:r>
        <w:rPr>
          <w:sz w:val="28"/>
          <w:b/>
        </w:rPr>
        <w:t>全省无线电检测仪器仪表运行维护项目</w:t>
      </w:r>
    </w:p>
    <w:p>
      <w:pPr>
        <w:pStyle w:val="null3"/>
        <w:outlineLvl w:val="2"/>
      </w:pPr>
      <w:r>
        <w:rPr>
          <w:sz w:val="28"/>
          <w:b/>
        </w:rPr>
        <w:t>三、招标项目简介</w:t>
      </w:r>
    </w:p>
    <w:p>
      <w:pPr>
        <w:pStyle w:val="null3"/>
        <w:ind w:firstLine="480"/>
      </w:pPr>
      <w:r>
        <w:rPr/>
        <w:t>为保证陕西省无线电管理委员会办公室在用的无线电设备管理系统和设备的正常运行，发挥系统和设备的最大效能，规范无线电管理的日常和应急保障工作，保证设备的完好率和使用率，提高单位技术人员理论和使用水平，根据设备管理要求和设备配置情况，在现行国家对于设备管理和维护的规范化要求下，根据现有系统设备配置情况和采购来源，通过本项目对陕西省无线电管理委员会办公室已购置的仪器设备和相应测试软件进行常规性运行维护。</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1、营业执照：供应商为合法注册的法人或其他组织或自然人，提供营业执照（或事业法人证）；自然人提供身份证明</w:t>
      </w:r>
    </w:p>
    <w:p>
      <w:pPr>
        <w:pStyle w:val="null3"/>
      </w:pPr>
      <w:r>
        <w:rPr/>
        <w:t>2、法定代表人及法定代表人委托授权书：法定代表人（主要负责人）委托代理人参加投标时，应提供法定代表人（主要负责人）委托授权书；法定代表人（主要负责人）亲自参加投标时，应提供法定代表人（主要负责人）身份证明</w:t>
      </w:r>
    </w:p>
    <w:p>
      <w:pPr>
        <w:pStyle w:val="null3"/>
      </w:pPr>
      <w:r>
        <w:rPr/>
        <w:t>3、具备履行合同所必须的设备和专业技术能力的说明及承诺：具备履行合同所必须的设备和专业技术能力的说明及承诺</w:t>
      </w:r>
    </w:p>
    <w:p>
      <w:pPr>
        <w:pStyle w:val="null3"/>
      </w:pPr>
      <w:r>
        <w:rPr/>
        <w:t>4、供应商在近三年经营活动中没有重大违法记录的声明：供应商在近三年经营活动中没有重大违法记录的声明</w:t>
      </w:r>
    </w:p>
    <w:p>
      <w:pPr>
        <w:pStyle w:val="null3"/>
      </w:pPr>
      <w:r>
        <w:rPr/>
        <w:t>5、财务状况报告：财务状况报告（二选一）：①供应商提供2022年度或2023年度任一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pPr>
        <w:pStyle w:val="null3"/>
      </w:pPr>
      <w:r>
        <w:rPr/>
        <w:t>6、税收缴纳证明：税收缴纳证明：供应商提供2024年1月至今已缴纳的至少一个月的纳税证明或完税证明（任意税种）；依法免税的单位应提供相关文件证明</w:t>
      </w:r>
    </w:p>
    <w:p>
      <w:pPr>
        <w:pStyle w:val="null3"/>
      </w:pPr>
      <w:r>
        <w:rPr/>
        <w:t>7、社会保障资金缴纳证明：社会保障资金缴纳证明：供应商提供2024年1月至今已缴存的至少一个月的社会保障资金缴存单据或社保机构开具的社会保险参保缴费情况证明，依法不需要缴纳社会保障资金的单位应提供相关证明材料</w:t>
      </w:r>
    </w:p>
    <w:p>
      <w:pPr>
        <w:pStyle w:val="null3"/>
      </w:pPr>
      <w:r>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t>9、本项目不接受联合体投标：本项目不接受联合体投标（提供非联合体承诺书）</w:t>
      </w:r>
    </w:p>
    <w:p>
      <w:pPr>
        <w:pStyle w:val="null3"/>
      </w:pPr>
      <w:r>
        <w:rPr/>
        <w:t>10、控股管理关系：单位负责人为同一人或者存在控股、管理关系的不同单位不得同时投标（提供供应商企业关系关联承诺书）</w:t>
      </w:r>
    </w:p>
    <w:p>
      <w:pPr>
        <w:pStyle w:val="null3"/>
      </w:pPr>
      <w:r>
        <w:rPr/>
        <w:t>11、投标保证金：投标保证金交纳凭证及基本账户存款信息</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陕西省无线电管理委员会机关</w:t>
      </w:r>
    </w:p>
    <w:p>
      <w:pPr>
        <w:pStyle w:val="null3"/>
      </w:pPr>
      <w:r>
        <w:rPr/>
        <w:t xml:space="preserve"> 地址： </w:t>
      </w:r>
      <w:r>
        <w:rPr/>
        <w:t>省政府新城大院四号楼</w:t>
      </w:r>
    </w:p>
    <w:p>
      <w:pPr>
        <w:pStyle w:val="null3"/>
      </w:pPr>
      <w:r>
        <w:rPr/>
        <w:t xml:space="preserve"> 邮编： </w:t>
      </w:r>
      <w:r>
        <w:rPr/>
        <w:t>710000</w:t>
      </w:r>
    </w:p>
    <w:p>
      <w:pPr>
        <w:pStyle w:val="null3"/>
      </w:pPr>
      <w:r>
        <w:rPr/>
        <w:t xml:space="preserve"> 联系人： </w:t>
      </w:r>
      <w:r>
        <w:rPr/>
        <w:t>马老师</w:t>
      </w:r>
    </w:p>
    <w:p>
      <w:pPr>
        <w:pStyle w:val="null3"/>
      </w:pPr>
      <w:r>
        <w:rPr/>
        <w:t xml:space="preserve"> 联系电话： </w:t>
      </w:r>
      <w:r>
        <w:rPr/>
        <w:t>029-88360538</w:t>
      </w:r>
    </w:p>
    <w:p>
      <w:pPr>
        <w:pStyle w:val="null3"/>
        <w:outlineLvl w:val="2"/>
      </w:pPr>
      <w:r>
        <w:rPr>
          <w:sz w:val="28"/>
          <w:b/>
        </w:rPr>
        <w:t>代理机构：</w:t>
      </w:r>
      <w:r>
        <w:rPr>
          <w:sz w:val="28"/>
          <w:b/>
        </w:rPr>
        <w:t>陕西源丰成工程项目管理有限公司</w:t>
      </w:r>
    </w:p>
    <w:p>
      <w:pPr>
        <w:pStyle w:val="null3"/>
      </w:pPr>
      <w:r>
        <w:rPr/>
        <w:t xml:space="preserve"> 地址： </w:t>
      </w:r>
      <w:r>
        <w:rPr/>
        <w:t>陕西省西安市雁塔区陕西省西安市雁塔区丈八街办科技五路8号数字大厦10508室</w:t>
      </w:r>
    </w:p>
    <w:p>
      <w:pPr>
        <w:pStyle w:val="null3"/>
      </w:pPr>
      <w:r>
        <w:rPr/>
        <w:t xml:space="preserve"> 邮编： </w:t>
      </w:r>
      <w:r>
        <w:rPr/>
        <w:t>710018</w:t>
      </w:r>
    </w:p>
    <w:p>
      <w:pPr>
        <w:pStyle w:val="null3"/>
      </w:pPr>
      <w:r>
        <w:rPr/>
        <w:t xml:space="preserve"> 联系人： </w:t>
      </w:r>
      <w:r>
        <w:rPr/>
        <w:t>刘工</w:t>
      </w:r>
    </w:p>
    <w:p>
      <w:pPr>
        <w:pStyle w:val="null3"/>
      </w:pPr>
      <w:r>
        <w:rPr/>
        <w:t xml:space="preserve"> 联系电话： </w:t>
      </w:r>
      <w:r>
        <w:rPr/>
        <w:t>029-88229046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采购包1保证金金额：35,000.00元</w:t>
            </w:r>
          </w:p>
          <w:p>
            <w:pPr>
              <w:pStyle w:val="null3"/>
            </w:pPr>
            <w:r>
              <w:rPr/>
              <w:t>缴交渠道：电子保函,转账、支票、汇票等（需通过实体账户、户名及开户行信息）</w:t>
            </w:r>
          </w:p>
          <w:p>
            <w:pPr>
              <w:pStyle w:val="null3"/>
            </w:pPr>
            <w:r>
              <w:rPr/>
              <w:t>开户名称：陕西源丰成工程项目管理有限公司</w:t>
            </w:r>
          </w:p>
          <w:p>
            <w:pPr>
              <w:pStyle w:val="null3"/>
            </w:pPr>
            <w:r>
              <w:rPr/>
              <w:t>开户银行：交通银行西安唐延路支行</w:t>
            </w:r>
          </w:p>
          <w:p>
            <w:pPr>
              <w:pStyle w:val="null3"/>
            </w:pPr>
            <w:r>
              <w:rPr/>
              <w:t>银行账号：611301072013000059267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代理服务费收费标准：中标人在领取中标通知书时，向招标代理公司交纳招标代理服务费。服务费收费标准参照原《国家计委关于印发&lt;招标代理服务收费管理暂行办法&gt;的通知》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户名：陕西源丰成工程项目管理有限公司 账号：6113 0107 2013 0000 59267 开户行：交通银行西安唐延路支行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陕西省无线电管理委员会机关</w:t>
      </w:r>
      <w:r>
        <w:rPr/>
        <w:t>和</w:t>
      </w:r>
      <w:r>
        <w:rPr/>
        <w:t>陕西源丰成工程项目管理有限公司</w:t>
      </w:r>
      <w:r>
        <w:rPr/>
        <w:t>享有。对招标文件中供应商参加本次政府采购活动应当具备的条件，招标项目技术、服务、商务及其他要求，评标细则及标准由</w:t>
      </w:r>
      <w:r>
        <w:rPr/>
        <w:t>陕西省无线电管理委员会机关</w:t>
      </w:r>
      <w:r>
        <w:rPr/>
        <w:t>负责解释。除上述招标文件内容，其他内容由</w:t>
      </w:r>
      <w:r>
        <w:rPr/>
        <w:t>陕西源丰成工程项目管理有限公司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陕西省无线电管理委员会机关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陕西源丰成工程项目管理有限公司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满足招标文件和采购人规范标准要求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陕西源丰成工程项目管理有限公司</w:t>
      </w:r>
      <w:r>
        <w:rPr/>
        <w:t xml:space="preserve"> 负责答复；供应商对除采购需求外的采购文件的询问、质疑由</w:t>
      </w:r>
      <w:r>
        <w:rPr/>
        <w:t>陕西源丰成工程项目管理有限公司</w:t>
      </w:r>
      <w:r>
        <w:rPr/>
        <w:t xml:space="preserve"> 负责答复；供应商对采购过程、采购结果的询问、质疑由 </w:t>
      </w:r>
      <w:r>
        <w:rPr/>
        <w:t>陕西源丰成工程项目管理有限公司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联系人：刘工</w:t>
      </w:r>
    </w:p>
    <w:p>
      <w:pPr>
        <w:pStyle w:val="null3"/>
      </w:pPr>
      <w:r>
        <w:rPr/>
        <w:t>联系电话：029-88229046</w:t>
      </w:r>
    </w:p>
    <w:p>
      <w:pPr>
        <w:pStyle w:val="null3"/>
      </w:pPr>
      <w:r>
        <w:rPr/>
        <w:t>地址：西安市经济开发区凤城十一路与文景路十字西北角文景广场C座1201室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保证陕西省无线电管理委员会办公室在用的无线电设备管理系统和设备的正常运行，发挥系统和设备的最大效能，规范无线电管理的日常和应急保障工作，保证设备的完好率和使用率，提高单位技术人员理论和使用水平，根据设备管理要求和设备配置情况，在现行国家对于设备管理和维护的规范化要求下，根据现有系统设备配置情况和采购来源，通过本项目对陕西省无线电管理委员会办公室已购置的仪器设备和相应测试软件进行常规性运行维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1,850,000.00</w:t>
      </w:r>
    </w:p>
    <w:p>
      <w:pPr>
        <w:pStyle w:val="null3"/>
      </w:pPr>
      <w:r>
        <w:rPr/>
        <w:t>采购包最高限价（元）: 1,850,000.00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全省无线电检测仪器仪表运行维护</w:t>
            </w:r>
          </w:p>
        </w:tc>
        <w:tc>
          <w:tcPr>
            <w:tcW w:type="dxa" w:w="831"/>
          </w:tcPr>
          <w:p>
            <w:pPr>
              <w:pStyle w:val="null3"/>
              <w:jc w:val="right"/>
            </w:pPr>
            <w:r>
              <w:rPr/>
              <w:t>1.00</w:t>
            </w:r>
          </w:p>
        </w:tc>
        <w:tc>
          <w:tcPr>
            <w:tcW w:type="dxa" w:w="831"/>
          </w:tcPr>
          <w:p>
            <w:pPr>
              <w:pStyle w:val="null3"/>
              <w:jc w:val="right"/>
            </w:pPr>
            <w:r>
              <w:rPr/>
              <w:t>1,850,000.00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标的名称：全省无线电检测仪器仪表运行维护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02"/>
              <w:jc w:val="both"/>
            </w:pPr>
            <w:r>
              <w:rPr>
                <w:rFonts w:ascii="宋体" w:hAnsi="宋体" w:cs="宋体" w:eastAsia="宋体"/>
                <w:sz w:val="30"/>
                <w:b/>
              </w:rPr>
              <w:t>项目技术、服务要求</w:t>
            </w:r>
          </w:p>
          <w:p>
            <w:pPr>
              <w:pStyle w:val="null3"/>
              <w:ind w:firstLine="480"/>
              <w:jc w:val="both"/>
            </w:pPr>
            <w:r>
              <w:rPr>
                <w:rFonts w:ascii="宋体" w:hAnsi="宋体" w:cs="宋体" w:eastAsia="宋体"/>
                <w:sz w:val="24"/>
              </w:rPr>
              <w:t>一、项目概述</w:t>
            </w:r>
          </w:p>
          <w:p>
            <w:pPr>
              <w:pStyle w:val="null3"/>
              <w:ind w:firstLine="480"/>
              <w:jc w:val="both"/>
            </w:pPr>
            <w:r>
              <w:rPr>
                <w:rFonts w:ascii="宋体" w:hAnsi="宋体" w:cs="宋体" w:eastAsia="宋体"/>
                <w:sz w:val="24"/>
              </w:rPr>
              <w:t>为保证陕西省无线电管理委员会办公室在用的无线电设备管理系统和设备的正常运行，发挥系统和设备的最大效能，规范无线电管理的日常和应急保障工作，保证设备的完好率和使用率，提高单位技术人员理论和使用水平，根据设备管理要求和设备配置情况，在现行国家对于设备管理和维护的规范化要求下，根据现有系统设备配置情况和采购来源，通过本项目对陕西省无线电管理委员会办公室已购置的仪器设备和相应测试软件进行常规性运行维护。</w:t>
            </w:r>
          </w:p>
          <w:p>
            <w:pPr>
              <w:pStyle w:val="null3"/>
              <w:ind w:firstLine="480"/>
              <w:jc w:val="both"/>
            </w:pPr>
            <w:r>
              <w:rPr>
                <w:rFonts w:ascii="宋体" w:hAnsi="宋体" w:cs="宋体" w:eastAsia="宋体"/>
                <w:sz w:val="24"/>
              </w:rPr>
              <w:t>二、总体要求</w:t>
            </w:r>
          </w:p>
          <w:p>
            <w:pPr>
              <w:pStyle w:val="null3"/>
              <w:ind w:firstLine="480"/>
              <w:jc w:val="both"/>
            </w:pPr>
            <w:r>
              <w:rPr>
                <w:rFonts w:ascii="宋体" w:hAnsi="宋体" w:cs="宋体" w:eastAsia="宋体"/>
                <w:sz w:val="24"/>
              </w:rPr>
              <w:t>提供陕西省全省检测类无线电设备运行维护服务，包括仪器设备状态和功能常规巡检和维护，测试附件状态和功能常规巡检和维护、系统连接性和系统软件维护、系统合理化建议、检测技术培训、重大活动现场技术支持和保障等内容</w:t>
            </w:r>
            <w:r>
              <w:rPr>
                <w:rFonts w:ascii="宋体" w:hAnsi="宋体" w:cs="宋体" w:eastAsia="宋体"/>
                <w:sz w:val="24"/>
              </w:rPr>
              <w:t>；为</w:t>
            </w:r>
            <w:r>
              <w:rPr>
                <w:rFonts w:ascii="宋体" w:hAnsi="宋体" w:cs="宋体" w:eastAsia="宋体"/>
                <w:sz w:val="24"/>
              </w:rPr>
              <w:t>陕西省无线电监测站</w:t>
            </w:r>
            <w:r>
              <w:rPr>
                <w:rFonts w:ascii="宋体" w:hAnsi="宋体" w:cs="宋体" w:eastAsia="宋体"/>
                <w:sz w:val="24"/>
              </w:rPr>
              <w:t>CMA实验室</w:t>
            </w:r>
            <w:r>
              <w:rPr>
                <w:rFonts w:ascii="宋体" w:hAnsi="宋体" w:cs="宋体" w:eastAsia="宋体"/>
                <w:sz w:val="24"/>
              </w:rPr>
              <w:t>质量管理体系运行进行日常维护。</w:t>
            </w:r>
          </w:p>
          <w:p>
            <w:pPr>
              <w:pStyle w:val="null3"/>
              <w:ind w:firstLine="480"/>
              <w:jc w:val="both"/>
            </w:pPr>
            <w:r>
              <w:rPr>
                <w:rFonts w:ascii="宋体" w:hAnsi="宋体" w:cs="宋体" w:eastAsia="宋体"/>
                <w:sz w:val="24"/>
              </w:rPr>
              <w:t>三、工作内容</w:t>
            </w:r>
          </w:p>
          <w:p>
            <w:pPr>
              <w:pStyle w:val="null3"/>
              <w:ind w:firstLine="480"/>
              <w:jc w:val="both"/>
            </w:pPr>
            <w:r>
              <w:rPr>
                <w:rFonts w:ascii="宋体" w:hAnsi="宋体" w:cs="宋体" w:eastAsia="宋体"/>
                <w:sz w:val="24"/>
              </w:rPr>
              <w:t>1、相关仪器设备的状态巡检和维护保养，每季度一次；</w:t>
            </w:r>
          </w:p>
          <w:p>
            <w:pPr>
              <w:pStyle w:val="null3"/>
              <w:ind w:firstLine="480"/>
              <w:jc w:val="both"/>
            </w:pPr>
            <w:r>
              <w:rPr>
                <w:rFonts w:ascii="宋体" w:hAnsi="宋体" w:cs="宋体" w:eastAsia="宋体"/>
                <w:sz w:val="24"/>
              </w:rPr>
              <w:t>2、相关测试附件的状态巡检和维护保养，每季度一次；</w:t>
            </w:r>
          </w:p>
          <w:p>
            <w:pPr>
              <w:pStyle w:val="null3"/>
              <w:ind w:firstLine="480"/>
              <w:jc w:val="both"/>
            </w:pPr>
            <w:r>
              <w:rPr>
                <w:rFonts w:ascii="宋体" w:hAnsi="宋体" w:cs="宋体" w:eastAsia="宋体"/>
                <w:sz w:val="24"/>
              </w:rPr>
              <w:t>3、相关检测系统的状态巡检和维护保养，每季度一次；</w:t>
            </w:r>
          </w:p>
          <w:p>
            <w:pPr>
              <w:pStyle w:val="null3"/>
              <w:ind w:firstLine="480"/>
              <w:jc w:val="both"/>
            </w:pPr>
            <w:r>
              <w:rPr>
                <w:rFonts w:ascii="宋体" w:hAnsi="宋体" w:cs="宋体" w:eastAsia="宋体"/>
                <w:sz w:val="24"/>
              </w:rPr>
              <w:t>4、仪器设备和检测系统的故障的初步诊断、处理和维修；</w:t>
            </w:r>
          </w:p>
          <w:p>
            <w:pPr>
              <w:pStyle w:val="null3"/>
              <w:ind w:firstLine="480"/>
              <w:jc w:val="both"/>
            </w:pPr>
            <w:r>
              <w:rPr>
                <w:rFonts w:ascii="宋体" w:hAnsi="宋体" w:cs="宋体" w:eastAsia="宋体"/>
                <w:sz w:val="24"/>
              </w:rPr>
              <w:t>5、检测实验室（含屏蔽室）常规巡检，对设备安全巡检、设备环境清洁，每季度一次；</w:t>
            </w:r>
          </w:p>
          <w:p>
            <w:pPr>
              <w:pStyle w:val="null3"/>
              <w:ind w:firstLine="480"/>
              <w:jc w:val="both"/>
            </w:pPr>
            <w:r>
              <w:rPr>
                <w:rFonts w:ascii="宋体" w:hAnsi="宋体" w:cs="宋体" w:eastAsia="宋体"/>
                <w:sz w:val="24"/>
              </w:rPr>
              <w:t>6、检测系统软件平台的日常维护；</w:t>
            </w:r>
          </w:p>
          <w:p>
            <w:pPr>
              <w:pStyle w:val="null3"/>
              <w:ind w:firstLine="480"/>
              <w:jc w:val="both"/>
            </w:pPr>
            <w:r>
              <w:rPr>
                <w:rFonts w:ascii="宋体" w:hAnsi="宋体" w:cs="宋体" w:eastAsia="宋体"/>
                <w:sz w:val="24"/>
              </w:rPr>
              <w:t>7、检测系统手动、自动比对实验；</w:t>
            </w:r>
          </w:p>
          <w:p>
            <w:pPr>
              <w:pStyle w:val="null3"/>
              <w:ind w:firstLine="480"/>
              <w:jc w:val="both"/>
            </w:pPr>
            <w:r>
              <w:rPr>
                <w:rFonts w:ascii="宋体" w:hAnsi="宋体" w:cs="宋体" w:eastAsia="宋体"/>
                <w:sz w:val="24"/>
              </w:rPr>
              <w:t>8、检测系统更新（如有需要）；</w:t>
            </w:r>
          </w:p>
          <w:p>
            <w:pPr>
              <w:pStyle w:val="null3"/>
              <w:ind w:firstLine="480"/>
              <w:jc w:val="both"/>
            </w:pPr>
            <w:r>
              <w:rPr>
                <w:rFonts w:ascii="宋体" w:hAnsi="宋体" w:cs="宋体" w:eastAsia="宋体"/>
                <w:sz w:val="24"/>
              </w:rPr>
              <w:t>9、检测设备、检测技术、检测标准等培训；</w:t>
            </w:r>
          </w:p>
          <w:p>
            <w:pPr>
              <w:pStyle w:val="null3"/>
              <w:ind w:firstLine="480"/>
              <w:jc w:val="both"/>
            </w:pPr>
            <w:r>
              <w:rPr>
                <w:rFonts w:ascii="宋体" w:hAnsi="宋体" w:cs="宋体" w:eastAsia="宋体"/>
                <w:sz w:val="24"/>
              </w:rPr>
              <w:t>10、设备、系统日常使用技术支持；</w:t>
            </w:r>
          </w:p>
          <w:p>
            <w:pPr>
              <w:pStyle w:val="null3"/>
              <w:ind w:firstLine="480"/>
              <w:jc w:val="both"/>
            </w:pPr>
            <w:r>
              <w:rPr>
                <w:rFonts w:ascii="宋体" w:hAnsi="宋体" w:cs="宋体" w:eastAsia="宋体"/>
                <w:sz w:val="24"/>
              </w:rPr>
              <w:t>11、重大任务现场技术保障；</w:t>
            </w:r>
          </w:p>
          <w:p>
            <w:pPr>
              <w:pStyle w:val="null3"/>
              <w:ind w:firstLine="480"/>
              <w:jc w:val="both"/>
            </w:pPr>
            <w:r>
              <w:rPr>
                <w:rFonts w:ascii="宋体" w:hAnsi="宋体" w:cs="宋体" w:eastAsia="宋体"/>
                <w:sz w:val="24"/>
              </w:rPr>
              <w:t>12、为</w:t>
            </w:r>
            <w:r>
              <w:rPr>
                <w:rFonts w:ascii="宋体" w:hAnsi="宋体" w:cs="宋体" w:eastAsia="宋体"/>
                <w:sz w:val="24"/>
              </w:rPr>
              <w:t>陕西省无线电监测站</w:t>
            </w:r>
            <w:r>
              <w:rPr>
                <w:rFonts w:ascii="宋体" w:hAnsi="宋体" w:cs="宋体" w:eastAsia="宋体"/>
                <w:sz w:val="24"/>
              </w:rPr>
              <w:t>CMA实验室</w:t>
            </w:r>
            <w:r>
              <w:rPr>
                <w:rFonts w:ascii="宋体" w:hAnsi="宋体" w:cs="宋体" w:eastAsia="宋体"/>
                <w:sz w:val="24"/>
              </w:rPr>
              <w:t>质量管理体系运行进行日常维护，对实验室内的检测设备进行计量校准。</w:t>
            </w:r>
          </w:p>
          <w:p>
            <w:pPr>
              <w:pStyle w:val="null3"/>
              <w:ind w:firstLine="480"/>
              <w:jc w:val="both"/>
            </w:pPr>
            <w:r>
              <w:rPr>
                <w:rFonts w:ascii="宋体" w:hAnsi="宋体" w:cs="宋体" w:eastAsia="宋体"/>
                <w:sz w:val="24"/>
              </w:rPr>
              <w:t>四、服务范围</w:t>
            </w:r>
          </w:p>
          <w:p>
            <w:pPr>
              <w:pStyle w:val="null3"/>
              <w:ind w:firstLine="480"/>
              <w:jc w:val="both"/>
            </w:pPr>
            <w:r>
              <w:rPr>
                <w:rFonts w:ascii="宋体" w:hAnsi="宋体" w:cs="宋体" w:eastAsia="宋体"/>
                <w:sz w:val="24"/>
              </w:rPr>
              <w:t>（一）设备清单和维护内容</w:t>
            </w:r>
          </w:p>
          <w:p>
            <w:pPr>
              <w:pStyle w:val="null3"/>
              <w:ind w:firstLine="480"/>
              <w:jc w:val="both"/>
            </w:pPr>
            <w:r>
              <w:rPr>
                <w:rFonts w:ascii="宋体" w:hAnsi="宋体" w:cs="宋体" w:eastAsia="宋体"/>
                <w:sz w:val="24"/>
              </w:rPr>
              <w:t>1、硬件设备</w:t>
            </w:r>
          </w:p>
          <w:tbl>
            <w:tblPr>
              <w:tblBorders>
                <w:top w:val="none" w:color="000000" w:sz="4"/>
                <w:left w:val="none" w:color="000000" w:sz="4"/>
                <w:bottom w:val="none" w:color="000000" w:sz="4"/>
                <w:right w:val="none" w:color="000000" w:sz="4"/>
                <w:insideH w:val="none"/>
                <w:insideV w:val="none"/>
              </w:tblBorders>
            </w:tblPr>
            <w:tblGrid>
              <w:gridCol w:w="1044"/>
              <w:gridCol w:w="1327"/>
            </w:tblGrid>
            <w:tr>
              <w:tc>
                <w:tcPr>
                  <w:tcW w:type="dxa" w:w="104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设备和系统名称</w:t>
                  </w:r>
                </w:p>
              </w:tc>
              <w:tc>
                <w:tcPr>
                  <w:tcW w:type="dxa" w:w="132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维护内容</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频谱分析仪</w:t>
                  </w:r>
                </w:p>
                <w:p>
                  <w:pPr>
                    <w:pStyle w:val="null3"/>
                    <w:ind w:firstLine="480"/>
                    <w:jc w:val="both"/>
                  </w:pPr>
                  <w:r>
                    <w:rPr>
                      <w:rFonts w:ascii="宋体" w:hAnsi="宋体" w:cs="宋体" w:eastAsia="宋体"/>
                      <w:sz w:val="24"/>
                    </w:rPr>
                    <w:t>N9020A（12台）</w:t>
                  </w:r>
                </w:p>
                <w:p>
                  <w:pPr>
                    <w:pStyle w:val="null3"/>
                    <w:ind w:firstLine="480"/>
                    <w:jc w:val="both"/>
                  </w:pPr>
                  <w:r>
                    <w:rPr>
                      <w:rFonts w:ascii="宋体" w:hAnsi="宋体" w:cs="宋体" w:eastAsia="宋体"/>
                      <w:sz w:val="24"/>
                    </w:rPr>
                    <w:t>N9030A（2台）</w:t>
                  </w:r>
                </w:p>
                <w:p>
                  <w:pPr>
                    <w:pStyle w:val="null3"/>
                    <w:ind w:firstLine="480"/>
                    <w:jc w:val="both"/>
                  </w:pPr>
                  <w:r>
                    <w:rPr>
                      <w:rFonts w:ascii="宋体" w:hAnsi="宋体" w:cs="宋体" w:eastAsia="宋体"/>
                      <w:sz w:val="24"/>
                    </w:rPr>
                    <w:t>N9912A（1台）</w:t>
                  </w:r>
                </w:p>
                <w:p>
                  <w:pPr>
                    <w:pStyle w:val="null3"/>
                    <w:ind w:firstLine="480"/>
                    <w:jc w:val="both"/>
                  </w:pPr>
                  <w:r>
                    <w:rPr>
                      <w:rFonts w:ascii="宋体" w:hAnsi="宋体" w:cs="宋体" w:eastAsia="宋体"/>
                      <w:sz w:val="24"/>
                    </w:rPr>
                    <w:t>N9918A（1台）</w:t>
                  </w:r>
                </w:p>
                <w:p>
                  <w:pPr>
                    <w:pStyle w:val="null3"/>
                    <w:ind w:firstLine="480"/>
                    <w:jc w:val="both"/>
                  </w:pPr>
                  <w:r>
                    <w:rPr>
                      <w:rFonts w:ascii="宋体" w:hAnsi="宋体" w:cs="宋体" w:eastAsia="宋体"/>
                      <w:sz w:val="24"/>
                    </w:rPr>
                    <w:t>N9952A（1台）</w:t>
                  </w:r>
                </w:p>
                <w:p>
                  <w:pPr>
                    <w:pStyle w:val="null3"/>
                    <w:ind w:firstLine="480"/>
                    <w:jc w:val="both"/>
                  </w:pPr>
                  <w:r>
                    <w:rPr>
                      <w:rFonts w:ascii="宋体" w:hAnsi="宋体" w:cs="宋体" w:eastAsia="宋体"/>
                      <w:sz w:val="24"/>
                    </w:rPr>
                    <w:t>MS2724C（7台）</w:t>
                  </w:r>
                </w:p>
                <w:p>
                  <w:pPr>
                    <w:pStyle w:val="null3"/>
                    <w:ind w:firstLine="480"/>
                    <w:jc w:val="both"/>
                  </w:pPr>
                  <w:r>
                    <w:rPr>
                      <w:rFonts w:ascii="宋体" w:hAnsi="宋体" w:cs="宋体" w:eastAsia="宋体"/>
                      <w:sz w:val="24"/>
                    </w:rPr>
                    <w:t>MS2724B（3台）</w:t>
                  </w:r>
                </w:p>
                <w:p>
                  <w:pPr>
                    <w:pStyle w:val="null3"/>
                    <w:ind w:firstLine="480"/>
                    <w:jc w:val="both"/>
                  </w:pPr>
                  <w:r>
                    <w:rPr>
                      <w:rFonts w:ascii="宋体" w:hAnsi="宋体" w:cs="宋体" w:eastAsia="宋体"/>
                      <w:sz w:val="24"/>
                    </w:rPr>
                    <w:t>MS2720T（11台）</w:t>
                  </w:r>
                </w:p>
                <w:p>
                  <w:pPr>
                    <w:pStyle w:val="null3"/>
                    <w:ind w:firstLine="480"/>
                    <w:jc w:val="both"/>
                  </w:pPr>
                  <w:r>
                    <w:rPr>
                      <w:rFonts w:ascii="宋体" w:hAnsi="宋体" w:cs="宋体" w:eastAsia="宋体"/>
                      <w:sz w:val="24"/>
                    </w:rPr>
                    <w:t>E4440A（1台）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校准状态</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设备自检</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各功能按键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屏幕显示</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数据传输</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设备接地</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w:t>
                  </w:r>
                  <w:r>
                    <w:rPr>
                      <w:rFonts w:ascii="宋体" w:hAnsi="宋体" w:cs="宋体" w:eastAsia="宋体"/>
                      <w:sz w:val="24"/>
                    </w:rPr>
                    <w:t>IP</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控制端口</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工作频率范围</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综合测试仪</w:t>
                  </w:r>
                </w:p>
                <w:p>
                  <w:pPr>
                    <w:pStyle w:val="null3"/>
                    <w:ind w:firstLine="480"/>
                    <w:jc w:val="both"/>
                  </w:pPr>
                  <w:r>
                    <w:rPr>
                      <w:rFonts w:ascii="宋体" w:hAnsi="宋体" w:cs="宋体" w:eastAsia="宋体"/>
                      <w:sz w:val="24"/>
                    </w:rPr>
                    <w:t>IFR3920/3920B（13台）</w:t>
                  </w:r>
                </w:p>
                <w:p>
                  <w:pPr>
                    <w:pStyle w:val="null3"/>
                    <w:ind w:firstLine="480"/>
                    <w:jc w:val="both"/>
                  </w:pPr>
                  <w:r>
                    <w:rPr>
                      <w:rFonts w:ascii="宋体" w:hAnsi="宋体" w:cs="宋体" w:eastAsia="宋体"/>
                      <w:sz w:val="24"/>
                    </w:rPr>
                    <w:t>IFR2945B（2台）</w:t>
                  </w:r>
                </w:p>
                <w:p>
                  <w:pPr>
                    <w:pStyle w:val="null3"/>
                    <w:ind w:firstLine="480"/>
                    <w:jc w:val="both"/>
                  </w:pPr>
                  <w:r>
                    <w:rPr>
                      <w:rFonts w:ascii="宋体" w:hAnsi="宋体" w:cs="宋体" w:eastAsia="宋体"/>
                      <w:sz w:val="24"/>
                    </w:rPr>
                    <w:t>N4010A（2台）</w:t>
                  </w:r>
                </w:p>
                <w:p>
                  <w:pPr>
                    <w:pStyle w:val="null3"/>
                    <w:ind w:firstLine="480"/>
                    <w:jc w:val="both"/>
                  </w:pPr>
                  <w:r>
                    <w:rPr>
                      <w:rFonts w:ascii="宋体" w:hAnsi="宋体" w:cs="宋体" w:eastAsia="宋体"/>
                      <w:sz w:val="24"/>
                    </w:rPr>
                    <w:t>S412E（10台）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校准状态</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设备自检</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各功能按键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屏幕显示</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数据传输</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设备接地</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w:t>
                  </w:r>
                  <w:r>
                    <w:rPr>
                      <w:rFonts w:ascii="宋体" w:hAnsi="宋体" w:cs="宋体" w:eastAsia="宋体"/>
                      <w:sz w:val="24"/>
                    </w:rPr>
                    <w:t>IP</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控制端口</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工作频率范围</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信号源</w:t>
                  </w:r>
                </w:p>
                <w:p>
                  <w:pPr>
                    <w:pStyle w:val="null3"/>
                    <w:ind w:firstLine="480"/>
                    <w:jc w:val="both"/>
                  </w:pPr>
                  <w:r>
                    <w:rPr>
                      <w:rFonts w:ascii="宋体" w:hAnsi="宋体" w:cs="宋体" w:eastAsia="宋体"/>
                      <w:sz w:val="24"/>
                    </w:rPr>
                    <w:t>E4431B（1台）</w:t>
                  </w:r>
                </w:p>
                <w:p>
                  <w:pPr>
                    <w:pStyle w:val="null3"/>
                    <w:ind w:firstLine="480"/>
                    <w:jc w:val="both"/>
                  </w:pPr>
                  <w:r>
                    <w:rPr>
                      <w:rFonts w:ascii="宋体" w:hAnsi="宋体" w:cs="宋体" w:eastAsia="宋体"/>
                      <w:sz w:val="24"/>
                    </w:rPr>
                    <w:t>MG3694B（1台）</w:t>
                  </w:r>
                </w:p>
                <w:p>
                  <w:pPr>
                    <w:pStyle w:val="null3"/>
                    <w:ind w:firstLine="480"/>
                    <w:jc w:val="both"/>
                  </w:pPr>
                  <w:r>
                    <w:rPr>
                      <w:rFonts w:ascii="宋体" w:hAnsi="宋体" w:cs="宋体" w:eastAsia="宋体"/>
                      <w:sz w:val="24"/>
                    </w:rPr>
                    <w:t>N5182A（1台）</w:t>
                  </w:r>
                </w:p>
                <w:p>
                  <w:pPr>
                    <w:pStyle w:val="null3"/>
                    <w:ind w:firstLine="480"/>
                    <w:jc w:val="both"/>
                  </w:pPr>
                  <w:r>
                    <w:rPr>
                      <w:rFonts w:ascii="宋体" w:hAnsi="宋体" w:cs="宋体" w:eastAsia="宋体"/>
                      <w:sz w:val="24"/>
                    </w:rPr>
                    <w:t>N5182B（12台）</w:t>
                  </w:r>
                </w:p>
                <w:p>
                  <w:pPr>
                    <w:pStyle w:val="null3"/>
                    <w:ind w:firstLine="480"/>
                    <w:jc w:val="both"/>
                  </w:pPr>
                  <w:r>
                    <w:rPr>
                      <w:rFonts w:ascii="宋体" w:hAnsi="宋体" w:cs="宋体" w:eastAsia="宋体"/>
                      <w:sz w:val="24"/>
                    </w:rPr>
                    <w:t>N5173B（1台）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校准状态</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设备自检</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各功能按键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屏幕显示</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数据传输</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设备接地</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电磁辐射分析仪</w:t>
                  </w:r>
                </w:p>
                <w:p>
                  <w:pPr>
                    <w:pStyle w:val="null3"/>
                    <w:ind w:firstLine="480"/>
                    <w:jc w:val="both"/>
                  </w:pPr>
                  <w:r>
                    <w:rPr>
                      <w:rFonts w:ascii="宋体" w:hAnsi="宋体" w:cs="宋体" w:eastAsia="宋体"/>
                      <w:sz w:val="24"/>
                    </w:rPr>
                    <w:t>NBM-550（1台）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校准状态</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设备自检</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各功能按键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屏幕显示</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数据传输</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设备接地</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w:t>
                  </w:r>
                  <w:r>
                    <w:rPr>
                      <w:rFonts w:ascii="宋体" w:hAnsi="宋体" w:cs="宋体" w:eastAsia="宋体"/>
                      <w:sz w:val="24"/>
                    </w:rPr>
                    <w:t>IP</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控制端口</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工作频率范围</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控制箱</w:t>
                  </w:r>
                </w:p>
                <w:p>
                  <w:pPr>
                    <w:pStyle w:val="null3"/>
                    <w:ind w:firstLine="480"/>
                    <w:jc w:val="both"/>
                  </w:pPr>
                  <w:r>
                    <w:rPr>
                      <w:rFonts w:ascii="宋体" w:hAnsi="宋体" w:cs="宋体" w:eastAsia="宋体"/>
                      <w:sz w:val="24"/>
                    </w:rPr>
                    <w:t>DC-1900SW3-U（12台）</w:t>
                  </w:r>
                </w:p>
                <w:p>
                  <w:pPr>
                    <w:pStyle w:val="null3"/>
                    <w:ind w:firstLine="480"/>
                    <w:jc w:val="both"/>
                  </w:pPr>
                  <w:r>
                    <w:rPr>
                      <w:rFonts w:ascii="宋体" w:hAnsi="宋体" w:cs="宋体" w:eastAsia="宋体"/>
                      <w:sz w:val="24"/>
                    </w:rPr>
                    <w:t>DC-1900SW5（12台）</w:t>
                  </w:r>
                </w:p>
                <w:p>
                  <w:pPr>
                    <w:pStyle w:val="null3"/>
                    <w:ind w:firstLine="480"/>
                    <w:jc w:val="both"/>
                  </w:pPr>
                  <w:r>
                    <w:rPr>
                      <w:rFonts w:ascii="宋体" w:hAnsi="宋体" w:cs="宋体" w:eastAsia="宋体"/>
                      <w:sz w:val="24"/>
                    </w:rPr>
                    <w:t>DC-1900SW6（12台）</w:t>
                  </w:r>
                </w:p>
                <w:p>
                  <w:pPr>
                    <w:pStyle w:val="null3"/>
                    <w:ind w:firstLine="480"/>
                    <w:jc w:val="both"/>
                  </w:pPr>
                  <w:r>
                    <w:rPr>
                      <w:rFonts w:ascii="宋体" w:hAnsi="宋体" w:cs="宋体" w:eastAsia="宋体"/>
                      <w:sz w:val="24"/>
                    </w:rPr>
                    <w:t>DC-2400SW3（1台）</w:t>
                  </w:r>
                </w:p>
                <w:p>
                  <w:pPr>
                    <w:pStyle w:val="null3"/>
                    <w:ind w:firstLine="480"/>
                    <w:jc w:val="both"/>
                  </w:pPr>
                  <w:r>
                    <w:rPr>
                      <w:rFonts w:ascii="宋体" w:hAnsi="宋体" w:cs="宋体" w:eastAsia="宋体"/>
                      <w:sz w:val="24"/>
                    </w:rPr>
                    <w:t>DC-2600SW1（1台）</w:t>
                  </w:r>
                </w:p>
                <w:p>
                  <w:pPr>
                    <w:pStyle w:val="null3"/>
                    <w:ind w:firstLine="480"/>
                    <w:jc w:val="both"/>
                  </w:pPr>
                  <w:r>
                    <w:rPr>
                      <w:rFonts w:ascii="宋体" w:hAnsi="宋体" w:cs="宋体" w:eastAsia="宋体"/>
                      <w:sz w:val="24"/>
                    </w:rPr>
                    <w:t>DC-2800SW1（1台）</w:t>
                  </w:r>
                </w:p>
                <w:p>
                  <w:pPr>
                    <w:pStyle w:val="null3"/>
                    <w:ind w:firstLine="480"/>
                    <w:jc w:val="both"/>
                  </w:pPr>
                  <w:r>
                    <w:rPr>
                      <w:rFonts w:ascii="宋体" w:hAnsi="宋体" w:cs="宋体" w:eastAsia="宋体"/>
                      <w:sz w:val="24"/>
                    </w:rPr>
                    <w:t>DC3300SW1（1台）</w:t>
                  </w:r>
                </w:p>
                <w:p>
                  <w:pPr>
                    <w:pStyle w:val="null3"/>
                    <w:ind w:firstLine="480"/>
                    <w:jc w:val="both"/>
                  </w:pPr>
                  <w:r>
                    <w:rPr>
                      <w:rFonts w:ascii="宋体" w:hAnsi="宋体" w:cs="宋体" w:eastAsia="宋体"/>
                      <w:sz w:val="24"/>
                    </w:rPr>
                    <w:t>DC3400SW1（1台）</w:t>
                  </w:r>
                </w:p>
                <w:p>
                  <w:pPr>
                    <w:pStyle w:val="null3"/>
                    <w:ind w:firstLine="480"/>
                    <w:jc w:val="both"/>
                  </w:pPr>
                  <w:r>
                    <w:rPr>
                      <w:rFonts w:ascii="宋体" w:hAnsi="宋体" w:cs="宋体" w:eastAsia="宋体"/>
                      <w:sz w:val="24"/>
                    </w:rPr>
                    <w:t>DC3500SW1（1台）</w:t>
                  </w:r>
                </w:p>
                <w:p>
                  <w:pPr>
                    <w:pStyle w:val="null3"/>
                    <w:ind w:firstLine="480"/>
                    <w:jc w:val="both"/>
                  </w:pPr>
                  <w:r>
                    <w:rPr>
                      <w:rFonts w:ascii="宋体" w:hAnsi="宋体" w:cs="宋体" w:eastAsia="宋体"/>
                      <w:sz w:val="24"/>
                    </w:rPr>
                    <w:t>DC8000SW1（1台）</w:t>
                  </w:r>
                </w:p>
                <w:p>
                  <w:pPr>
                    <w:pStyle w:val="null3"/>
                    <w:ind w:firstLine="480"/>
                    <w:jc w:val="both"/>
                  </w:pPr>
                  <w:r>
                    <w:rPr>
                      <w:rFonts w:ascii="宋体" w:hAnsi="宋体" w:cs="宋体" w:eastAsia="宋体"/>
                      <w:sz w:val="24"/>
                    </w:rPr>
                    <w:t>DC7000（1台）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内部组件</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功能端口</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控制端口</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接地</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电源控制器</w:t>
                  </w:r>
                </w:p>
                <w:p>
                  <w:pPr>
                    <w:pStyle w:val="null3"/>
                    <w:ind w:firstLine="480"/>
                    <w:jc w:val="both"/>
                  </w:pPr>
                  <w:r>
                    <w:rPr>
                      <w:rFonts w:ascii="宋体" w:hAnsi="宋体" w:cs="宋体" w:eastAsia="宋体"/>
                      <w:sz w:val="24"/>
                    </w:rPr>
                    <w:t>（</w:t>
                  </w:r>
                  <w:r>
                    <w:rPr>
                      <w:rFonts w:ascii="宋体" w:hAnsi="宋体" w:cs="宋体" w:eastAsia="宋体"/>
                      <w:sz w:val="24"/>
                    </w:rPr>
                    <w:t>1台）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工作状态</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手动控制</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设备按键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屏幕显示</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工作电流</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控制</w:t>
                  </w:r>
                  <w:r>
                    <w:rPr>
                      <w:rFonts w:ascii="宋体" w:hAnsi="宋体" w:cs="宋体" w:eastAsia="宋体"/>
                      <w:sz w:val="24"/>
                    </w:rPr>
                    <w:t>IP</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设备接地</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工控机</w:t>
                  </w:r>
                </w:p>
                <w:p>
                  <w:pPr>
                    <w:pStyle w:val="null3"/>
                    <w:ind w:firstLine="480"/>
                    <w:jc w:val="both"/>
                  </w:pPr>
                  <w:r>
                    <w:rPr>
                      <w:rFonts w:ascii="宋体" w:hAnsi="宋体" w:cs="宋体" w:eastAsia="宋体"/>
                      <w:sz w:val="24"/>
                    </w:rPr>
                    <w:t>（</w:t>
                  </w:r>
                  <w:r>
                    <w:rPr>
                      <w:rFonts w:ascii="宋体" w:hAnsi="宋体" w:cs="宋体" w:eastAsia="宋体"/>
                      <w:sz w:val="24"/>
                    </w:rPr>
                    <w:t>12台）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COMS设置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硬盘</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内存</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显卡、声卡、网卡、</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功能卡</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显示器</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打印机</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w:t>
                  </w:r>
                  <w:r>
                    <w:rPr>
                      <w:rFonts w:ascii="宋体" w:hAnsi="宋体" w:cs="宋体" w:eastAsia="宋体"/>
                      <w:sz w:val="24"/>
                    </w:rPr>
                    <w:t>IP</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设备接地</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功率计</w:t>
                  </w:r>
                </w:p>
                <w:p>
                  <w:pPr>
                    <w:pStyle w:val="null3"/>
                    <w:ind w:firstLine="480"/>
                    <w:jc w:val="both"/>
                  </w:pPr>
                  <w:r>
                    <w:rPr>
                      <w:rFonts w:ascii="宋体" w:hAnsi="宋体" w:cs="宋体" w:eastAsia="宋体"/>
                      <w:sz w:val="24"/>
                    </w:rPr>
                    <w:t>E4416A（1台）</w:t>
                  </w:r>
                </w:p>
                <w:p>
                  <w:pPr>
                    <w:pStyle w:val="null3"/>
                    <w:ind w:firstLine="480"/>
                    <w:jc w:val="both"/>
                  </w:pPr>
                  <w:r>
                    <w:rPr>
                      <w:rFonts w:ascii="宋体" w:hAnsi="宋体" w:cs="宋体" w:eastAsia="宋体"/>
                      <w:sz w:val="24"/>
                    </w:rPr>
                    <w:t>N1912A（1台）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校准状态</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设备自检</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各功能按键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屏显</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数据传输</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设备接地</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计算机（</w:t>
                  </w:r>
                  <w:r>
                    <w:rPr>
                      <w:rFonts w:ascii="宋体" w:hAnsi="宋体" w:cs="宋体" w:eastAsia="宋体"/>
                      <w:sz w:val="24"/>
                    </w:rPr>
                    <w:t>12台）</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COMS设置</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硬盘</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内存</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显卡、声卡、网卡</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功能卡</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显示器</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打印机</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设备</w:t>
                  </w:r>
                  <w:r>
                    <w:rPr>
                      <w:rFonts w:ascii="宋体" w:hAnsi="宋体" w:cs="宋体" w:eastAsia="宋体"/>
                      <w:sz w:val="24"/>
                    </w:rPr>
                    <w:t>IP</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测试附件</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测试电缆（</w:t>
                  </w:r>
                  <w:r>
                    <w:rPr>
                      <w:rFonts w:ascii="宋体" w:hAnsi="宋体" w:cs="宋体" w:eastAsia="宋体"/>
                      <w:sz w:val="24"/>
                    </w:rPr>
                    <w:t>12套）</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转接器（</w:t>
                  </w:r>
                  <w:r>
                    <w:rPr>
                      <w:rFonts w:ascii="宋体" w:hAnsi="宋体" w:cs="宋体" w:eastAsia="宋体"/>
                      <w:sz w:val="24"/>
                    </w:rPr>
                    <w:t>12套）</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滤波器（陷波器）（</w:t>
                  </w:r>
                  <w:r>
                    <w:rPr>
                      <w:rFonts w:ascii="宋体" w:hAnsi="宋体" w:cs="宋体" w:eastAsia="宋体"/>
                      <w:sz w:val="24"/>
                    </w:rPr>
                    <w:t>12套）</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衰减器匹配负载（</w:t>
                  </w:r>
                  <w:r>
                    <w:rPr>
                      <w:rFonts w:ascii="宋体" w:hAnsi="宋体" w:cs="宋体" w:eastAsia="宋体"/>
                      <w:sz w:val="24"/>
                    </w:rPr>
                    <w:t>12套）</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低噪声放大器（</w:t>
                  </w:r>
                  <w:r>
                    <w:rPr>
                      <w:rFonts w:ascii="宋体" w:hAnsi="宋体" w:cs="宋体" w:eastAsia="宋体"/>
                      <w:sz w:val="24"/>
                    </w:rPr>
                    <w:t>12套）</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波导同轴转换器（</w:t>
                  </w:r>
                  <w:r>
                    <w:rPr>
                      <w:rFonts w:ascii="宋体" w:hAnsi="宋体" w:cs="宋体" w:eastAsia="宋体"/>
                      <w:sz w:val="24"/>
                    </w:rPr>
                    <w:t>12套）</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检测屏蔽室</w:t>
                  </w:r>
                </w:p>
                <w:p>
                  <w:pPr>
                    <w:pStyle w:val="null3"/>
                    <w:ind w:firstLine="480"/>
                    <w:jc w:val="both"/>
                  </w:pPr>
                  <w:r>
                    <w:rPr>
                      <w:rFonts w:ascii="宋体" w:hAnsi="宋体" w:cs="宋体" w:eastAsia="宋体"/>
                      <w:sz w:val="24"/>
                    </w:rPr>
                    <w:t>（</w:t>
                  </w:r>
                  <w:r>
                    <w:rPr>
                      <w:rFonts w:ascii="宋体" w:hAnsi="宋体" w:cs="宋体" w:eastAsia="宋体"/>
                      <w:sz w:val="24"/>
                    </w:rPr>
                    <w:t>2个）</w:t>
                  </w: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机房状态等</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供配电系统</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插入衰减</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屏蔽室屏蔽效能测试</w:t>
                  </w:r>
                </w:p>
              </w:tc>
            </w:tr>
            <w:tr>
              <w:tc>
                <w:tcPr>
                  <w:tcW w:type="dxa" w:w="1044"/>
                  <w:vMerge/>
                  <w:tcBorders>
                    <w:top w:val="none" w:color="000000" w:sz="4"/>
                    <w:left w:val="single" w:color="000000" w:sz="4"/>
                    <w:bottom w:val="single" w:color="000000" w:sz="4"/>
                    <w:right w:val="single" w:color="000000" w:sz="4"/>
                  </w:tcBorders>
                </w:tcPr>
                <w:p/>
              </w:tc>
              <w:tc>
                <w:tcPr>
                  <w:tcW w:type="dxa" w:w="132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接地电阻</w:t>
                  </w:r>
                </w:p>
              </w:tc>
            </w:tr>
          </w:tbl>
          <w:p>
            <w:pPr>
              <w:pStyle w:val="null3"/>
              <w:ind w:firstLine="480"/>
              <w:jc w:val="both"/>
            </w:pPr>
            <w:r>
              <w:rPr>
                <w:rFonts w:ascii="宋体" w:hAnsi="宋体" w:cs="宋体" w:eastAsia="宋体"/>
                <w:sz w:val="24"/>
              </w:rPr>
              <w:t>2、系统软件</w:t>
            </w:r>
          </w:p>
          <w:tbl>
            <w:tblPr>
              <w:tblBorders>
                <w:top w:val="none" w:color="000000" w:sz="4"/>
                <w:left w:val="none" w:color="000000" w:sz="4"/>
                <w:bottom w:val="none" w:color="000000" w:sz="4"/>
                <w:right w:val="none" w:color="000000" w:sz="4"/>
                <w:insideH w:val="none"/>
                <w:insideV w:val="none"/>
              </w:tblBorders>
            </w:tblPr>
            <w:tblGrid>
              <w:gridCol w:w="1044"/>
              <w:gridCol w:w="1347"/>
            </w:tblGrid>
            <w:tr>
              <w:tc>
                <w:tcPr>
                  <w:tcW w:type="dxa" w:w="104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软件名称</w:t>
                  </w:r>
                </w:p>
              </w:tc>
              <w:tc>
                <w:tcPr>
                  <w:tcW w:type="dxa" w:w="134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维护内容</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系统软件（</w:t>
                  </w:r>
                  <w:r>
                    <w:rPr>
                      <w:rFonts w:ascii="宋体" w:hAnsi="宋体" w:cs="宋体" w:eastAsia="宋体"/>
                      <w:sz w:val="24"/>
                    </w:rPr>
                    <w:t>12套）</w:t>
                  </w: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操作系统</w:t>
                  </w:r>
                </w:p>
              </w:tc>
            </w:tr>
            <w:tr>
              <w:tc>
                <w:tcPr>
                  <w:tcW w:type="dxa" w:w="1044"/>
                  <w:vMerge/>
                  <w:tcBorders>
                    <w:top w:val="none" w:color="000000" w:sz="4"/>
                    <w:left w:val="single" w:color="000000" w:sz="4"/>
                    <w:bottom w:val="single" w:color="000000" w:sz="4"/>
                    <w:right w:val="single" w:color="000000" w:sz="4"/>
                  </w:tcBorders>
                </w:tcP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相关补丁安装</w:t>
                  </w:r>
                </w:p>
              </w:tc>
            </w:tr>
            <w:tr>
              <w:tc>
                <w:tcPr>
                  <w:tcW w:type="dxa" w:w="1044"/>
                  <w:vMerge/>
                  <w:tcBorders>
                    <w:top w:val="none" w:color="000000" w:sz="4"/>
                    <w:left w:val="single" w:color="000000" w:sz="4"/>
                    <w:bottom w:val="single" w:color="000000" w:sz="4"/>
                    <w:right w:val="single" w:color="000000" w:sz="4"/>
                  </w:tcBorders>
                </w:tcP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office及其他相关软件</w:t>
                  </w:r>
                </w:p>
              </w:tc>
            </w:tr>
            <w:tr>
              <w:tc>
                <w:tcPr>
                  <w:tcW w:type="dxa" w:w="1044"/>
                  <w:vMerge/>
                  <w:tcBorders>
                    <w:top w:val="none" w:color="000000" w:sz="4"/>
                    <w:left w:val="single" w:color="000000" w:sz="4"/>
                    <w:bottom w:val="single" w:color="000000" w:sz="4"/>
                    <w:right w:val="single" w:color="000000" w:sz="4"/>
                  </w:tcBorders>
                </w:tcP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单机及网络安全软件</w:t>
                  </w:r>
                </w:p>
              </w:tc>
            </w:tr>
            <w:tr>
              <w:tc>
                <w:tcPr>
                  <w:tcW w:type="dxa" w:w="1044"/>
                  <w:vMerge/>
                  <w:tcBorders>
                    <w:top w:val="none" w:color="000000" w:sz="4"/>
                    <w:left w:val="single" w:color="000000" w:sz="4"/>
                    <w:bottom w:val="single" w:color="000000" w:sz="4"/>
                    <w:right w:val="single" w:color="000000" w:sz="4"/>
                  </w:tcBorders>
                </w:tcP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系统备份</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应用软件（</w:t>
                  </w:r>
                  <w:r>
                    <w:rPr>
                      <w:rFonts w:ascii="宋体" w:hAnsi="宋体" w:cs="宋体" w:eastAsia="宋体"/>
                      <w:sz w:val="24"/>
                    </w:rPr>
                    <w:t>12套）</w:t>
                  </w: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检测功能是否正常</w:t>
                  </w:r>
                </w:p>
              </w:tc>
            </w:tr>
            <w:tr>
              <w:tc>
                <w:tcPr>
                  <w:tcW w:type="dxa" w:w="1044"/>
                  <w:vMerge/>
                  <w:tcBorders>
                    <w:top w:val="none" w:color="000000" w:sz="4"/>
                    <w:left w:val="single" w:color="000000" w:sz="4"/>
                    <w:bottom w:val="single" w:color="000000" w:sz="4"/>
                    <w:right w:val="single" w:color="000000" w:sz="4"/>
                  </w:tcBorders>
                </w:tcP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软件与业务的适用性检验</w:t>
                  </w:r>
                </w:p>
              </w:tc>
            </w:tr>
            <w:tr>
              <w:tc>
                <w:tcPr>
                  <w:tcW w:type="dxa" w:w="104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防护软件（</w:t>
                  </w:r>
                  <w:r>
                    <w:rPr>
                      <w:rFonts w:ascii="宋体" w:hAnsi="宋体" w:cs="宋体" w:eastAsia="宋体"/>
                      <w:sz w:val="24"/>
                    </w:rPr>
                    <w:t>12套）</w:t>
                  </w: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是否安装</w:t>
                  </w:r>
                </w:p>
              </w:tc>
            </w:tr>
            <w:tr>
              <w:tc>
                <w:tcPr>
                  <w:tcW w:type="dxa" w:w="1044"/>
                  <w:vMerge/>
                  <w:tcBorders>
                    <w:top w:val="none" w:color="000000" w:sz="4"/>
                    <w:left w:val="single" w:color="000000" w:sz="4"/>
                    <w:bottom w:val="single" w:color="000000" w:sz="4"/>
                    <w:right w:val="single" w:color="000000" w:sz="4"/>
                  </w:tcBorders>
                </w:tcPr>
                <w:p/>
              </w:tc>
              <w:tc>
                <w:tcPr>
                  <w:tcW w:type="dxa" w:w="13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80"/>
                    <w:jc w:val="both"/>
                  </w:pPr>
                  <w:r>
                    <w:rPr>
                      <w:rFonts w:ascii="宋体" w:hAnsi="宋体" w:cs="宋体" w:eastAsia="宋体"/>
                      <w:sz w:val="24"/>
                    </w:rPr>
                    <w:t>性能</w:t>
                  </w:r>
                </w:p>
              </w:tc>
            </w:tr>
          </w:tbl>
          <w:p>
            <w:pPr>
              <w:pStyle w:val="null3"/>
              <w:ind w:firstLine="480"/>
              <w:jc w:val="both"/>
            </w:pPr>
            <w:r>
              <w:rPr>
                <w:rFonts w:ascii="宋体" w:hAnsi="宋体" w:cs="宋体" w:eastAsia="宋体"/>
                <w:sz w:val="24"/>
              </w:rPr>
              <w:t>3、质量体系运行维护</w:t>
            </w:r>
          </w:p>
          <w:p>
            <w:pPr>
              <w:pStyle w:val="null3"/>
              <w:ind w:firstLine="480"/>
              <w:jc w:val="both"/>
            </w:pPr>
            <w:r>
              <w:rPr>
                <w:rFonts w:ascii="宋体" w:hAnsi="宋体" w:cs="宋体" w:eastAsia="宋体"/>
                <w:sz w:val="24"/>
              </w:rPr>
              <w:t>按照质量管理体系要求，从实验室的文件控制、服务和供应品的采购、设施和环境条件提供、检测和校准方法的适用、设备的管理、样品的储存等方面，协助陕西省无线电监测站</w:t>
            </w:r>
            <w:r>
              <w:rPr>
                <w:rFonts w:ascii="宋体" w:hAnsi="宋体" w:cs="宋体" w:eastAsia="宋体"/>
                <w:sz w:val="24"/>
              </w:rPr>
              <w:t>CMA实验室完成日常管理与运行维护工作。</w:t>
            </w:r>
          </w:p>
          <w:p>
            <w:pPr>
              <w:pStyle w:val="null3"/>
              <w:ind w:firstLine="480"/>
              <w:jc w:val="both"/>
            </w:pPr>
            <w:r>
              <w:rPr>
                <w:rFonts w:ascii="宋体" w:hAnsi="宋体" w:cs="宋体" w:eastAsia="宋体"/>
                <w:sz w:val="24"/>
              </w:rPr>
              <w:t>4、检测设备计量校准</w:t>
            </w:r>
          </w:p>
          <w:p>
            <w:pPr>
              <w:pStyle w:val="null3"/>
              <w:ind w:firstLine="480"/>
              <w:jc w:val="both"/>
            </w:pPr>
            <w:r>
              <w:rPr>
                <w:rFonts w:ascii="宋体" w:hAnsi="宋体" w:cs="宋体" w:eastAsia="宋体"/>
                <w:sz w:val="24"/>
              </w:rPr>
              <w:t>（</w:t>
            </w:r>
            <w:r>
              <w:rPr>
                <w:rFonts w:ascii="宋体" w:hAnsi="宋体" w:cs="宋体" w:eastAsia="宋体"/>
                <w:sz w:val="24"/>
              </w:rPr>
              <w:t>1）投标人需对实验室内的检测设备进行计量校准，实验室检测设备如下：</w:t>
            </w:r>
          </w:p>
          <w:tbl>
            <w:tblPr>
              <w:tblBorders>
                <w:top w:val="none" w:color="000000" w:sz="4"/>
                <w:left w:val="none" w:color="000000" w:sz="4"/>
                <w:bottom w:val="none" w:color="000000" w:sz="4"/>
                <w:right w:val="none" w:color="000000" w:sz="4"/>
                <w:insideH w:val="none"/>
                <w:insideV w:val="none"/>
              </w:tblBorders>
            </w:tblPr>
            <w:tblGrid>
              <w:gridCol w:w="233"/>
              <w:gridCol w:w="1097"/>
              <w:gridCol w:w="101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序号</w:t>
                  </w:r>
                </w:p>
              </w:tc>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仪器设备名称</w:t>
                  </w:r>
                </w:p>
              </w:tc>
              <w:tc>
                <w:tcPr>
                  <w:tcW w:type="dxa" w:w="1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型号</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频谱分析仪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N9020A</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2</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便携式频谱分析仪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N9918A</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3</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频谱分析仪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N9030A</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4</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微波信号源</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MG3694B</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5</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矢量信号源</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E4432B</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6</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矢量网络分析仪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N5230C</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7</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综合测试仪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3920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8</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环形天线</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6502</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9</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复合天线</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9163</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10</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喇叭天线</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QWF-SL-2-18-S-SG-R</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11</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抛物面天线</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QMS-00617/QMS-00001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12</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电磁辐射分析仪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NBM550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13</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电磁辐射分析仪探头</w:t>
                  </w:r>
                </w:p>
                <w:p>
                  <w:pPr>
                    <w:pStyle w:val="null3"/>
                    <w:ind w:firstLine="480"/>
                    <w:jc w:val="both"/>
                  </w:pPr>
                  <w:r>
                    <w:rPr>
                      <w:rFonts w:ascii="宋体" w:hAnsi="宋体" w:cs="宋体" w:eastAsia="宋体"/>
                      <w:sz w:val="24"/>
                    </w:rPr>
                    <w:t>（</w:t>
                  </w:r>
                  <w:r>
                    <w:rPr>
                      <w:rFonts w:ascii="宋体" w:hAnsi="宋体" w:cs="宋体" w:eastAsia="宋体"/>
                      <w:sz w:val="24"/>
                    </w:rPr>
                    <w:t>100kHz-3GHz）</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NBM550/EF-0391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14</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电磁辐射分析仪探头</w:t>
                  </w:r>
                </w:p>
                <w:p>
                  <w:pPr>
                    <w:pStyle w:val="null3"/>
                    <w:ind w:firstLine="480"/>
                    <w:jc w:val="both"/>
                  </w:pPr>
                  <w:r>
                    <w:rPr>
                      <w:rFonts w:ascii="宋体" w:hAnsi="宋体" w:cs="宋体" w:eastAsia="宋体"/>
                      <w:sz w:val="24"/>
                    </w:rPr>
                    <w:t>（</w:t>
                  </w:r>
                  <w:r>
                    <w:rPr>
                      <w:rFonts w:ascii="宋体" w:hAnsi="宋体" w:cs="宋体" w:eastAsia="宋体"/>
                      <w:sz w:val="24"/>
                    </w:rPr>
                    <w:t>3MHz-18GHz）</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NBM550/EF-1891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15</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电磁辐射分析仪探头</w:t>
                  </w:r>
                </w:p>
                <w:p>
                  <w:pPr>
                    <w:pStyle w:val="null3"/>
                    <w:ind w:firstLine="480"/>
                    <w:jc w:val="both"/>
                  </w:pPr>
                  <w:r>
                    <w:rPr>
                      <w:rFonts w:ascii="宋体" w:hAnsi="宋体" w:cs="宋体" w:eastAsia="宋体"/>
                      <w:sz w:val="24"/>
                    </w:rPr>
                    <w:t>（</w:t>
                  </w:r>
                  <w:r>
                    <w:rPr>
                      <w:rFonts w:ascii="宋体" w:hAnsi="宋体" w:cs="宋体" w:eastAsia="宋体"/>
                      <w:sz w:val="24"/>
                    </w:rPr>
                    <w:t>300kHz-30MHz）</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NBM550/HF-3061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16</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电磁辐射分析仪探头</w:t>
                  </w:r>
                </w:p>
                <w:p>
                  <w:pPr>
                    <w:pStyle w:val="null3"/>
                    <w:ind w:firstLine="480"/>
                    <w:jc w:val="both"/>
                  </w:pPr>
                  <w:r>
                    <w:rPr>
                      <w:rFonts w:ascii="宋体" w:hAnsi="宋体" w:cs="宋体" w:eastAsia="宋体"/>
                      <w:sz w:val="24"/>
                    </w:rPr>
                    <w:t>（</w:t>
                  </w:r>
                  <w:r>
                    <w:rPr>
                      <w:rFonts w:ascii="宋体" w:hAnsi="宋体" w:cs="宋体" w:eastAsia="宋体"/>
                      <w:sz w:val="24"/>
                    </w:rPr>
                    <w:t>27MHz-1GHz）</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NBM550/HF-0191</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17</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电磁屏蔽室</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DC-SR-DZ1/DC-SR-DZ2</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18</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喇叭天线</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QWF-SL-1-2-N-R</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19</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抛物面天线</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QMS-00623/QMS-00817</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20</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手持式微波综合分析仪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N9952A</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21</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模拟信号源</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N5182A</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22</w:t>
                  </w:r>
                </w:p>
              </w:tc>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频谱分析仪</w:t>
                  </w:r>
                </w:p>
              </w:tc>
              <w:tc>
                <w:tcPr>
                  <w:tcW w:type="dxa" w:w="1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宋体" w:hAnsi="宋体" w:cs="宋体" w:eastAsia="宋体"/>
                      <w:sz w:val="24"/>
                    </w:rPr>
                    <w:t>N9030A</w:t>
                  </w:r>
                </w:p>
              </w:tc>
            </w:tr>
          </w:tbl>
          <w:p>
            <w:pPr>
              <w:pStyle w:val="null3"/>
              <w:ind w:firstLine="480"/>
              <w:jc w:val="both"/>
            </w:pPr>
            <w:r>
              <w:rPr>
                <w:rFonts w:ascii="宋体" w:hAnsi="宋体" w:cs="宋体" w:eastAsia="宋体"/>
                <w:sz w:val="24"/>
              </w:rPr>
              <w:t>（</w:t>
            </w:r>
            <w:r>
              <w:rPr>
                <w:rFonts w:ascii="宋体" w:hAnsi="宋体" w:cs="宋体" w:eastAsia="宋体"/>
                <w:sz w:val="24"/>
              </w:rPr>
              <w:t>2）校准项目：在设备校准前，投标人应编制校准项目清单，协助采购人制定校准项目，校准项目必须满足现有检测测试项目要求。</w:t>
            </w:r>
          </w:p>
          <w:p>
            <w:pPr>
              <w:pStyle w:val="null3"/>
              <w:ind w:firstLine="480"/>
              <w:jc w:val="both"/>
            </w:pPr>
            <w:r>
              <w:rPr>
                <w:rFonts w:ascii="宋体" w:hAnsi="宋体" w:cs="宋体" w:eastAsia="宋体"/>
                <w:sz w:val="24"/>
              </w:rPr>
              <w:t>（</w:t>
            </w:r>
            <w:r>
              <w:rPr>
                <w:rFonts w:ascii="宋体" w:hAnsi="宋体" w:cs="宋体" w:eastAsia="宋体"/>
                <w:sz w:val="24"/>
              </w:rPr>
              <w:t>3）服务期内共完成1次第三方校准服务，校准日期由采购人根据实际工作需要确定。</w:t>
            </w:r>
          </w:p>
          <w:p>
            <w:pPr>
              <w:pStyle w:val="null3"/>
              <w:ind w:firstLine="480"/>
              <w:jc w:val="both"/>
            </w:pPr>
            <w:r>
              <w:rPr>
                <w:rFonts w:ascii="宋体" w:hAnsi="宋体" w:cs="宋体" w:eastAsia="宋体"/>
                <w:sz w:val="24"/>
              </w:rPr>
              <w:t>（</w:t>
            </w:r>
            <w:r>
              <w:rPr>
                <w:rFonts w:ascii="宋体" w:hAnsi="宋体" w:cs="宋体" w:eastAsia="宋体"/>
                <w:sz w:val="24"/>
              </w:rPr>
              <w:t>4）设备校准前，投标人须按照采购人校准项目制定详尽校准方案，提供校准服务合格供应商评价（供应商计量资质需通过中国合格评定国家认可委员会（CNAS）认可）；设备校准后，对第三方校准单位出具的校准报告进行定量分析，30个日历日内，完成校准评定报告；检测系统设备校准值与设备技术参数比较结果超出范围时，需对系统进行相应补偿并及时更新不确定度报告。校准费用及相关运输费用等由投标人承担。</w:t>
            </w:r>
          </w:p>
          <w:p>
            <w:pPr>
              <w:pStyle w:val="null3"/>
              <w:ind w:firstLine="480"/>
              <w:jc w:val="both"/>
            </w:pPr>
            <w:r>
              <w:rPr>
                <w:rFonts w:ascii="宋体" w:hAnsi="宋体" w:cs="宋体" w:eastAsia="宋体"/>
                <w:sz w:val="24"/>
              </w:rPr>
              <w:t>5、系统正确性验证</w:t>
            </w:r>
          </w:p>
          <w:p>
            <w:pPr>
              <w:pStyle w:val="null3"/>
              <w:ind w:firstLine="480"/>
              <w:jc w:val="both"/>
            </w:pPr>
            <w:r>
              <w:rPr>
                <w:rFonts w:ascii="宋体" w:hAnsi="宋体" w:cs="宋体" w:eastAsia="宋体"/>
                <w:sz w:val="24"/>
              </w:rPr>
              <w:t>投标人技术人员需对仪器设备和系统的测试项目进行手动测试与自动测试的比对，并出具比对报告，通过比对结果判定设备和系统状态，验证设备和系统的性能可靠性，并根据设备和系统通过比对测试所反映出的故障现象进行分析判定，经与采购人协商后负责对一般故障的维修或送原厂家维修。</w:t>
            </w:r>
          </w:p>
          <w:p>
            <w:pPr>
              <w:pStyle w:val="null3"/>
              <w:ind w:firstLine="480"/>
              <w:jc w:val="both"/>
            </w:pPr>
            <w:r>
              <w:rPr>
                <w:rFonts w:ascii="宋体" w:hAnsi="宋体" w:cs="宋体" w:eastAsia="宋体"/>
                <w:sz w:val="24"/>
              </w:rPr>
              <w:t>（二）售后服务支持</w:t>
            </w:r>
          </w:p>
          <w:p>
            <w:pPr>
              <w:pStyle w:val="null3"/>
              <w:ind w:firstLine="480"/>
              <w:jc w:val="both"/>
            </w:pPr>
            <w:r>
              <w:rPr>
                <w:rFonts w:ascii="宋体" w:hAnsi="宋体" w:cs="宋体" w:eastAsia="宋体"/>
                <w:sz w:val="24"/>
              </w:rPr>
              <w:t>投标人在质量保证期内应当为采购人提供以下技术支持和服务：</w:t>
            </w:r>
          </w:p>
          <w:p>
            <w:pPr>
              <w:pStyle w:val="null3"/>
              <w:ind w:firstLine="480"/>
              <w:jc w:val="both"/>
            </w:pPr>
            <w:r>
              <w:rPr>
                <w:rFonts w:ascii="宋体" w:hAnsi="宋体" w:cs="宋体" w:eastAsia="宋体"/>
                <w:sz w:val="24"/>
              </w:rPr>
              <w:t>1、热线、网络远程支持服务</w:t>
            </w:r>
          </w:p>
          <w:p>
            <w:pPr>
              <w:pStyle w:val="null3"/>
              <w:ind w:firstLine="480"/>
              <w:jc w:val="both"/>
            </w:pPr>
            <w:r>
              <w:rPr>
                <w:rFonts w:ascii="宋体" w:hAnsi="宋体" w:cs="宋体" w:eastAsia="宋体"/>
                <w:sz w:val="24"/>
              </w:rPr>
              <w:t>提供</w:t>
            </w:r>
            <w:r>
              <w:rPr>
                <w:rFonts w:ascii="宋体" w:hAnsi="宋体" w:cs="宋体" w:eastAsia="宋体"/>
                <w:sz w:val="24"/>
              </w:rPr>
              <w:t>7×24小时不间断的热线支持服务，对检测系统、设备的维护、技术支持等及时进行响应。对于通过热线指导无法解决的问题可以通过网络远程方式对出现的故障进行诊断、分析、解决。响应时间：每天8:00～18:00期间，4小时内提出解决方案并处理，其余时间为12小时。</w:t>
            </w:r>
          </w:p>
          <w:p>
            <w:pPr>
              <w:pStyle w:val="null3"/>
              <w:ind w:firstLine="480"/>
              <w:jc w:val="both"/>
            </w:pPr>
            <w:r>
              <w:rPr>
                <w:rFonts w:ascii="宋体" w:hAnsi="宋体" w:cs="宋体" w:eastAsia="宋体"/>
                <w:sz w:val="24"/>
              </w:rPr>
              <w:t>2、现场支持服务</w:t>
            </w:r>
          </w:p>
          <w:p>
            <w:pPr>
              <w:pStyle w:val="null3"/>
              <w:ind w:firstLine="480"/>
              <w:jc w:val="both"/>
            </w:pPr>
            <w:r>
              <w:rPr>
                <w:rFonts w:ascii="宋体" w:hAnsi="宋体" w:cs="宋体" w:eastAsia="宋体"/>
                <w:sz w:val="24"/>
              </w:rPr>
              <w:t>如遇重大检测任务或严重故障，投标人应派遣专业技术人员现场提供技术支持服务，包括但不限于：现场检测任务支持、技术指导与讲解、故障排查与处理、技术顾问。响应时间不超过一个工作日。</w:t>
            </w:r>
          </w:p>
          <w:p>
            <w:pPr>
              <w:pStyle w:val="null3"/>
              <w:ind w:firstLine="480"/>
              <w:jc w:val="both"/>
            </w:pPr>
            <w:r>
              <w:rPr>
                <w:rFonts w:ascii="宋体" w:hAnsi="宋体" w:cs="宋体" w:eastAsia="宋体"/>
                <w:sz w:val="24"/>
              </w:rPr>
              <w:t>（三）培训和技术演练</w:t>
            </w:r>
          </w:p>
          <w:p>
            <w:pPr>
              <w:pStyle w:val="null3"/>
              <w:ind w:firstLine="480"/>
              <w:jc w:val="both"/>
            </w:pPr>
            <w:r>
              <w:rPr>
                <w:rFonts w:ascii="宋体" w:hAnsi="宋体" w:cs="宋体" w:eastAsia="宋体"/>
                <w:sz w:val="24"/>
              </w:rPr>
              <w:t>投标人应制定培训计划，针对性地为全省无线电管理机构提供丰富的技术培训课程和检测技术演练实验，可通过现场指导或网络授课等灵活方式开展。技术培训以讲授、展示为主，通过课堂讲解传输知识点。演练实验以实际操作为主，通过事先设定的实验方案，让学员将所学知识点与实际工作联系起来融会贯通，并通过实际操作加深对理论知识的吸收。</w:t>
            </w:r>
          </w:p>
          <w:p>
            <w:pPr>
              <w:pStyle w:val="null3"/>
              <w:ind w:firstLine="480"/>
              <w:jc w:val="both"/>
            </w:pPr>
            <w:r>
              <w:rPr>
                <w:rFonts w:ascii="宋体" w:hAnsi="宋体" w:cs="宋体" w:eastAsia="宋体"/>
                <w:sz w:val="24"/>
              </w:rPr>
              <w:t>（四）设备故障处理与维护</w:t>
            </w:r>
          </w:p>
          <w:p>
            <w:pPr>
              <w:pStyle w:val="null3"/>
              <w:ind w:firstLine="480"/>
              <w:jc w:val="both"/>
            </w:pPr>
            <w:r>
              <w:rPr>
                <w:rFonts w:ascii="宋体" w:hAnsi="宋体" w:cs="宋体" w:eastAsia="宋体"/>
                <w:sz w:val="24"/>
              </w:rPr>
              <w:t>无线电检测设备出现技术故障时，投标人技术人员应赴现场分析故障原因，根据故障等级制定故障解决方案，填写故障处理记录表。故障等级判定及处理要求参照《省级无线电监测设施运行维护规定》（国无办〔</w:t>
            </w:r>
            <w:r>
              <w:rPr>
                <w:rFonts w:ascii="宋体" w:hAnsi="宋体" w:cs="宋体" w:eastAsia="宋体"/>
                <w:sz w:val="24"/>
              </w:rPr>
              <w:t>2020〕4号）相关要求执行，响应时限最长不超过12小时，业务恢复时限原则上不超过72小时。</w:t>
            </w:r>
          </w:p>
          <w:p>
            <w:pPr>
              <w:pStyle w:val="null3"/>
              <w:ind w:firstLine="480"/>
              <w:jc w:val="both"/>
            </w:pPr>
            <w:r>
              <w:rPr>
                <w:rFonts w:ascii="宋体" w:hAnsi="宋体" w:cs="宋体" w:eastAsia="宋体"/>
                <w:sz w:val="24"/>
              </w:rPr>
              <w:t>维保设备出现影响系统无法正常使用的故障或功能错误，投标人技术人员应及时对反应的问题进行研判和处理，如自身不能处理应及时反馈公司寻求技术支持，采取设备返厂维修或派遣维护工程师前往现场维修等方式进行及时处理。若须联系设备厂商更换配件的，由投标人负责联系设备厂商，提出解决故障的方案，并在</w:t>
            </w:r>
            <w:r>
              <w:rPr>
                <w:rFonts w:ascii="宋体" w:hAnsi="宋体" w:cs="宋体" w:eastAsia="宋体"/>
                <w:sz w:val="24"/>
              </w:rPr>
              <w:t>10个工作日内以书面形式提交给采购人，维修全周期不超过3个月。厂家使用的维修零部件应为原厂配件，未经采购人同意不得使用非原厂配件。修复后设备性能指标必须满足相关检测标准要求。</w:t>
            </w:r>
          </w:p>
          <w:p>
            <w:pPr>
              <w:pStyle w:val="null3"/>
              <w:ind w:firstLine="480"/>
              <w:jc w:val="both"/>
            </w:pPr>
            <w:r>
              <w:rPr>
                <w:rFonts w:ascii="宋体" w:hAnsi="宋体" w:cs="宋体" w:eastAsia="宋体"/>
                <w:sz w:val="24"/>
              </w:rPr>
              <w:t>1、故障维修设备范围</w:t>
            </w:r>
          </w:p>
          <w:p>
            <w:pPr>
              <w:pStyle w:val="null3"/>
              <w:ind w:firstLine="480"/>
              <w:jc w:val="both"/>
            </w:pPr>
            <w:r>
              <w:rPr>
                <w:rFonts w:ascii="宋体" w:hAnsi="宋体" w:cs="宋体" w:eastAsia="宋体"/>
                <w:sz w:val="24"/>
              </w:rPr>
              <w:t>（</w:t>
            </w:r>
            <w:r>
              <w:rPr>
                <w:rFonts w:ascii="宋体" w:hAnsi="宋体" w:cs="宋体" w:eastAsia="宋体"/>
                <w:sz w:val="24"/>
              </w:rPr>
              <w:t>1）检测设备、仪器仪表、测试控制箱等检测系统主设备；</w:t>
            </w:r>
          </w:p>
          <w:p>
            <w:pPr>
              <w:pStyle w:val="null3"/>
              <w:ind w:firstLine="480"/>
              <w:jc w:val="both"/>
            </w:pPr>
            <w:r>
              <w:rPr>
                <w:rFonts w:ascii="宋体" w:hAnsi="宋体" w:cs="宋体" w:eastAsia="宋体"/>
                <w:sz w:val="24"/>
              </w:rPr>
              <w:t>（</w:t>
            </w:r>
            <w:r>
              <w:rPr>
                <w:rFonts w:ascii="宋体" w:hAnsi="宋体" w:cs="宋体" w:eastAsia="宋体"/>
                <w:sz w:val="24"/>
              </w:rPr>
              <w:t>2）检测系统配置的计算机、服务器、控制器；</w:t>
            </w:r>
          </w:p>
          <w:p>
            <w:pPr>
              <w:pStyle w:val="null3"/>
              <w:ind w:firstLine="480"/>
              <w:jc w:val="both"/>
            </w:pPr>
            <w:r>
              <w:rPr>
                <w:rFonts w:ascii="宋体" w:hAnsi="宋体" w:cs="宋体" w:eastAsia="宋体"/>
                <w:sz w:val="24"/>
              </w:rPr>
              <w:t>（</w:t>
            </w:r>
            <w:r>
              <w:rPr>
                <w:rFonts w:ascii="宋体" w:hAnsi="宋体" w:cs="宋体" w:eastAsia="宋体"/>
                <w:sz w:val="24"/>
              </w:rPr>
              <w:t>3）维保范围内各检测系统的附属专业设备及其非损耗附件。</w:t>
            </w:r>
          </w:p>
          <w:p>
            <w:pPr>
              <w:pStyle w:val="null3"/>
              <w:ind w:firstLine="480"/>
              <w:jc w:val="both"/>
            </w:pPr>
            <w:r>
              <w:rPr>
                <w:rFonts w:ascii="宋体" w:hAnsi="宋体" w:cs="宋体" w:eastAsia="宋体"/>
                <w:sz w:val="24"/>
              </w:rPr>
              <w:t>2、不包含在维修范围内的情况</w:t>
            </w:r>
          </w:p>
          <w:p>
            <w:pPr>
              <w:pStyle w:val="null3"/>
              <w:ind w:firstLine="480"/>
              <w:jc w:val="both"/>
            </w:pPr>
            <w:r>
              <w:rPr>
                <w:rFonts w:ascii="宋体" w:hAnsi="宋体" w:cs="宋体" w:eastAsia="宋体"/>
                <w:sz w:val="24"/>
              </w:rPr>
              <w:t>（</w:t>
            </w:r>
            <w:r>
              <w:rPr>
                <w:rFonts w:ascii="宋体" w:hAnsi="宋体" w:cs="宋体" w:eastAsia="宋体"/>
                <w:sz w:val="24"/>
              </w:rPr>
              <w:t>1）维保期间新购的、或仍在原厂保修期内的技术设备；</w:t>
            </w:r>
          </w:p>
          <w:p>
            <w:pPr>
              <w:pStyle w:val="null3"/>
              <w:ind w:firstLine="480"/>
              <w:jc w:val="both"/>
            </w:pPr>
            <w:r>
              <w:rPr>
                <w:rFonts w:ascii="宋体" w:hAnsi="宋体" w:cs="宋体" w:eastAsia="宋体"/>
                <w:sz w:val="24"/>
              </w:rPr>
              <w:t>（</w:t>
            </w:r>
            <w:r>
              <w:rPr>
                <w:rFonts w:ascii="宋体" w:hAnsi="宋体" w:cs="宋体" w:eastAsia="宋体"/>
                <w:sz w:val="24"/>
              </w:rPr>
              <w:t>2）故障严重，没有维修价值的技术设备；</w:t>
            </w:r>
          </w:p>
          <w:p>
            <w:pPr>
              <w:pStyle w:val="null3"/>
              <w:ind w:firstLine="480"/>
              <w:jc w:val="both"/>
            </w:pPr>
            <w:r>
              <w:rPr>
                <w:rFonts w:ascii="宋体" w:hAnsi="宋体" w:cs="宋体" w:eastAsia="宋体"/>
                <w:sz w:val="24"/>
              </w:rPr>
              <w:t>（</w:t>
            </w:r>
            <w:r>
              <w:rPr>
                <w:rFonts w:ascii="宋体" w:hAnsi="宋体" w:cs="宋体" w:eastAsia="宋体"/>
                <w:sz w:val="24"/>
              </w:rPr>
              <w:t>3）意外事故（火灾、浸水、交通事故等）造成的大范围设备故障。</w:t>
            </w:r>
          </w:p>
          <w:p>
            <w:pPr>
              <w:pStyle w:val="null3"/>
              <w:ind w:firstLine="480"/>
              <w:jc w:val="both"/>
            </w:pPr>
            <w:r>
              <w:rPr>
                <w:rFonts w:ascii="宋体" w:hAnsi="宋体" w:cs="宋体" w:eastAsia="宋体"/>
                <w:sz w:val="24"/>
              </w:rPr>
              <w:t>为提高故障处理速度，投标人应建立维保备件库，存储常规设备故障备品（如计算机、显示器、网络设备、存储设备、电池、电缆等以及配件）。</w:t>
            </w:r>
          </w:p>
          <w:p>
            <w:pPr>
              <w:pStyle w:val="null3"/>
              <w:ind w:left="420"/>
              <w:jc w:val="both"/>
            </w:pPr>
            <w:r>
              <w:rPr>
                <w:rFonts w:ascii="宋体" w:hAnsi="宋体" w:cs="宋体" w:eastAsia="宋体"/>
                <w:sz w:val="30"/>
                <w:b/>
              </w:rPr>
              <w:t>商务及其他要求</w:t>
            </w:r>
          </w:p>
          <w:p>
            <w:pPr>
              <w:pStyle w:val="null3"/>
              <w:ind w:left="420"/>
              <w:jc w:val="both"/>
            </w:pPr>
            <w:r>
              <w:rPr>
                <w:rFonts w:ascii="宋体" w:hAnsi="宋体" w:cs="宋体" w:eastAsia="宋体"/>
                <w:sz w:val="24"/>
              </w:rPr>
              <w:t>一、质量要求：符合国家现行技术规范和标准合格</w:t>
            </w:r>
          </w:p>
          <w:p>
            <w:pPr>
              <w:pStyle w:val="null3"/>
              <w:ind w:left="420"/>
              <w:jc w:val="both"/>
            </w:pPr>
            <w:r>
              <w:rPr>
                <w:rFonts w:ascii="宋体" w:hAnsi="宋体" w:cs="宋体" w:eastAsia="宋体"/>
                <w:sz w:val="24"/>
              </w:rPr>
              <w:t>二、服务期：</w:t>
            </w:r>
            <w:r>
              <w:rPr>
                <w:rFonts w:ascii="宋体" w:hAnsi="宋体" w:cs="宋体" w:eastAsia="宋体"/>
                <w:sz w:val="24"/>
              </w:rPr>
              <w:t>2025年1月1日至2025年12月31日。</w:t>
            </w:r>
          </w:p>
          <w:p>
            <w:pPr>
              <w:pStyle w:val="null3"/>
              <w:ind w:left="420"/>
              <w:jc w:val="both"/>
            </w:pPr>
            <w:r>
              <w:rPr>
                <w:rFonts w:ascii="宋体" w:hAnsi="宋体" w:cs="宋体" w:eastAsia="宋体"/>
                <w:sz w:val="24"/>
              </w:rPr>
              <w:t>三、地点：</w:t>
            </w:r>
            <w:r>
              <w:rPr>
                <w:rFonts w:ascii="宋体" w:hAnsi="宋体" w:cs="宋体" w:eastAsia="宋体"/>
                <w:sz w:val="24"/>
              </w:rPr>
              <w:t>陕西省内各地市无线电管理机构所在地</w:t>
            </w:r>
          </w:p>
          <w:p>
            <w:pPr>
              <w:pStyle w:val="null3"/>
              <w:ind w:left="420"/>
              <w:jc w:val="both"/>
            </w:pPr>
            <w:r>
              <w:rPr>
                <w:rFonts w:ascii="宋体" w:hAnsi="宋体" w:cs="宋体" w:eastAsia="宋体"/>
                <w:sz w:val="24"/>
              </w:rPr>
              <w:t>四、合同总价包括：项目实施费及其他费用等从项目实施至验收合格等所有其他有关各项的含税费用。</w:t>
            </w:r>
          </w:p>
          <w:p>
            <w:pPr>
              <w:pStyle w:val="null3"/>
              <w:ind w:left="420"/>
              <w:jc w:val="both"/>
            </w:pPr>
            <w:r>
              <w:rPr>
                <w:rFonts w:ascii="宋体" w:hAnsi="宋体" w:cs="宋体" w:eastAsia="宋体"/>
                <w:sz w:val="24"/>
              </w:rPr>
              <w:t>五、付款方式：</w:t>
            </w:r>
          </w:p>
          <w:p>
            <w:pPr>
              <w:pStyle w:val="null3"/>
              <w:ind w:left="420"/>
              <w:jc w:val="both"/>
            </w:pPr>
            <w:r>
              <w:rPr>
                <w:rFonts w:ascii="宋体" w:hAnsi="宋体" w:cs="宋体" w:eastAsia="宋体"/>
                <w:sz w:val="24"/>
              </w:rPr>
              <w:t>（</w:t>
            </w:r>
            <w:r>
              <w:rPr>
                <w:rFonts w:ascii="宋体" w:hAnsi="宋体" w:cs="宋体" w:eastAsia="宋体"/>
                <w:sz w:val="24"/>
              </w:rPr>
              <w:t>1）合同签订后10个工作日内，中标供应商向采购人出具合同总价款5%金额的银行保函，保函有效期截止到项目终验合格之日结束；</w:t>
            </w:r>
          </w:p>
          <w:p>
            <w:pPr>
              <w:pStyle w:val="null3"/>
              <w:ind w:left="420"/>
              <w:jc w:val="both"/>
            </w:pPr>
            <w:r>
              <w:rPr>
                <w:rFonts w:ascii="宋体" w:hAnsi="宋体" w:cs="宋体" w:eastAsia="宋体"/>
                <w:sz w:val="24"/>
              </w:rPr>
              <w:t>（</w:t>
            </w:r>
            <w:r>
              <w:rPr>
                <w:rFonts w:ascii="宋体" w:hAnsi="宋体" w:cs="宋体" w:eastAsia="宋体"/>
                <w:sz w:val="24"/>
              </w:rPr>
              <w:t>2）采购人收到中标供应商合格银行保函后支付全部合同总价款；</w:t>
            </w:r>
          </w:p>
          <w:p>
            <w:pPr>
              <w:pStyle w:val="null3"/>
              <w:ind w:left="420"/>
              <w:jc w:val="both"/>
            </w:pPr>
            <w:r>
              <w:rPr>
                <w:rFonts w:ascii="宋体" w:hAnsi="宋体" w:cs="宋体" w:eastAsia="宋体"/>
                <w:sz w:val="24"/>
              </w:rPr>
              <w:t>（</w:t>
            </w:r>
            <w:r>
              <w:rPr>
                <w:rFonts w:ascii="宋体" w:hAnsi="宋体" w:cs="宋体" w:eastAsia="宋体"/>
                <w:sz w:val="24"/>
              </w:rPr>
              <w:t>3）中标供应商承诺在采购人办理支付手续前，为采购人出具等额的符合国家规定的发票；</w:t>
            </w:r>
          </w:p>
          <w:p>
            <w:pPr>
              <w:pStyle w:val="null3"/>
              <w:ind w:left="420"/>
              <w:jc w:val="both"/>
            </w:pPr>
            <w:r>
              <w:rPr>
                <w:rFonts w:ascii="宋体" w:hAnsi="宋体" w:cs="宋体" w:eastAsia="宋体"/>
                <w:sz w:val="24"/>
              </w:rPr>
              <w:t>（</w:t>
            </w:r>
            <w:r>
              <w:rPr>
                <w:rFonts w:ascii="宋体" w:hAnsi="宋体" w:cs="宋体" w:eastAsia="宋体"/>
                <w:sz w:val="24"/>
              </w:rPr>
              <w:t>4）上述时间不包括采购人正常办理支付报批手续的时间（办理银行担保所需的手续费、担保费等全部由中标供应商承担）。</w:t>
            </w:r>
          </w:p>
          <w:p>
            <w:pPr>
              <w:pStyle w:val="null3"/>
              <w:ind w:firstLine="480"/>
              <w:jc w:val="both"/>
            </w:pPr>
            <w:r>
              <w:rPr>
                <w:rFonts w:ascii="宋体" w:hAnsi="宋体" w:cs="宋体" w:eastAsia="宋体"/>
                <w:sz w:val="24"/>
              </w:rPr>
              <w:t>六、项目检验与验收</w:t>
            </w:r>
          </w:p>
          <w:p>
            <w:pPr>
              <w:pStyle w:val="null3"/>
              <w:ind w:firstLine="480"/>
              <w:jc w:val="both"/>
            </w:pPr>
            <w:r>
              <w:rPr>
                <w:rFonts w:ascii="&quot;times new roman&quot;" w:hAnsi="&quot;times new roman&quot;" w:cs="&quot;times new roman&quot;" w:eastAsia="&quot;times new roman&quot;"/>
                <w:sz w:val="21"/>
              </w:rPr>
              <w:t xml:space="preserve"> </w:t>
            </w:r>
            <w:r>
              <w:rPr>
                <w:rFonts w:ascii="宋体" w:hAnsi="宋体" w:cs="宋体" w:eastAsia="宋体"/>
                <w:sz w:val="24"/>
              </w:rPr>
              <w:t>1.项目验收分合同验收和最终验收（由</w:t>
            </w:r>
            <w:r>
              <w:rPr>
                <w:rFonts w:ascii="宋体" w:hAnsi="宋体" w:cs="宋体" w:eastAsia="宋体"/>
                <w:sz w:val="24"/>
              </w:rPr>
              <w:t>采购人</w:t>
            </w:r>
            <w:r>
              <w:rPr>
                <w:rFonts w:ascii="宋体" w:hAnsi="宋体" w:cs="宋体" w:eastAsia="宋体"/>
                <w:sz w:val="24"/>
              </w:rPr>
              <w:t>指定的第三方代理机构负责组织实施）。</w:t>
            </w:r>
          </w:p>
          <w:p>
            <w:pPr>
              <w:pStyle w:val="null3"/>
              <w:ind w:firstLine="480"/>
              <w:jc w:val="both"/>
            </w:pPr>
            <w:r>
              <w:rPr>
                <w:rFonts w:ascii="宋体" w:hAnsi="宋体" w:cs="宋体" w:eastAsia="宋体"/>
                <w:sz w:val="24"/>
              </w:rPr>
              <w:t>合同验收：完成维护后，由使用单位根据合同进行检查，检查合同建设内容完成情况、合同支付情况、合同规定的各类文档资料收集等工作。</w:t>
            </w:r>
          </w:p>
          <w:p>
            <w:pPr>
              <w:pStyle w:val="null3"/>
              <w:ind w:firstLine="480"/>
              <w:jc w:val="both"/>
            </w:pPr>
            <w:r>
              <w:rPr>
                <w:rFonts w:ascii="宋体" w:hAnsi="宋体" w:cs="宋体" w:eastAsia="宋体"/>
                <w:sz w:val="24"/>
              </w:rPr>
              <w:t>最终验收：由采购方进行终验，包括项目最终验收申请及批复材料、项目承担单位基本情况、项目概况、项目实施总结报告等资料。合格后签发《终验合格单》。</w:t>
            </w:r>
          </w:p>
          <w:p>
            <w:pPr>
              <w:pStyle w:val="null3"/>
              <w:ind w:firstLine="470"/>
              <w:jc w:val="both"/>
            </w:pPr>
            <w:r>
              <w:rPr>
                <w:rFonts w:ascii="宋体" w:hAnsi="宋体" w:cs="宋体" w:eastAsia="宋体"/>
                <w:sz w:val="24"/>
              </w:rPr>
              <w:t>2.验收依据</w:t>
            </w:r>
          </w:p>
          <w:p>
            <w:pPr>
              <w:pStyle w:val="null3"/>
              <w:ind w:firstLine="480"/>
              <w:jc w:val="both"/>
            </w:pPr>
            <w:r>
              <w:rPr>
                <w:rFonts w:ascii="宋体" w:hAnsi="宋体" w:cs="宋体" w:eastAsia="宋体"/>
                <w:sz w:val="24"/>
              </w:rPr>
              <w:t>（</w:t>
            </w:r>
            <w:r>
              <w:rPr>
                <w:rFonts w:ascii="宋体" w:hAnsi="宋体" w:cs="宋体" w:eastAsia="宋体"/>
                <w:sz w:val="24"/>
              </w:rPr>
              <w:t>1）合同文本及合同补充文件（条款）。</w:t>
            </w:r>
          </w:p>
          <w:p>
            <w:pPr>
              <w:pStyle w:val="null3"/>
              <w:ind w:firstLine="480"/>
              <w:jc w:val="both"/>
            </w:pPr>
            <w:r>
              <w:rPr>
                <w:rFonts w:ascii="宋体" w:hAnsi="宋体" w:cs="宋体" w:eastAsia="宋体"/>
                <w:sz w:val="24"/>
              </w:rPr>
              <w:t>（</w:t>
            </w:r>
            <w:r>
              <w:rPr>
                <w:rFonts w:ascii="宋体" w:hAnsi="宋体" w:cs="宋体" w:eastAsia="宋体"/>
                <w:sz w:val="24"/>
              </w:rPr>
              <w:t>2）招标文件。</w:t>
            </w:r>
          </w:p>
          <w:p>
            <w:pPr>
              <w:pStyle w:val="null3"/>
              <w:ind w:firstLine="480"/>
              <w:jc w:val="both"/>
            </w:pPr>
            <w:r>
              <w:rPr>
                <w:rFonts w:ascii="宋体" w:hAnsi="宋体" w:cs="宋体" w:eastAsia="宋体"/>
                <w:sz w:val="24"/>
              </w:rPr>
              <w:t>（</w:t>
            </w:r>
            <w:r>
              <w:rPr>
                <w:rFonts w:ascii="宋体" w:hAnsi="宋体" w:cs="宋体" w:eastAsia="宋体"/>
                <w:sz w:val="24"/>
              </w:rPr>
              <w:t>3）中标人的投标文件。</w:t>
            </w:r>
          </w:p>
          <w:p>
            <w:pPr>
              <w:pStyle w:val="null3"/>
              <w:ind w:firstLine="480"/>
              <w:jc w:val="both"/>
            </w:pPr>
            <w:r>
              <w:rPr>
                <w:rFonts w:ascii="宋体" w:hAnsi="宋体" w:cs="宋体" w:eastAsia="宋体"/>
                <w:sz w:val="24"/>
              </w:rPr>
              <w:t>七、服务方式</w:t>
            </w:r>
          </w:p>
          <w:p>
            <w:pPr>
              <w:pStyle w:val="null3"/>
              <w:ind w:firstLine="480"/>
              <w:jc w:val="both"/>
            </w:pPr>
            <w:r>
              <w:rPr>
                <w:rFonts w:ascii="宋体" w:hAnsi="宋体" w:cs="宋体" w:eastAsia="宋体"/>
                <w:sz w:val="24"/>
              </w:rPr>
              <w:t>成立专属服务团队，定期派遣技术人员现场巡检、故障处理，定期汇报项目完成情况，并将维护数据统计上报给采购人。</w:t>
            </w:r>
          </w:p>
          <w:p>
            <w:pPr>
              <w:pStyle w:val="null3"/>
              <w:ind w:firstLine="480"/>
              <w:jc w:val="both"/>
            </w:pPr>
            <w:r>
              <w:rPr>
                <w:rFonts w:ascii="宋体" w:hAnsi="宋体" w:cs="宋体" w:eastAsia="宋体"/>
                <w:sz w:val="24"/>
              </w:rPr>
              <w:t>八、文档管理</w:t>
            </w:r>
          </w:p>
          <w:p>
            <w:pPr>
              <w:pStyle w:val="null3"/>
              <w:ind w:firstLine="480"/>
              <w:jc w:val="both"/>
            </w:pPr>
            <w:r>
              <w:rPr>
                <w:rFonts w:ascii="宋体" w:hAnsi="宋体" w:cs="宋体" w:eastAsia="宋体"/>
                <w:sz w:val="24"/>
              </w:rPr>
              <w:t>在运维过程中，运维服务人员应做好的所有文档的记录和归档工作，包括各种形式的服务总结、工作汇报及技术方案等，汇总统计工作完成情况，每季度汇总一次，提交给采购人确认。服务期结束后装订成册作为服务验收依据。</w:t>
            </w:r>
          </w:p>
          <w:p>
            <w:pPr>
              <w:pStyle w:val="null3"/>
              <w:ind w:firstLine="480"/>
              <w:jc w:val="both"/>
            </w:pPr>
            <w:r>
              <w:rPr>
                <w:rFonts w:ascii="宋体" w:hAnsi="宋体" w:cs="宋体" w:eastAsia="宋体"/>
                <w:sz w:val="24"/>
              </w:rPr>
              <w:t>九、服务质量</w:t>
            </w:r>
          </w:p>
          <w:p>
            <w:pPr>
              <w:pStyle w:val="null3"/>
              <w:ind w:firstLine="480"/>
              <w:jc w:val="both"/>
            </w:pPr>
            <w:r>
              <w:rPr>
                <w:rFonts w:ascii="宋体" w:hAnsi="宋体" w:cs="宋体" w:eastAsia="宋体"/>
                <w:sz w:val="24"/>
              </w:rPr>
              <w:t>1、履行合同过程中，投标人应对服务质量有所保证。若造成重大事故的，除投标人赔偿直接的经济损失并承担法律责任外，采购人有权中止合同。</w:t>
            </w:r>
          </w:p>
          <w:p>
            <w:pPr>
              <w:pStyle w:val="null3"/>
              <w:ind w:firstLine="480"/>
              <w:jc w:val="both"/>
            </w:pPr>
            <w:r>
              <w:rPr>
                <w:rFonts w:ascii="宋体" w:hAnsi="宋体" w:cs="宋体" w:eastAsia="宋体"/>
                <w:sz w:val="24"/>
              </w:rPr>
              <w:t>2、投标人应保证其运维服务人员具有相应技术能力，熟悉无线电检测设备，可单独开展仪器仪表巡检、故障测试与判断、故障处置，动手能力、沟通能力强、工作认真负责。</w:t>
            </w:r>
          </w:p>
          <w:p>
            <w:pPr>
              <w:pStyle w:val="null3"/>
              <w:ind w:firstLine="480"/>
              <w:jc w:val="both"/>
            </w:pPr>
            <w:r>
              <w:rPr>
                <w:rFonts w:ascii="宋体" w:hAnsi="宋体" w:cs="宋体" w:eastAsia="宋体"/>
                <w:sz w:val="24"/>
              </w:rPr>
              <w:t>3、投标人派遣的运维服务人员需遵守采购人有关工作制度及保密制度。投标人应成立专门服务于本项目的固定人员，项目组成员联系方式全部提供给采购人。在运行维护过程中，采购人认为投标人提供的项目负责人或者技术人员能力与本项目要求不匹配，从而提出更换人员的，投标人必须予以更换。投标人更换项目主要负责人或主要技术骨干必须书面报采购人同意后方可进行。</w:t>
            </w:r>
          </w:p>
          <w:p>
            <w:pPr>
              <w:pStyle w:val="null3"/>
              <w:ind w:firstLine="480"/>
              <w:jc w:val="both"/>
            </w:pPr>
            <w:r>
              <w:rPr>
                <w:rFonts w:ascii="宋体" w:hAnsi="宋体" w:cs="宋体" w:eastAsia="宋体"/>
                <w:sz w:val="24"/>
              </w:rPr>
              <w:t>4、若合同期满，验收不合格，投标人应赔偿经济损失并承担法律责任。</w:t>
            </w:r>
          </w:p>
          <w:p>
            <w:pPr>
              <w:pStyle w:val="null3"/>
              <w:ind w:firstLine="480"/>
              <w:jc w:val="both"/>
            </w:pPr>
            <w:r>
              <w:rPr>
                <w:rFonts w:ascii="宋体" w:hAnsi="宋体" w:cs="宋体" w:eastAsia="宋体"/>
                <w:sz w:val="24"/>
              </w:rPr>
              <w:t>十、档案梳理</w:t>
            </w:r>
          </w:p>
          <w:p>
            <w:pPr>
              <w:pStyle w:val="null3"/>
              <w:ind w:firstLine="200"/>
              <w:jc w:val="both"/>
            </w:pPr>
            <w:r>
              <w:rPr>
                <w:rFonts w:ascii="宋体" w:hAnsi="宋体" w:cs="宋体" w:eastAsia="宋体"/>
                <w:sz w:val="24"/>
              </w:rPr>
              <w:t>运维服务期内，投标人需对此次运行维护项目的全部服务内容进行汇总整理，将服务期间的巡检报告、故障处理单、设备维修报告及检测（计量校准）报告等内容编制成《运行维护服务半年度报告》，便于采购人更加直接的了解运维单位的服务情况，并将报告作为项目验收附件。</w:t>
            </w:r>
          </w:p>
        </w:tc>
      </w:tr>
    </w:tbl>
    <w:p>
      <w:pPr>
        <w:pStyle w:val="null3"/>
        <w:outlineLvl w:val="3"/>
      </w:pPr>
      <w:r>
        <w:rPr>
          <w:sz w:val="24"/>
          <w:b/>
        </w:rPr>
        <w:t>3.2.3人员配置要求</w:t>
      </w:r>
    </w:p>
    <w:p>
      <w:pPr>
        <w:pStyle w:val="null3"/>
      </w:pPr>
      <w:r>
        <w:rPr/>
        <w:t>采购包1：</w:t>
      </w:r>
    </w:p>
    <w:p>
      <w:pPr>
        <w:pStyle w:val="null3"/>
      </w:pPr>
      <w:r>
        <w:rPr/>
        <w:t>满足招标文件和采购人规范标准要求</w:t>
      </w:r>
    </w:p>
    <w:p>
      <w:pPr>
        <w:pStyle w:val="null3"/>
        <w:outlineLvl w:val="3"/>
      </w:pPr>
      <w:r>
        <w:rPr>
          <w:sz w:val="24"/>
          <w:b/>
        </w:rPr>
        <w:t>3.2.4设施设备配置要求</w:t>
      </w:r>
    </w:p>
    <w:p>
      <w:pPr>
        <w:pStyle w:val="null3"/>
      </w:pPr>
      <w:r>
        <w:rPr/>
        <w:t>采购包1：</w:t>
      </w:r>
    </w:p>
    <w:p>
      <w:pPr>
        <w:pStyle w:val="null3"/>
      </w:pPr>
      <w:r>
        <w:rPr/>
        <w:t>满足招标文件和采购人规范标准要求</w:t>
      </w:r>
    </w:p>
    <w:p>
      <w:pPr>
        <w:pStyle w:val="null3"/>
        <w:outlineLvl w:val="3"/>
      </w:pPr>
      <w:r>
        <w:rPr>
          <w:sz w:val="24"/>
          <w:b/>
        </w:rPr>
        <w:t>3.2.5其他要求</w:t>
      </w:r>
    </w:p>
    <w:p>
      <w:pPr>
        <w:pStyle w:val="null3"/>
      </w:pPr>
      <w:r>
        <w:rPr/>
        <w:t>采购包1：</w:t>
      </w:r>
    </w:p>
    <w:p>
      <w:pPr>
        <w:pStyle w:val="null3"/>
      </w:pPr>
      <w:r>
        <w:rPr/>
        <w:t>满足招标文件和采购人规范标准要求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2025年1月1日至2025年12月31日</w:t>
      </w:r>
    </w:p>
    <w:p>
      <w:pPr>
        <w:pStyle w:val="null3"/>
        <w:outlineLvl w:val="3"/>
      </w:pPr>
      <w:r>
        <w:rPr>
          <w:sz w:val="24"/>
          <w:b/>
        </w:rPr>
        <w:t>3.3.2服务地点</w:t>
      </w:r>
    </w:p>
    <w:p>
      <w:pPr>
        <w:pStyle w:val="null3"/>
      </w:pPr>
      <w:r>
        <w:rPr/>
        <w:t>采购包1：</w:t>
      </w:r>
    </w:p>
    <w:p>
      <w:pPr>
        <w:pStyle w:val="null3"/>
      </w:pPr>
      <w:r>
        <w:rPr/>
        <w:t>陕西省内各地市无线电管理机构所在地</w:t>
      </w:r>
    </w:p>
    <w:p>
      <w:pPr>
        <w:pStyle w:val="null3"/>
        <w:outlineLvl w:val="3"/>
      </w:pPr>
      <w:r>
        <w:rPr>
          <w:sz w:val="24"/>
          <w:b/>
        </w:rPr>
        <w:t>3.3.3考核（验收）标准和方法</w:t>
      </w:r>
    </w:p>
    <w:p>
      <w:pPr>
        <w:pStyle w:val="null3"/>
      </w:pPr>
      <w:r>
        <w:rPr/>
        <w:t>采购包1：</w:t>
      </w:r>
    </w:p>
    <w:p>
      <w:pPr>
        <w:pStyle w:val="null3"/>
      </w:pPr>
      <w:r>
        <w:rPr/>
        <w:t>满足招标文件和采购人规范标准要求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合同签订后10个工作日内，中标供应商向采购人出具合同总价款5%金额的银行保函，保函有效期截止到项目终验合格之日结束；采购人收到中标供应商合格银行保函后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满足招标文件和采购人规范标准要求</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提供符合政府采购政策的证明材料 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提供符合政府采购政策的证明材料 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提供符合政府采购政策的证明材料 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供应商为合法注册的法人或其他组织或自然人，提供营业执照（或事业法人证）；自然人提供身份证明</w:t>
            </w:r>
          </w:p>
        </w:tc>
        <w:tc>
          <w:tcPr>
            <w:tcW w:type="dxa" w:w="1661"/>
          </w:tcPr>
          <w:p>
            <w:pPr>
              <w:pStyle w:val="null3"/>
            </w:pPr>
            <w:r>
              <w:rPr/>
              <w:t>提供符合政府采购政策的证明材料 资格证明文件</w:t>
            </w:r>
          </w:p>
        </w:tc>
      </w:tr>
      <w:tr>
        <w:tc>
          <w:tcPr>
            <w:tcW w:type="dxa" w:w="831"/>
          </w:tcPr>
          <w:p>
            <w:pPr>
              <w:pStyle w:val="null3"/>
            </w:pPr>
            <w:r>
              <w:rPr/>
              <w:t>2</w:t>
            </w:r>
          </w:p>
        </w:tc>
        <w:tc>
          <w:tcPr>
            <w:tcW w:type="dxa" w:w="2492"/>
          </w:tcPr>
          <w:p>
            <w:pPr>
              <w:pStyle w:val="null3"/>
            </w:pPr>
            <w:r>
              <w:rPr/>
              <w:t>法定代表人及法定代表人委托授权书</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t>提供符合政府采购政策的证明材料 资格证明文件</w:t>
            </w:r>
          </w:p>
        </w:tc>
      </w:tr>
      <w:tr>
        <w:tc>
          <w:tcPr>
            <w:tcW w:type="dxa" w:w="831"/>
          </w:tcPr>
          <w:p>
            <w:pPr>
              <w:pStyle w:val="null3"/>
            </w:pPr>
            <w:r>
              <w:rPr/>
              <w:t>3</w:t>
            </w:r>
          </w:p>
        </w:tc>
        <w:tc>
          <w:tcPr>
            <w:tcW w:type="dxa" w:w="2492"/>
          </w:tcPr>
          <w:p>
            <w:pPr>
              <w:pStyle w:val="null3"/>
            </w:pPr>
            <w:r>
              <w:rPr/>
              <w:t>具备履行合同所必须的设备和专业技术能力的说明及承诺</w:t>
            </w:r>
          </w:p>
        </w:tc>
        <w:tc>
          <w:tcPr>
            <w:tcW w:type="dxa" w:w="3322"/>
          </w:tcPr>
          <w:p>
            <w:pPr>
              <w:pStyle w:val="null3"/>
            </w:pPr>
            <w:r>
              <w:rPr/>
              <w:t>具备履行合同所必须的设备和专业技术能力的说明及承诺</w:t>
            </w:r>
          </w:p>
        </w:tc>
        <w:tc>
          <w:tcPr>
            <w:tcW w:type="dxa" w:w="1661"/>
          </w:tcPr>
          <w:p>
            <w:pPr>
              <w:pStyle w:val="null3"/>
            </w:pPr>
            <w:r>
              <w:rPr/>
              <w:t>提供符合政府采购政策的证明材料 资格证明文件</w:t>
            </w:r>
          </w:p>
        </w:tc>
      </w:tr>
      <w:tr>
        <w:tc>
          <w:tcPr>
            <w:tcW w:type="dxa" w:w="831"/>
          </w:tcPr>
          <w:p>
            <w:pPr>
              <w:pStyle w:val="null3"/>
            </w:pPr>
            <w:r>
              <w:rPr/>
              <w:t>4</w:t>
            </w:r>
          </w:p>
        </w:tc>
        <w:tc>
          <w:tcPr>
            <w:tcW w:type="dxa" w:w="2492"/>
          </w:tcPr>
          <w:p>
            <w:pPr>
              <w:pStyle w:val="null3"/>
            </w:pPr>
            <w:r>
              <w:rPr/>
              <w:t>供应商在近三年经营活动中没有重大违法记录的声明</w:t>
            </w:r>
          </w:p>
        </w:tc>
        <w:tc>
          <w:tcPr>
            <w:tcW w:type="dxa" w:w="3322"/>
          </w:tcPr>
          <w:p>
            <w:pPr>
              <w:pStyle w:val="null3"/>
            </w:pPr>
            <w:r>
              <w:rPr/>
              <w:t>供应商在近三年经营活动中没有重大违法记录的声明</w:t>
            </w:r>
          </w:p>
        </w:tc>
        <w:tc>
          <w:tcPr>
            <w:tcW w:type="dxa" w:w="1661"/>
          </w:tcPr>
          <w:p>
            <w:pPr>
              <w:pStyle w:val="null3"/>
            </w:pPr>
            <w:r>
              <w:rPr/>
              <w:t>提供符合政府采购政策的证明材料 资格证明文件</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财务状况报告（二选一）：①供应商提供2022年度或2023年度任一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tc>
        <w:tc>
          <w:tcPr>
            <w:tcW w:type="dxa" w:w="1661"/>
          </w:tcPr>
          <w:p>
            <w:pPr>
              <w:pStyle w:val="null3"/>
            </w:pPr>
            <w:r>
              <w:rPr/>
              <w:t>提供符合政府采购政策的证明材料 资格证明文件</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税收缴纳证明：供应商提供2024年1月至今已缴纳的至少一个月的纳税证明或完税证明（任意税种）；依法免税的单位应提供相关文件证明</w:t>
            </w:r>
          </w:p>
        </w:tc>
        <w:tc>
          <w:tcPr>
            <w:tcW w:type="dxa" w:w="1661"/>
          </w:tcPr>
          <w:p>
            <w:pPr>
              <w:pStyle w:val="null3"/>
            </w:pPr>
            <w:r>
              <w:rPr/>
              <w:t>提供符合政府采购政策的证明材料 资格证明文件</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社会保障资金缴纳证明：供应商提供2024年1月至今已缴存的至少一个月的社会保障资金缴存单据或社保机构开具的社会保险参保缴费情况证明，依法不需要缴纳社会保障资金的单位应提供相关证明材料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提供符合政府采购政策的证明材料 资格证明文件</w:t>
            </w:r>
          </w:p>
        </w:tc>
      </w:tr>
      <w:tr>
        <w:tc>
          <w:tcPr>
            <w:tcW w:type="dxa" w:w="831"/>
          </w:tcPr>
          <w:p>
            <w:pPr>
              <w:pStyle w:val="null3"/>
            </w:pPr>
            <w:r>
              <w:rPr/>
              <w:t>8</w:t>
            </w:r>
          </w:p>
        </w:tc>
        <w:tc>
          <w:tcPr>
            <w:tcW w:type="dxa" w:w="2492"/>
          </w:tcPr>
          <w:p>
            <w:pPr>
              <w:pStyle w:val="null3"/>
            </w:pPr>
            <w:r>
              <w:rPr/>
              <w:t>信誉</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t>提供符合政府采购政策的证明材料 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本项目不接受联合体投标（提供非联合体承诺书）</w:t>
            </w:r>
          </w:p>
        </w:tc>
        <w:tc>
          <w:tcPr>
            <w:tcW w:type="dxa" w:w="1661"/>
          </w:tcPr>
          <w:p>
            <w:pPr>
              <w:pStyle w:val="null3"/>
            </w:pPr>
            <w:r>
              <w:rPr/>
              <w:t>提供符合政府采购政策的证明材料 资格证明文件</w:t>
            </w:r>
          </w:p>
        </w:tc>
      </w:tr>
      <w:tr>
        <w:tc>
          <w:tcPr>
            <w:tcW w:type="dxa" w:w="831"/>
          </w:tcPr>
          <w:p>
            <w:pPr>
              <w:pStyle w:val="null3"/>
            </w:pPr>
            <w:r>
              <w:rPr/>
              <w:t>10</w:t>
            </w:r>
          </w:p>
        </w:tc>
        <w:tc>
          <w:tcPr>
            <w:tcW w:type="dxa" w:w="2492"/>
          </w:tcPr>
          <w:p>
            <w:pPr>
              <w:pStyle w:val="null3"/>
            </w:pPr>
            <w:r>
              <w:rPr/>
              <w:t>控股管理关系</w:t>
            </w:r>
          </w:p>
        </w:tc>
        <w:tc>
          <w:tcPr>
            <w:tcW w:type="dxa" w:w="3322"/>
          </w:tcPr>
          <w:p>
            <w:pPr>
              <w:pStyle w:val="null3"/>
            </w:pPr>
            <w:r>
              <w:rPr/>
              <w:t>单位负责人为同一人或者存在控股、管理关系的不同单位不得同时投标（提供供应商企业关系关联承诺书）</w:t>
            </w:r>
          </w:p>
        </w:tc>
        <w:tc>
          <w:tcPr>
            <w:tcW w:type="dxa" w:w="1661"/>
          </w:tcPr>
          <w:p>
            <w:pPr>
              <w:pStyle w:val="null3"/>
            </w:pPr>
            <w:r>
              <w:rPr/>
              <w:t>提供符合政府采购政策的证明材料 资格证明文件</w:t>
            </w:r>
          </w:p>
        </w:tc>
      </w:tr>
      <w:tr>
        <w:tc>
          <w:tcPr>
            <w:tcW w:type="dxa" w:w="831"/>
          </w:tcPr>
          <w:p>
            <w:pPr>
              <w:pStyle w:val="null3"/>
            </w:pPr>
            <w:r>
              <w:rPr/>
              <w:t>11</w:t>
            </w:r>
          </w:p>
        </w:tc>
        <w:tc>
          <w:tcPr>
            <w:tcW w:type="dxa" w:w="2492"/>
          </w:tcPr>
          <w:p>
            <w:pPr>
              <w:pStyle w:val="null3"/>
            </w:pPr>
            <w:r>
              <w:rPr/>
              <w:t>投标保证金</w:t>
            </w:r>
          </w:p>
        </w:tc>
        <w:tc>
          <w:tcPr>
            <w:tcW w:type="dxa" w:w="3322"/>
          </w:tcPr>
          <w:p>
            <w:pPr>
              <w:pStyle w:val="null3"/>
            </w:pPr>
            <w:r>
              <w:rPr/>
              <w:t>投标保证金交纳凭证及基本账户存款信息</w:t>
            </w:r>
          </w:p>
        </w:tc>
        <w:tc>
          <w:tcPr>
            <w:tcW w:type="dxa" w:w="1661"/>
          </w:tcPr>
          <w:p>
            <w:pPr>
              <w:pStyle w:val="null3"/>
            </w:pPr>
            <w:r>
              <w:rPr/>
              <w:t>提供符合政府采购政策的证明材料 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本项目非专门面向中小企业</w:t>
            </w:r>
          </w:p>
        </w:tc>
        <w:tc>
          <w:tcPr>
            <w:tcW w:type="dxa" w:w="3322"/>
          </w:tcPr>
          <w:p>
            <w:pPr>
              <w:pStyle w:val="null3"/>
            </w:pPr>
            <w:r>
              <w:rPr/>
              <w:t>本项目非专门面向中小企业</w:t>
            </w:r>
          </w:p>
        </w:tc>
        <w:tc>
          <w:tcPr>
            <w:tcW w:type="dxa" w:w="1661"/>
          </w:tcPr>
          <w:p>
            <w:pPr>
              <w:pStyle w:val="null3"/>
            </w:pPr>
            <w:r>
              <w:rPr/>
              <w:t>提供符合政府采购政策的证明材料 资格证明文件 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投标供应商名称与获取招标文件的单位名称是否一致</w:t>
            </w:r>
          </w:p>
        </w:tc>
        <w:tc>
          <w:tcPr>
            <w:tcW w:type="dxa" w:w="3322"/>
          </w:tcPr>
          <w:p>
            <w:pPr>
              <w:pStyle w:val="null3"/>
            </w:pPr>
            <w:r>
              <w:rPr/>
              <w:t>投标供应商名称与获取招标文件的单位名称一致的</w:t>
            </w:r>
          </w:p>
        </w:tc>
        <w:tc>
          <w:tcPr>
            <w:tcW w:type="dxa" w:w="1661"/>
          </w:tcPr>
          <w:p>
            <w:pPr>
              <w:pStyle w:val="null3"/>
            </w:pPr>
            <w:r>
              <w:rPr/>
              <w:t>开标一览表 投标函 标的清单 投标文件封面</w:t>
            </w:r>
          </w:p>
        </w:tc>
      </w:tr>
      <w:tr>
        <w:tc>
          <w:tcPr>
            <w:tcW w:type="dxa" w:w="831"/>
          </w:tcPr>
          <w:p>
            <w:pPr>
              <w:pStyle w:val="null3"/>
            </w:pPr>
            <w:r>
              <w:rPr/>
              <w:t>3</w:t>
            </w:r>
          </w:p>
        </w:tc>
        <w:tc>
          <w:tcPr>
            <w:tcW w:type="dxa" w:w="2492"/>
          </w:tcPr>
          <w:p>
            <w:pPr>
              <w:pStyle w:val="null3"/>
            </w:pPr>
            <w:r>
              <w:rPr/>
              <w:t>投标文件是否按照招标文件规定要求签署、盖章</w:t>
            </w:r>
          </w:p>
        </w:tc>
        <w:tc>
          <w:tcPr>
            <w:tcW w:type="dxa" w:w="3322"/>
          </w:tcPr>
          <w:p>
            <w:pPr>
              <w:pStyle w:val="null3"/>
            </w:pPr>
            <w:r>
              <w:rPr/>
              <w:t>投标文件按照招标文件规定要求签署、盖章的</w:t>
            </w:r>
          </w:p>
        </w:tc>
        <w:tc>
          <w:tcPr>
            <w:tcW w:type="dxa" w:w="1661"/>
          </w:tcPr>
          <w:p>
            <w:pPr>
              <w:pStyle w:val="null3"/>
            </w:pPr>
            <w:r>
              <w:rPr/>
              <w:t>开标一览表 分项报价表 投标函 标的清单 投标文件封面</w:t>
            </w:r>
          </w:p>
        </w:tc>
      </w:tr>
      <w:tr>
        <w:tc>
          <w:tcPr>
            <w:tcW w:type="dxa" w:w="831"/>
          </w:tcPr>
          <w:p>
            <w:pPr>
              <w:pStyle w:val="null3"/>
            </w:pPr>
            <w:r>
              <w:rPr/>
              <w:t>4</w:t>
            </w:r>
          </w:p>
        </w:tc>
        <w:tc>
          <w:tcPr>
            <w:tcW w:type="dxa" w:w="2492"/>
          </w:tcPr>
          <w:p>
            <w:pPr>
              <w:pStyle w:val="null3"/>
            </w:pPr>
            <w:r>
              <w:rPr/>
              <w:t>投标有效期是否满足的</w:t>
            </w:r>
          </w:p>
        </w:tc>
        <w:tc>
          <w:tcPr>
            <w:tcW w:type="dxa" w:w="3322"/>
          </w:tcPr>
          <w:p>
            <w:pPr>
              <w:pStyle w:val="null3"/>
            </w:pPr>
            <w:r>
              <w:rPr/>
              <w:t>投标有效期满足招标文件要求的</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报价是否超过招标文件中规定的预算金额或者最高限价的</w:t>
            </w:r>
          </w:p>
        </w:tc>
        <w:tc>
          <w:tcPr>
            <w:tcW w:type="dxa" w:w="3322"/>
          </w:tcPr>
          <w:p>
            <w:pPr>
              <w:pStyle w:val="null3"/>
            </w:pPr>
            <w:r>
              <w:rPr/>
              <w:t>报价未超过招标文件中规定的预算金额或者最高限价的</w:t>
            </w:r>
          </w:p>
        </w:tc>
        <w:tc>
          <w:tcPr>
            <w:tcW w:type="dxa" w:w="1661"/>
          </w:tcPr>
          <w:p>
            <w:pPr>
              <w:pStyle w:val="null3"/>
            </w:pPr>
            <w:r>
              <w:rPr/>
              <w:t>开标一览表 分项报价表 投标函 标的清单 投标文件封面</w:t>
            </w:r>
          </w:p>
        </w:tc>
      </w:tr>
      <w:tr>
        <w:tc>
          <w:tcPr>
            <w:tcW w:type="dxa" w:w="831"/>
          </w:tcPr>
          <w:p>
            <w:pPr>
              <w:pStyle w:val="null3"/>
            </w:pPr>
            <w:r>
              <w:rPr/>
              <w:t>6</w:t>
            </w:r>
          </w:p>
        </w:tc>
        <w:tc>
          <w:tcPr>
            <w:tcW w:type="dxa" w:w="2492"/>
          </w:tcPr>
          <w:p>
            <w:pPr>
              <w:pStyle w:val="null3"/>
            </w:pPr>
            <w:r>
              <w:rPr/>
              <w:t>招标文件商务要求是否出现重大负偏离</w:t>
            </w:r>
          </w:p>
        </w:tc>
        <w:tc>
          <w:tcPr>
            <w:tcW w:type="dxa" w:w="3322"/>
          </w:tcPr>
          <w:p>
            <w:pPr>
              <w:pStyle w:val="null3"/>
            </w:pPr>
            <w:r>
              <w:rPr/>
              <w:t>招标文件商务要求未出现重大负偏离的</w:t>
            </w:r>
          </w:p>
        </w:tc>
        <w:tc>
          <w:tcPr>
            <w:tcW w:type="dxa" w:w="1661"/>
          </w:tcPr>
          <w:p>
            <w:pPr>
              <w:pStyle w:val="null3"/>
            </w:pPr>
            <w:r>
              <w:rPr/>
              <w:t>商务偏离表docx 开标一览表 分项报价表 投标函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技术部分1</w:t>
            </w:r>
          </w:p>
        </w:tc>
        <w:tc>
          <w:tcPr>
            <w:tcW w:type="dxa" w:w="2492"/>
          </w:tcPr>
          <w:p>
            <w:pPr>
              <w:pStyle w:val="null3"/>
            </w:pPr>
            <w:r>
              <w:rPr/>
              <w:t>实质响应：根据工作内容相关要求，对投标人所提供服务方案中的服务技术和服务质量等条件进行比较评价： （1）投标人所提供服务方案中技术内容完全满足招标文件工作内容相关要求，没有负偏离的，得15分； （2）投标人所提供服务方案中技术内容不满足招标文件工作内容相关要求的，每个扣3分，直至扣完为止。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tc>
      </w:tr>
      <w:tr>
        <w:tc>
          <w:tcPr>
            <w:tcW w:type="dxa" w:w="831"/>
            <w:vMerge/>
          </w:tcPr>
          <w:p/>
        </w:tc>
        <w:tc>
          <w:tcPr>
            <w:tcW w:type="dxa" w:w="1661"/>
          </w:tcPr>
          <w:p>
            <w:pPr>
              <w:pStyle w:val="null3"/>
            </w:pPr>
            <w:r>
              <w:rPr/>
              <w:t>技术部分2</w:t>
            </w:r>
          </w:p>
        </w:tc>
        <w:tc>
          <w:tcPr>
            <w:tcW w:type="dxa" w:w="2492"/>
          </w:tcPr>
          <w:p>
            <w:pPr>
              <w:pStyle w:val="null3"/>
            </w:pPr>
            <w:r>
              <w:rPr/>
              <w:t>需求分析方案：根据投标人对无线电检测系统、检测设备的了解情况，对运维工作重点、难点分析是否到位；对检测系统、检测设备运维业务需求、实验室质量管理体系运行维护等理解程度进行评分。 （1）方案详细具体，总体思路清晰，涵盖内容全面，计11-15分； （2）方案可行，但有内容有细微偏差，有1项欠缺的计5-11分； （3）方案不合理、描述粗略或有缺漏，有2项或以上欠缺的计1-5分。 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承诺文件</w:t>
            </w:r>
          </w:p>
        </w:tc>
      </w:tr>
      <w:tr>
        <w:tc>
          <w:tcPr>
            <w:tcW w:type="dxa" w:w="831"/>
            <w:vMerge/>
          </w:tcPr>
          <w:p/>
        </w:tc>
        <w:tc>
          <w:tcPr>
            <w:tcW w:type="dxa" w:w="1661"/>
          </w:tcPr>
          <w:p>
            <w:pPr>
              <w:pStyle w:val="null3"/>
            </w:pPr>
            <w:r>
              <w:rPr/>
              <w:t>技术部分3</w:t>
            </w:r>
          </w:p>
        </w:tc>
        <w:tc>
          <w:tcPr>
            <w:tcW w:type="dxa" w:w="2492"/>
          </w:tcPr>
          <w:p>
            <w:pPr>
              <w:pStyle w:val="null3"/>
            </w:pPr>
            <w:r>
              <w:rPr/>
              <w:t>项目实施方案：根据投标人提供的运维实施方案，包括为项目配置的维护及管理人员数量、资历，实施计划等，根据方案的完善性、详尽度、可行性、针对性进行评分。 （1）方案详细具体，总体思路清晰，科学合理、实施方法及工作安排合理，涵盖内容全面，计11-15分； （2）方案可行，但有内容有细微偏差，有1项欠缺的计5-11分； （3）方案不合理、描述粗略或有缺漏，有2项或以上欠缺的计1-5分。 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承诺文件</w:t>
            </w:r>
          </w:p>
        </w:tc>
      </w:tr>
      <w:tr>
        <w:tc>
          <w:tcPr>
            <w:tcW w:type="dxa" w:w="831"/>
            <w:vMerge/>
          </w:tcPr>
          <w:p/>
        </w:tc>
        <w:tc>
          <w:tcPr>
            <w:tcW w:type="dxa" w:w="1661"/>
          </w:tcPr>
          <w:p>
            <w:pPr>
              <w:pStyle w:val="null3"/>
            </w:pPr>
            <w:r>
              <w:rPr/>
              <w:t>技术部分4</w:t>
            </w:r>
          </w:p>
        </w:tc>
        <w:tc>
          <w:tcPr>
            <w:tcW w:type="dxa" w:w="2492"/>
          </w:tcPr>
          <w:p>
            <w:pPr>
              <w:pStyle w:val="null3"/>
            </w:pPr>
            <w:r>
              <w:rPr/>
              <w:t>服务保障体系：服务保障体系：根据投标人的质量、进度、安全管理体系等的完整性、合理性、明确性进行评分。 （1）服务保障体系内容具体、科学合理，计6-10分； （2）服务保障体系内容有细微偏差，有1项欠缺的计3-6分； （3）服务保障体系内容描述粗略或有缺漏，有2项或以上欠缺的计1-3分。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承诺文件</w:t>
            </w:r>
          </w:p>
        </w:tc>
      </w:tr>
      <w:tr>
        <w:tc>
          <w:tcPr>
            <w:tcW w:type="dxa" w:w="831"/>
            <w:vMerge/>
          </w:tcPr>
          <w:p/>
        </w:tc>
        <w:tc>
          <w:tcPr>
            <w:tcW w:type="dxa" w:w="1661"/>
          </w:tcPr>
          <w:p>
            <w:pPr>
              <w:pStyle w:val="null3"/>
            </w:pPr>
            <w:r>
              <w:rPr/>
              <w:t>技术部分5</w:t>
            </w:r>
          </w:p>
        </w:tc>
        <w:tc>
          <w:tcPr>
            <w:tcW w:type="dxa" w:w="2492"/>
          </w:tcPr>
          <w:p>
            <w:pPr>
              <w:pStyle w:val="null3"/>
            </w:pPr>
            <w:r>
              <w:rPr/>
              <w:t>培训方案：根据供应商提供培训方案的培训内容，培训课时数量，培训人员综合素质能力，培训考核办法等进行评分。 （1）培训方案内容具体、完整、详细、全面、可行，计6-10分； （2）方案可行，但有内容有细微偏差，有1项欠缺的计3-6分； （3）方案不合理、描述粗略或有缺漏，有2项或以上欠缺的计1-3分。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商务偏离表docx</w:t>
            </w:r>
          </w:p>
          <w:p>
            <w:pPr>
              <w:pStyle w:val="null3"/>
            </w:pPr>
            <w:r>
              <w:rPr/>
              <w:t>技术偏离表</w:t>
            </w:r>
          </w:p>
          <w:p>
            <w:pPr>
              <w:pStyle w:val="null3"/>
            </w:pPr>
            <w:r>
              <w:rPr/>
              <w:t>项目实施方案</w:t>
            </w:r>
          </w:p>
        </w:tc>
      </w:tr>
      <w:tr>
        <w:tc>
          <w:tcPr>
            <w:tcW w:type="dxa" w:w="831"/>
            <w:vMerge/>
          </w:tcPr>
          <w:p/>
        </w:tc>
        <w:tc>
          <w:tcPr>
            <w:tcW w:type="dxa" w:w="1661"/>
          </w:tcPr>
          <w:p>
            <w:pPr>
              <w:pStyle w:val="null3"/>
            </w:pPr>
            <w:r>
              <w:rPr/>
              <w:t>商务部分企业业绩1</w:t>
            </w:r>
          </w:p>
        </w:tc>
        <w:tc>
          <w:tcPr>
            <w:tcW w:type="dxa" w:w="2492"/>
          </w:tcPr>
          <w:p>
            <w:pPr>
              <w:pStyle w:val="null3"/>
            </w:pPr>
            <w:r>
              <w:rPr/>
              <w:t>企业业绩1：供应商需提供2021年1月1日（日期以签订合同实际为准）至今，承接的类似服务项目的业绩经验，每提供一份证明材料得2分，最多得8分。提供采购合同复印件并加盖供应商公章。否则不得分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其他资料</w:t>
            </w:r>
          </w:p>
        </w:tc>
      </w:tr>
      <w:tr>
        <w:tc>
          <w:tcPr>
            <w:tcW w:type="dxa" w:w="831"/>
            <w:vMerge/>
          </w:tcPr>
          <w:p/>
        </w:tc>
        <w:tc>
          <w:tcPr>
            <w:tcW w:type="dxa" w:w="1661"/>
          </w:tcPr>
          <w:p>
            <w:pPr>
              <w:pStyle w:val="null3"/>
            </w:pPr>
            <w:r>
              <w:rPr/>
              <w:t>商务部分企业业绩2</w:t>
            </w:r>
          </w:p>
        </w:tc>
        <w:tc>
          <w:tcPr>
            <w:tcW w:type="dxa" w:w="2492"/>
          </w:tcPr>
          <w:p>
            <w:pPr>
              <w:pStyle w:val="null3"/>
            </w:pPr>
            <w:r>
              <w:rPr/>
              <w:t>企业业绩2：实验室质量管理体系运行维护咨询相关服务的证明：投标人提供自2021年1月1日至今承接的业绩经验，每提供一个证明材料得2分，最高4分。提供采购合同复印件并加盖供应商公章。否则不得分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其他资料</w:t>
            </w:r>
          </w:p>
        </w:tc>
      </w:tr>
      <w:tr>
        <w:tc>
          <w:tcPr>
            <w:tcW w:type="dxa" w:w="831"/>
            <w:vMerge/>
          </w:tcPr>
          <w:p/>
        </w:tc>
        <w:tc>
          <w:tcPr>
            <w:tcW w:type="dxa" w:w="1661"/>
          </w:tcPr>
          <w:p>
            <w:pPr>
              <w:pStyle w:val="null3"/>
            </w:pPr>
            <w:r>
              <w:rPr/>
              <w:t>商务部分企业实力1</w:t>
            </w:r>
          </w:p>
        </w:tc>
        <w:tc>
          <w:tcPr>
            <w:tcW w:type="dxa" w:w="2492"/>
          </w:tcPr>
          <w:p>
            <w:pPr>
              <w:pStyle w:val="null3"/>
            </w:pPr>
            <w:r>
              <w:rPr/>
              <w:t>企业实力1：提供IS09001质量管理体系认证证书得1分，不提供不得分，提供相关证明材料复印件并加盖公章</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其他资料</w:t>
            </w:r>
          </w:p>
        </w:tc>
      </w:tr>
      <w:tr>
        <w:tc>
          <w:tcPr>
            <w:tcW w:type="dxa" w:w="831"/>
            <w:vMerge/>
          </w:tcPr>
          <w:p/>
        </w:tc>
        <w:tc>
          <w:tcPr>
            <w:tcW w:type="dxa" w:w="1661"/>
          </w:tcPr>
          <w:p>
            <w:pPr>
              <w:pStyle w:val="null3"/>
            </w:pPr>
            <w:r>
              <w:rPr/>
              <w:t>商务部分企业实力2</w:t>
            </w:r>
          </w:p>
        </w:tc>
        <w:tc>
          <w:tcPr>
            <w:tcW w:type="dxa" w:w="2492"/>
          </w:tcPr>
          <w:p>
            <w:pPr>
              <w:pStyle w:val="null3"/>
            </w:pPr>
            <w:r>
              <w:rPr/>
              <w:t>企业实力2：提供IS027001信息安全管理体系认证证书得1分，不提供不得分，提供相关证明材料复印件并加盖公章</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其他资料</w:t>
            </w:r>
          </w:p>
        </w:tc>
      </w:tr>
      <w:tr>
        <w:tc>
          <w:tcPr>
            <w:tcW w:type="dxa" w:w="831"/>
            <w:vMerge/>
          </w:tcPr>
          <w:p/>
        </w:tc>
        <w:tc>
          <w:tcPr>
            <w:tcW w:type="dxa" w:w="1661"/>
          </w:tcPr>
          <w:p>
            <w:pPr>
              <w:pStyle w:val="null3"/>
            </w:pPr>
            <w:r>
              <w:rPr/>
              <w:t>商务部分企业实力3</w:t>
            </w:r>
          </w:p>
        </w:tc>
        <w:tc>
          <w:tcPr>
            <w:tcW w:type="dxa" w:w="2492"/>
          </w:tcPr>
          <w:p>
            <w:pPr>
              <w:pStyle w:val="null3"/>
            </w:pPr>
            <w:r>
              <w:rPr/>
              <w:t>企业实力3：提供ISO14001有环境管理体系认证证书得1分，不提供不得分，提供相关证明材料复印件并加盖公章</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其他资料</w:t>
            </w:r>
          </w:p>
        </w:tc>
      </w:tr>
      <w:tr>
        <w:tc>
          <w:tcPr>
            <w:tcW w:type="dxa" w:w="831"/>
            <w:vMerge/>
          </w:tcPr>
          <w:p/>
        </w:tc>
        <w:tc>
          <w:tcPr>
            <w:tcW w:type="dxa" w:w="1661"/>
          </w:tcPr>
          <w:p>
            <w:pPr>
              <w:pStyle w:val="null3"/>
            </w:pPr>
            <w:r>
              <w:rPr/>
              <w:t>商务部分企业实力4</w:t>
            </w:r>
          </w:p>
        </w:tc>
        <w:tc>
          <w:tcPr>
            <w:tcW w:type="dxa" w:w="2492"/>
          </w:tcPr>
          <w:p>
            <w:pPr>
              <w:pStyle w:val="null3"/>
            </w:pPr>
            <w:r>
              <w:rPr/>
              <w:t>企业实力4：提供检验检测机构资质认定证书（CMA）得2分，不提供不得分，提供相关证明材料复印件并加盖公章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p>
            <w:pPr>
              <w:pStyle w:val="null3"/>
            </w:pPr>
            <w:r>
              <w:rPr/>
              <w:t>其他资料</w:t>
            </w:r>
          </w:p>
        </w:tc>
      </w:tr>
      <w:tr>
        <w:tc>
          <w:tcPr>
            <w:tcW w:type="dxa" w:w="831"/>
            <w:vMerge/>
          </w:tcPr>
          <w:p/>
        </w:tc>
        <w:tc>
          <w:tcPr>
            <w:tcW w:type="dxa" w:w="1661"/>
          </w:tcPr>
          <w:p>
            <w:pPr>
              <w:pStyle w:val="null3"/>
            </w:pPr>
            <w:r>
              <w:rPr/>
              <w:t>商务部分团队力量1</w:t>
            </w:r>
          </w:p>
        </w:tc>
        <w:tc>
          <w:tcPr>
            <w:tcW w:type="dxa" w:w="2492"/>
          </w:tcPr>
          <w:p>
            <w:pPr>
              <w:pStyle w:val="null3"/>
            </w:pPr>
            <w:r>
              <w:rPr/>
              <w:t>团队力量1：供应商拟派出的项目负责人：具有电子信息、通信工程等相关专业副高级工程师或以上职称得2分，提供相关证明材料（职称证书、近一年任意一个月社保缴纳证明或相关任职通知）复印件并加盖公章，不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tc>
      </w:tr>
      <w:tr>
        <w:tc>
          <w:tcPr>
            <w:tcW w:type="dxa" w:w="831"/>
            <w:vMerge/>
          </w:tcPr>
          <w:p/>
        </w:tc>
        <w:tc>
          <w:tcPr>
            <w:tcW w:type="dxa" w:w="1661"/>
          </w:tcPr>
          <w:p>
            <w:pPr>
              <w:pStyle w:val="null3"/>
            </w:pPr>
            <w:r>
              <w:rPr/>
              <w:t>商务部分团队力量2</w:t>
            </w:r>
          </w:p>
        </w:tc>
        <w:tc>
          <w:tcPr>
            <w:tcW w:type="dxa" w:w="2492"/>
          </w:tcPr>
          <w:p>
            <w:pPr>
              <w:pStyle w:val="null3"/>
            </w:pPr>
            <w:r>
              <w:rPr/>
              <w:t>团队力量2：拟派出的项目组成员：电子信息、通信工程等相关专业中级工程师或以上职称的，每配备一人得1分，满分4分，提供相关证明材料（职称证书、近一年任意一个月社保缴纳证明或相关任职通知）复印件并加盖公章，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商务偏离表docx</w:t>
            </w:r>
          </w:p>
          <w:p>
            <w:pPr>
              <w:pStyle w:val="null3"/>
            </w:pPr>
            <w:r>
              <w:rPr/>
              <w:t>技术偏离表</w:t>
            </w:r>
          </w:p>
          <w:p>
            <w:pPr>
              <w:pStyle w:val="null3"/>
            </w:pPr>
            <w:r>
              <w:rPr/>
              <w:t>项目实施方案</w:t>
            </w:r>
          </w:p>
        </w:tc>
      </w:tr>
      <w:tr>
        <w:tc>
          <w:tcPr>
            <w:tcW w:type="dxa" w:w="831"/>
            <w:vMerge/>
          </w:tcPr>
          <w:p/>
        </w:tc>
        <w:tc>
          <w:tcPr>
            <w:tcW w:type="dxa" w:w="1661"/>
          </w:tcPr>
          <w:p>
            <w:pPr>
              <w:pStyle w:val="null3"/>
            </w:pPr>
            <w:r>
              <w:rPr/>
              <w:t>商务部分团队力量3</w:t>
            </w:r>
          </w:p>
        </w:tc>
        <w:tc>
          <w:tcPr>
            <w:tcW w:type="dxa" w:w="2492"/>
          </w:tcPr>
          <w:p>
            <w:pPr>
              <w:pStyle w:val="null3"/>
            </w:pPr>
            <w:r>
              <w:rPr/>
              <w:t>团队力量3：根据供应商提供的服务方案中的项目人员整体配置、各岗位人员工作安排等进行评审，人员配置结构合理，满足项目需求的得1-2分；不满足项目实际需求，内容有欠缺或缺项，或未提供的不得分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商务偏离表docx</w:t>
            </w:r>
          </w:p>
          <w:p>
            <w:pPr>
              <w:pStyle w:val="null3"/>
            </w:pPr>
            <w:r>
              <w:rPr/>
              <w:t>技术偏离表</w:t>
            </w:r>
          </w:p>
          <w:p>
            <w:pPr>
              <w:pStyle w:val="null3"/>
            </w:pPr>
            <w:r>
              <w:rPr/>
              <w:t>项目实施方案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采用低价优先法计算，即满足招标文件要求且投标价格最低的投标报价为评标基准价，其价格为 10分。其他供应商的价格分按照下列公式计算：投标报价得分＝（评标基准价/投标报价）×10。 注：供应商声明自己属于小微企业、监狱企业或残疾人福利性单位的，参照相关政策法规的要求执行给予10%的价格扣除，用扣除后的价格（评审价）参与评审。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p>
            <w:pPr>
              <w:pStyle w:val="null3"/>
            </w:pPr>
            <w:r>
              <w:rPr/>
              <w:t>投标函</w:t>
            </w:r>
          </w:p>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提供符合政府采购政策的证明材料 开标一览表 资格证明文件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详见附件：投标函</w:t>
      </w:r>
    </w:p>
    <w:p>
      <w:pPr>
        <w:pStyle w:val="null3"/>
        <w:ind w:firstLine="960"/>
      </w:pPr>
      <w:r>
        <w:rPr/>
        <w:t>详见附件：开标一览表</w:t>
      </w:r>
    </w:p>
    <w:p>
      <w:pPr>
        <w:pStyle w:val="null3"/>
        <w:ind w:firstLine="960"/>
      </w:pPr>
      <w:r>
        <w:rPr/>
        <w:t>详见附件：分项报价表</w:t>
      </w:r>
    </w:p>
    <w:p>
      <w:pPr>
        <w:pStyle w:val="null3"/>
        <w:ind w:firstLine="960"/>
      </w:pPr>
      <w:r>
        <w:rPr/>
        <w:t>详见附件：商务偏离表docx</w:t>
      </w:r>
    </w:p>
    <w:p>
      <w:pPr>
        <w:pStyle w:val="null3"/>
        <w:ind w:firstLine="960"/>
      </w:pPr>
      <w:r>
        <w:rPr/>
        <w:t>详见附件：技术偏离表</w:t>
      </w:r>
    </w:p>
    <w:p>
      <w:pPr>
        <w:pStyle w:val="null3"/>
        <w:ind w:firstLine="960"/>
      </w:pPr>
      <w:r>
        <w:rPr/>
        <w:t>详见附件：项目实施方案</w:t>
      </w:r>
    </w:p>
    <w:p>
      <w:pPr>
        <w:pStyle w:val="null3"/>
        <w:ind w:firstLine="960"/>
      </w:pPr>
      <w:r>
        <w:rPr/>
        <w:t>详见附件：承诺文件</w:t>
      </w:r>
    </w:p>
    <w:p>
      <w:pPr>
        <w:pStyle w:val="null3"/>
        <w:ind w:firstLine="960"/>
      </w:pPr>
      <w:r>
        <w:rPr/>
        <w:t>详见附件：资格证明文件</w:t>
      </w:r>
    </w:p>
    <w:p>
      <w:pPr>
        <w:pStyle w:val="null3"/>
        <w:ind w:firstLine="960"/>
      </w:pPr>
      <w:r>
        <w:rPr/>
        <w:t>详见附件：提供符合政府采购政策的证明材料</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