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2024年民乐创作及演出服务</w:t>
      </w:r>
    </w:p>
    <w:p>
      <w:pPr>
        <w:pStyle w:val="null3"/>
        <w:jc w:val="center"/>
        <w:outlineLvl w:val="2"/>
      </w:pPr>
      <w:r>
        <w:rPr>
          <w:sz w:val="28"/>
          <w:b/>
        </w:rPr>
        <w:t>采购项目编号：</w:t>
      </w:r>
      <w:r>
        <w:rPr>
          <w:sz w:val="28"/>
          <w:b/>
        </w:rPr>
        <w:t>XGZB240624-C009</w:t>
      </w:r>
      <w:r>
        <w:br/>
      </w:r>
      <w:r>
        <w:br/>
      </w:r>
      <w:r>
        <w:br/>
      </w:r>
    </w:p>
    <w:p>
      <w:pPr>
        <w:pStyle w:val="null3"/>
        <w:jc w:val="center"/>
        <w:outlineLvl w:val="2"/>
      </w:pPr>
      <w:r>
        <w:rPr>
          <w:sz w:val="28"/>
          <w:b/>
        </w:rPr>
        <w:t>陕西省广播电视民族乐团</w:t>
      </w:r>
    </w:p>
    <w:p>
      <w:pPr>
        <w:pStyle w:val="null3"/>
        <w:jc w:val="center"/>
        <w:outlineLvl w:val="2"/>
      </w:pPr>
      <w:r>
        <w:rPr>
          <w:sz w:val="28"/>
          <w:b/>
        </w:rPr>
        <w:t>西安兴国项目管理有限公司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西安兴国项目管理有限公司</w:t>
      </w:r>
      <w:r>
        <w:rPr/>
        <w:t>（以下简称“代理机构”）受</w:t>
      </w:r>
      <w:r>
        <w:rPr/>
        <w:t>陕西省广播电视民族乐团</w:t>
      </w:r>
      <w:r>
        <w:rPr/>
        <w:t>委托，拟对</w:t>
      </w:r>
      <w:r>
        <w:rPr/>
        <w:t>2024年民乐创作及演出服务</w:t>
      </w:r>
      <w:r>
        <w:rPr/>
        <w:t>采用竞争性磋商采购方式进行采购，兹邀请供应商参加本项目的竞争性磋商。</w:t>
      </w:r>
    </w:p>
    <w:p>
      <w:pPr>
        <w:pStyle w:val="null3"/>
        <w:outlineLvl w:val="2"/>
      </w:pPr>
      <w:r>
        <w:rPr>
          <w:sz w:val="28"/>
          <w:b/>
        </w:rPr>
        <w:t>一、项目编号：</w:t>
      </w:r>
      <w:r>
        <w:rPr>
          <w:sz w:val="28"/>
          <w:b/>
        </w:rPr>
        <w:t>XGZB240624-C009</w:t>
      </w:r>
    </w:p>
    <w:p>
      <w:pPr>
        <w:pStyle w:val="null3"/>
        <w:outlineLvl w:val="2"/>
      </w:pPr>
      <w:r>
        <w:rPr>
          <w:sz w:val="28"/>
          <w:b/>
        </w:rPr>
        <w:t>二、项目名称：</w:t>
      </w:r>
      <w:r>
        <w:rPr>
          <w:sz w:val="28"/>
          <w:b/>
        </w:rPr>
        <w:t>2024年民乐创作及演出服务</w:t>
      </w:r>
    </w:p>
    <w:p>
      <w:pPr>
        <w:pStyle w:val="null3"/>
        <w:outlineLvl w:val="2"/>
      </w:pPr>
      <w:r>
        <w:rPr>
          <w:sz w:val="28"/>
          <w:b/>
        </w:rPr>
        <w:t>三、磋商项目简介</w:t>
      </w:r>
    </w:p>
    <w:p>
      <w:pPr>
        <w:pStyle w:val="null3"/>
        <w:ind w:firstLine="480"/>
      </w:pPr>
      <w:r>
        <w:rPr/>
        <w:t>1.民乐组曲创作；2.民乐演出服务；3.乐器搬运服务；4.民乐网络宣传。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采购包1（2024年民乐创作及演出服务项目）：属于专门面向中小企业采购。</w:t>
      </w:r>
    </w:p>
    <w:p>
      <w:pPr>
        <w:pStyle w:val="null3"/>
        <w:ind w:firstLine="480"/>
      </w:pPr>
      <w:r>
        <w:rPr/>
        <w:t>（三）本项目的特定资格要求：</w:t>
      </w:r>
    </w:p>
    <w:p>
      <w:pPr>
        <w:pStyle w:val="null3"/>
      </w:pPr>
      <w:r>
        <w:rPr/>
        <w:t>采购包1：</w:t>
      </w:r>
    </w:p>
    <w:p>
      <w:pPr>
        <w:pStyle w:val="null3"/>
      </w:pPr>
      <w:r>
        <w:rPr/>
        <w:t>1、主体经营资格：法人或者其他组织须提供营业执照等证明文件 ,自然人须提供身份证明，供应商需在项目电子化交易系统中按要求上传相应证明文件并进行电子签章。</w:t>
      </w:r>
    </w:p>
    <w:p>
      <w:pPr>
        <w:pStyle w:val="null3"/>
      </w:pPr>
      <w:r>
        <w:rPr/>
        <w:t>2、书面声明：参加本次政府采购活动前3年内在经营活动中没有重大违法记录的书面声明，供应商需在项目电子化交易系统中按要求上传相应证明文件并进行电子签章。</w:t>
      </w:r>
    </w:p>
    <w:p>
      <w:pPr>
        <w:pStyle w:val="null3"/>
      </w:pPr>
      <w:r>
        <w:rPr/>
        <w:t>3、承诺函：具有履行合同所必需的设备和专业技术能力的承诺函，供应商需在项目电子化交易系统中按要求上传相应证明文件并进行电子签章。</w:t>
      </w:r>
    </w:p>
    <w:p>
      <w:pPr>
        <w:pStyle w:val="null3"/>
      </w:pPr>
      <w:r>
        <w:rPr/>
        <w:t>4、社保缴纳证明：自2023年6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t>5、税收缴纳证明：自2023年6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t>6、财务报告：提供2023年度经审计的财务报告；或其开标前三个月内基本存款账户开户银行出具的资信证明及基本存款账户开户许可证（或基本存款账户信息相关证明文件）。供应商需在项目电子化交易系统中按要求上传相应证明文件并进行电子签章</w:t>
      </w:r>
    </w:p>
    <w:p>
      <w:pPr>
        <w:pStyle w:val="null3"/>
      </w:pPr>
      <w:r>
        <w:rPr/>
        <w:t>7、信用查询：供应商不得为“信用中国”网站（www.creditchina.gov.cn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 采购人或采购代理机构在磋商当日通过“信用中国”网(www.creditchina. gov.cn)、中国政府采购网(www.ccgp.gov.cn)查询相关主体信用记录网页截图保存。</w:t>
      </w:r>
    </w:p>
    <w:p>
      <w:pPr>
        <w:pStyle w:val="null3"/>
      </w:pPr>
      <w:r>
        <w:rPr/>
        <w:t>8、控股关系：单位负责人为同一人或者存在控股、管理关系的不同单位不得同时参加同一项目投标。</w:t>
      </w:r>
    </w:p>
    <w:p>
      <w:pPr>
        <w:pStyle w:val="null3"/>
      </w:pPr>
      <w:r>
        <w:rPr/>
        <w:t>9、资格证书：供应商具备文化主管部门颁发的在有效期内的营业性演出许可证。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陕西省广播电视民族乐团</w:t>
      </w:r>
    </w:p>
    <w:p>
      <w:pPr>
        <w:pStyle w:val="null3"/>
      </w:pPr>
      <w:r>
        <w:rPr/>
        <w:t xml:space="preserve"> 地址： </w:t>
      </w:r>
      <w:r>
        <w:rPr/>
        <w:t>西安市建西街10号</w:t>
      </w:r>
    </w:p>
    <w:p>
      <w:pPr>
        <w:pStyle w:val="null3"/>
      </w:pPr>
      <w:r>
        <w:rPr/>
        <w:t xml:space="preserve"> 邮编： </w:t>
      </w:r>
      <w:r>
        <w:rPr/>
        <w:t>710000</w:t>
      </w:r>
    </w:p>
    <w:p>
      <w:pPr>
        <w:pStyle w:val="null3"/>
      </w:pPr>
      <w:r>
        <w:rPr/>
        <w:t xml:space="preserve"> 联系人： </w:t>
      </w:r>
      <w:r>
        <w:rPr/>
        <w:t>陕西省广播电视民族乐团</w:t>
      </w:r>
    </w:p>
    <w:p>
      <w:pPr>
        <w:pStyle w:val="null3"/>
      </w:pPr>
      <w:r>
        <w:rPr/>
        <w:t xml:space="preserve"> 联系电话： </w:t>
      </w:r>
      <w:r>
        <w:rPr/>
        <w:t>029-85268207</w:t>
      </w:r>
    </w:p>
    <w:p>
      <w:pPr>
        <w:pStyle w:val="null3"/>
        <w:outlineLvl w:val="3"/>
      </w:pPr>
      <w:r>
        <w:rPr>
          <w:sz w:val="24"/>
          <w:b/>
        </w:rPr>
        <w:t>代理机构：</w:t>
      </w:r>
      <w:r>
        <w:rPr>
          <w:sz w:val="24"/>
          <w:b/>
        </w:rPr>
        <w:t>西安兴国项目管理有限公司</w:t>
      </w:r>
    </w:p>
    <w:p>
      <w:pPr>
        <w:pStyle w:val="null3"/>
      </w:pPr>
      <w:r>
        <w:rPr/>
        <w:t xml:space="preserve"> 地址： </w:t>
      </w:r>
      <w:r>
        <w:rPr/>
        <w:t>西安经济技术开发区凤城十二路66号（首创富北高银）28幢2单元14层</w:t>
      </w:r>
    </w:p>
    <w:p>
      <w:pPr>
        <w:pStyle w:val="null3"/>
      </w:pPr>
      <w:r>
        <w:rPr/>
        <w:t xml:space="preserve"> 邮编： </w:t>
      </w:r>
      <w:r>
        <w:rPr/>
        <w:t>710000</w:t>
      </w:r>
    </w:p>
    <w:p>
      <w:pPr>
        <w:pStyle w:val="null3"/>
      </w:pPr>
      <w:r>
        <w:rPr/>
        <w:t xml:space="preserve"> 联系人： </w:t>
      </w:r>
      <w:r>
        <w:rPr/>
        <w:t>王凯</w:t>
      </w:r>
    </w:p>
    <w:p>
      <w:pPr>
        <w:pStyle w:val="null3"/>
      </w:pPr>
      <w:r>
        <w:rPr/>
        <w:t xml:space="preserve"> 联系电话： </w:t>
      </w:r>
      <w:r>
        <w:rPr/>
        <w:t>18165379771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没有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没有</w:t>
            </w:r>
            <w:r>
              <w:rPr/>
              <w:t>产品属于节能产品政府采购品目清单中应优先采购的产品范围，本项目采购的</w:t>
            </w:r>
            <w:r>
              <w:rPr/>
              <w:t>没有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说明：合同签订前支付项目总金额的5%为履约保证金，项目服务期结束后。经采购人验收合格后退还履约保证金。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代理服务费收费标准：代理服务费参照国家发展与改革委员会《招标代理服务收费暂行办法》（计价格[2002]1980 号）文件规定标准计取。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陕西省广播电视民族乐团</w:t>
      </w:r>
      <w:r>
        <w:rPr/>
        <w:t>和</w:t>
      </w:r>
      <w:r>
        <w:rPr/>
        <w:t>西安兴国项目管理有限公司</w:t>
      </w:r>
      <w:r>
        <w:rPr/>
        <w:t>享有。对磋商文件中供应商参加本次政府采购活动应当具备的条件，磋商项目技术、服务、商务及其他要求，评审细则及标准由</w:t>
      </w:r>
      <w:r>
        <w:rPr/>
        <w:t>陕西省广播电视民族乐团</w:t>
      </w:r>
      <w:r>
        <w:rPr/>
        <w:t>负责解释。除上述磋商文件内容，其他内容由</w:t>
      </w:r>
      <w:r>
        <w:rPr/>
        <w:t>西安兴国项目管理有限公司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陕西省广播电视民族乐团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西安兴国项目管理有限公司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西安兴国项目管理有限公司</w:t>
      </w:r>
      <w:r>
        <w:rPr/>
        <w:t xml:space="preserve"> 负责答复；供应商对除采购需求外的采购文件的询问、质疑由</w:t>
      </w:r>
      <w:r>
        <w:rPr/>
        <w:t>西安兴国项目管理有限公司</w:t>
      </w:r>
      <w:r>
        <w:rPr/>
        <w:t xml:space="preserve"> 负责答复；供应商对采购过程、采购结果的询问、质疑由 </w:t>
      </w:r>
      <w:r>
        <w:rPr/>
        <w:t>西安兴国项目管理有限公司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联系人：王凯</w:t>
      </w:r>
    </w:p>
    <w:p>
      <w:pPr>
        <w:pStyle w:val="null3"/>
      </w:pPr>
      <w:r>
        <w:rPr/>
        <w:t>联系电话：18165379771</w:t>
      </w:r>
    </w:p>
    <w:p>
      <w:pPr>
        <w:pStyle w:val="null3"/>
      </w:pPr>
      <w:r>
        <w:rPr/>
        <w:t>地址：西安经济技术开发区凤城十二路66号（首创富北高银）28幢2单元14层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1.民乐组曲创作；2.民乐演出服务；3.乐器搬运服务；4.民乐网络宣传。</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2,000,000.00</w:t>
      </w:r>
    </w:p>
    <w:p>
      <w:pPr>
        <w:pStyle w:val="null3"/>
      </w:pPr>
      <w:r>
        <w:rPr/>
        <w:t>采购包最高限价（元）: 2,000,000.00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民乐创作及演出服务</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标的名称：民乐创作及演出服务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color w:val="333333"/>
              </w:rPr>
              <w:t xml:space="preserve">1.民乐组曲创作，根据 </w:t>
            </w:r>
            <w:r>
              <w:rPr>
                <w:rFonts w:ascii="宋体" w:hAnsi="宋体" w:cs="宋体" w:eastAsia="宋体"/>
                <w:sz w:val="21"/>
                <w:color w:val="333333"/>
              </w:rPr>
              <w:t>甲方要求，委约作曲</w:t>
            </w:r>
            <w:r>
              <w:rPr>
                <w:rFonts w:ascii="宋体" w:hAnsi="宋体" w:cs="宋体" w:eastAsia="宋体"/>
                <w:sz w:val="21"/>
                <w:color w:val="333333"/>
              </w:rPr>
              <w:t>家，完成民乐组曲创作</w:t>
            </w:r>
            <w:r>
              <w:rPr>
                <w:rFonts w:ascii="宋体" w:hAnsi="宋体" w:cs="宋体" w:eastAsia="宋体"/>
                <w:sz w:val="21"/>
                <w:color w:val="333333"/>
              </w:rPr>
              <w:t>及改编；</w:t>
            </w:r>
          </w:p>
          <w:p>
            <w:pPr>
              <w:pStyle w:val="null3"/>
            </w:pPr>
            <w:r>
              <w:rPr>
                <w:rFonts w:ascii="宋体" w:hAnsi="宋体" w:cs="宋体" w:eastAsia="宋体"/>
                <w:sz w:val="21"/>
                <w:color w:val="333333"/>
              </w:rPr>
              <w:t>2.民乐演出</w:t>
            </w:r>
            <w:r>
              <w:rPr>
                <w:rFonts w:ascii="宋体" w:hAnsi="宋体" w:cs="宋体" w:eastAsia="宋体"/>
                <w:sz w:val="21"/>
                <w:color w:val="333333"/>
              </w:rPr>
              <w:t>服务，根据甲方要求，</w:t>
            </w:r>
            <w:r>
              <w:rPr>
                <w:rFonts w:ascii="宋体" w:hAnsi="宋体" w:cs="宋体" w:eastAsia="宋体"/>
                <w:sz w:val="21"/>
                <w:color w:val="333333"/>
              </w:rPr>
              <w:t>委约指挥、独奏演奏</w:t>
            </w:r>
            <w:r>
              <w:rPr>
                <w:rFonts w:ascii="宋体" w:hAnsi="宋体" w:cs="宋体" w:eastAsia="宋体"/>
                <w:sz w:val="21"/>
                <w:color w:val="333333"/>
              </w:rPr>
              <w:t>家，安排乐队演奏员，</w:t>
            </w:r>
            <w:r>
              <w:rPr>
                <w:rFonts w:ascii="宋体" w:hAnsi="宋体" w:cs="宋体" w:eastAsia="宋体"/>
                <w:sz w:val="21"/>
                <w:color w:val="333333"/>
              </w:rPr>
              <w:t>确保演出任务提供相关</w:t>
            </w:r>
            <w:r>
              <w:rPr>
                <w:rFonts w:ascii="宋体" w:hAnsi="宋体" w:cs="宋体" w:eastAsia="宋体"/>
                <w:sz w:val="21"/>
                <w:color w:val="333333"/>
              </w:rPr>
              <w:t>服务。</w:t>
            </w:r>
          </w:p>
          <w:p>
            <w:pPr>
              <w:pStyle w:val="null3"/>
            </w:pPr>
            <w:r>
              <w:rPr>
                <w:rFonts w:ascii="宋体" w:hAnsi="宋体" w:cs="宋体" w:eastAsia="宋体"/>
                <w:sz w:val="21"/>
                <w:color w:val="333333"/>
              </w:rPr>
              <w:t>3.乐器搬运服</w:t>
            </w:r>
            <w:r>
              <w:rPr>
                <w:rFonts w:ascii="宋体" w:hAnsi="宋体" w:cs="宋体" w:eastAsia="宋体"/>
                <w:sz w:val="21"/>
                <w:color w:val="333333"/>
              </w:rPr>
              <w:t>务，根据甲方要求，组</w:t>
            </w:r>
            <w:r>
              <w:rPr>
                <w:rFonts w:ascii="宋体" w:hAnsi="宋体" w:cs="宋体" w:eastAsia="宋体"/>
                <w:sz w:val="21"/>
                <w:color w:val="333333"/>
              </w:rPr>
              <w:t>织人力和车辆，完成乐</w:t>
            </w:r>
            <w:r>
              <w:rPr>
                <w:rFonts w:ascii="宋体" w:hAnsi="宋体" w:cs="宋体" w:eastAsia="宋体"/>
                <w:sz w:val="21"/>
                <w:color w:val="333333"/>
              </w:rPr>
              <w:t>器往返于单位与演出场</w:t>
            </w:r>
            <w:r>
              <w:rPr>
                <w:rFonts w:ascii="宋体" w:hAnsi="宋体" w:cs="宋体" w:eastAsia="宋体"/>
                <w:sz w:val="21"/>
                <w:color w:val="333333"/>
              </w:rPr>
              <w:t>地之间，保障运输安</w:t>
            </w:r>
            <w:r>
              <w:rPr>
                <w:rFonts w:ascii="宋体" w:hAnsi="宋体" w:cs="宋体" w:eastAsia="宋体"/>
                <w:sz w:val="21"/>
                <w:color w:val="333333"/>
              </w:rPr>
              <w:t>全。</w:t>
            </w:r>
          </w:p>
          <w:p>
            <w:pPr>
              <w:pStyle w:val="null3"/>
            </w:pPr>
            <w:r>
              <w:rPr>
                <w:rFonts w:ascii="宋体" w:hAnsi="宋体" w:cs="宋体" w:eastAsia="宋体"/>
                <w:sz w:val="21"/>
                <w:color w:val="333333"/>
              </w:rPr>
              <w:t xml:space="preserve">4.民乐网络宣 </w:t>
            </w:r>
            <w:r>
              <w:rPr>
                <w:rFonts w:ascii="宋体" w:hAnsi="宋体" w:cs="宋体" w:eastAsia="宋体"/>
                <w:sz w:val="21"/>
                <w:color w:val="333333"/>
              </w:rPr>
              <w:t>传，根据甲方要求，制</w:t>
            </w:r>
            <w:r>
              <w:rPr>
                <w:rFonts w:ascii="宋体" w:hAnsi="宋体" w:cs="宋体" w:eastAsia="宋体"/>
                <w:sz w:val="21"/>
                <w:color w:val="333333"/>
              </w:rPr>
              <w:t xml:space="preserve">定网宣方案，制作宣传 </w:t>
            </w:r>
            <w:r>
              <w:rPr>
                <w:rFonts w:ascii="宋体" w:hAnsi="宋体" w:cs="宋体" w:eastAsia="宋体"/>
                <w:sz w:val="21"/>
                <w:color w:val="333333"/>
              </w:rPr>
              <w:t>资料，完成民乐宣传推</w:t>
            </w:r>
            <w:r>
              <w:rPr>
                <w:rFonts w:ascii="宋体" w:hAnsi="宋体" w:cs="宋体" w:eastAsia="宋体"/>
                <w:sz w:val="21"/>
                <w:color w:val="333333"/>
              </w:rPr>
              <w:t>动。</w:t>
            </w:r>
          </w:p>
        </w:tc>
      </w:tr>
    </w:tbl>
    <w:p>
      <w:pPr>
        <w:pStyle w:val="null3"/>
        <w:outlineLvl w:val="2"/>
      </w:pPr>
      <w:r>
        <w:rPr>
          <w:sz w:val="28"/>
          <w:b/>
        </w:rPr>
        <w:t>3.2.3人员配置要求</w:t>
      </w:r>
    </w:p>
    <w:p>
      <w:pPr>
        <w:pStyle w:val="null3"/>
      </w:pPr>
      <w:r>
        <w:rPr/>
        <w:t>采购包1：</w:t>
      </w:r>
    </w:p>
    <w:p>
      <w:pPr>
        <w:pStyle w:val="null3"/>
      </w:pPr>
      <w:r>
        <w:rPr/>
        <w:t>5人以上</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服务团队人员未经采购人允许不得随意更换</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自合同签订之日起6个月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采购人自行验收。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供应商服务3个月后</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按《中华人民共和国民法典》中的相关条款和本合同的约定执行。</w:t>
      </w:r>
    </w:p>
    <w:p>
      <w:pPr>
        <w:pStyle w:val="null3"/>
        <w:outlineLvl w:val="2"/>
      </w:pPr>
      <w:r>
        <w:rPr>
          <w:sz w:val="28"/>
          <w:b/>
        </w:rPr>
        <w:t>3.4其他要求</w:t>
      </w:r>
    </w:p>
    <w:p>
      <w:pPr>
        <w:pStyle w:val="null3"/>
      </w:pPr>
      <w:r>
        <w:rPr/>
        <w:t>供应商需要在线提交所有通过电子化交易平台实施的政府采购项目的投标文件，同时，线下提交投标文件正本壹份、副本贰份。若电子投标文件与纸质投标文件不一致的，以线上提交的电子投标文件为准。 线下提交投标文件时间：同线上递交截止时间（北京时间）线下提交投标文件地点：西安经济技术开发区凤城十二路66号（首创富北高银）28幢2单元14层；联系电话：18165379771</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代表人授权委托书 法定代表人证明书 分项报价表 业绩情况表 信用声明 供应商应提交的相关资格证明材料 非联合体声明 项目团队 供应商承诺书 响应函 履约能力证明 主要商务条款响应偏离表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法人或者其他组织须提供营业执照等证明文件 ,自然人须提供身份证明，供应商需在项目电子化交易系统中按要求上传相应证明文件并进行电子签章。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书面声明</w:t>
            </w:r>
          </w:p>
        </w:tc>
        <w:tc>
          <w:tcPr>
            <w:tcW w:type="dxa" w:w="3322"/>
          </w:tcPr>
          <w:p>
            <w:pPr>
              <w:pStyle w:val="null3"/>
            </w:pPr>
            <w:r>
              <w:rPr/>
              <w:t>参加本次政府采购活动前3年内在经营活动中没有重大违法记录的书面声明，供应商需在项目电子化交易系统中按要求上传相应证明文件并进行电子签章。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承诺函</w:t>
            </w:r>
          </w:p>
        </w:tc>
        <w:tc>
          <w:tcPr>
            <w:tcW w:type="dxa" w:w="3322"/>
          </w:tcPr>
          <w:p>
            <w:pPr>
              <w:pStyle w:val="null3"/>
            </w:pPr>
            <w:r>
              <w:rPr/>
              <w:t>具有履行合同所必需的设备和专业技术能力的承诺函，供应商需在项目电子化交易系统中按要求上传相应证明文件并进行电子签章。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自2023年6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自2023年6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财务报告</w:t>
            </w:r>
          </w:p>
        </w:tc>
        <w:tc>
          <w:tcPr>
            <w:tcW w:type="dxa" w:w="3322"/>
          </w:tcPr>
          <w:p>
            <w:pPr>
              <w:pStyle w:val="null3"/>
            </w:pPr>
            <w:r>
              <w:rPr/>
              <w:t>提供2023年度经审计的财务报告；或其开标前三个月内基本存款账户开户银行出具的资信证明及基本存款账户开户许可证（或基本存款账户信息相关证明文件）。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信用查询</w:t>
            </w:r>
          </w:p>
        </w:tc>
        <w:tc>
          <w:tcPr>
            <w:tcW w:type="dxa" w:w="3322"/>
          </w:tcPr>
          <w:p>
            <w:pPr>
              <w:pStyle w:val="null3"/>
            </w:pPr>
            <w:r>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 采购人或采购代理机构在磋商当日通过“信用中国”网(www.creditchina. gov.cn)、中国政府采购网(www.ccgp.gov.cn)查询相关主体信用记录网页截图保存。</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控股关系</w:t>
            </w:r>
          </w:p>
        </w:tc>
        <w:tc>
          <w:tcPr>
            <w:tcW w:type="dxa" w:w="3322"/>
          </w:tcPr>
          <w:p>
            <w:pPr>
              <w:pStyle w:val="null3"/>
            </w:pPr>
            <w:r>
              <w:rPr/>
              <w:t>单位负责人为同一人或者存在控股、管理关系的不同单位不得同时参加同一项目投标。</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资格证书</w:t>
            </w:r>
          </w:p>
        </w:tc>
        <w:tc>
          <w:tcPr>
            <w:tcW w:type="dxa" w:w="3322"/>
          </w:tcPr>
          <w:p>
            <w:pPr>
              <w:pStyle w:val="null3"/>
            </w:pPr>
            <w:r>
              <w:rPr/>
              <w:t>供应商具备文化主管部门颁发的在有效期内的营业性演出许可证。</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对项目的理解程度</w:t>
            </w:r>
          </w:p>
        </w:tc>
        <w:tc>
          <w:tcPr>
            <w:tcW w:type="dxa" w:w="2492"/>
          </w:tcPr>
          <w:p>
            <w:pPr>
              <w:pStyle w:val="null3"/>
            </w:pPr>
            <w:r>
              <w:rPr/>
              <w:t>对项目需求理解深刻，对项目实施的重点、难点认识充分，内容全面准确，计3分；内容没有突出重点，较为详细，计2分；内容空洞，前后重复、堆砌、针对性差，计1分；未提供不得分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总体服务方案</w:t>
            </w:r>
          </w:p>
        </w:tc>
        <w:tc>
          <w:tcPr>
            <w:tcW w:type="dxa" w:w="2492"/>
          </w:tcPr>
          <w:p>
            <w:pPr>
              <w:pStyle w:val="null3"/>
            </w:pPr>
            <w:r>
              <w:rPr/>
              <w:t>对项目需求理解深刻，对项目实施的重点、难点认识充分，内容全面准确，计3分；内容没有突出重点，较为详细，计2分；内容空洞，前后重复、堆砌、针对性差，计1分；未提供不得分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民乐曲目创作方案</w:t>
            </w:r>
          </w:p>
        </w:tc>
        <w:tc>
          <w:tcPr>
            <w:tcW w:type="dxa" w:w="2492"/>
          </w:tcPr>
          <w:p>
            <w:pPr>
              <w:pStyle w:val="null3"/>
            </w:pPr>
            <w:r>
              <w:rPr/>
              <w:t>1.了解民乐去曲目创作市场情况。 2.掌握民乐创作的核心资源，与行业内优秀作曲家有长期稳定的合作关系，注：需提供合作的曲目证明材料，不限于创作协议等。 3.熟悉民乐创作流程，掌握民乐创作的节点、难点。 4.民乐创作实施路径清晰，措施具体，创作曲目能配合采购人需求（需提供书面承诺书）对项目需求理解深刻，对项目实施的重点、难点认识充分，内容全面准确，计11分；内容没有突出重点，较为详细，计6分；内容空洞，前后重复、堆砌、针对性差，计3分；未提供不得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民乐演出服务方案</w:t>
            </w:r>
          </w:p>
        </w:tc>
        <w:tc>
          <w:tcPr>
            <w:tcW w:type="dxa" w:w="2492"/>
          </w:tcPr>
          <w:p>
            <w:pPr>
              <w:pStyle w:val="null3"/>
            </w:pPr>
            <w:r>
              <w:rPr/>
              <w:t>民乐演出服务方案内容包括但不限于演出场地踏勘、演出布场，舞台搭建，排练及彩排组织，演出现场保障，参演人员交通以及人员安全等。 对项目需求理解深刻，对项目实施的重点、难点认识充分，内容全面准确，计21分；内容没有突出重点，较为详细，计14分；内容空洞，前后重复、堆砌、针对性差，计7分；未提供不得分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乐器搬运方案</w:t>
            </w:r>
          </w:p>
        </w:tc>
        <w:tc>
          <w:tcPr>
            <w:tcW w:type="dxa" w:w="2492"/>
          </w:tcPr>
          <w:p>
            <w:pPr>
              <w:pStyle w:val="null3"/>
            </w:pPr>
            <w:r>
              <w:rPr/>
              <w:t>1.了解民乐乐团乐器组成和种类，各种乐器的打包形式和清洁保养方式。 2.乐器租赁渠道清晰，资源丰富、可靠，能保住演出需要。 3.根据不同演出规模提供针对性的搬运工具，搬运方案链条完整，流程清晰，运输方式安全可靠，责任清晰。 4.应急预案充分，响应迅速。对项目需求理解深刻，对项目实施的重点、难点认识充分，内容全面准确，计11分；内容没有突出重点，较为详细，计6分；内容空洞，前后重复、堆砌、针对性差，计3分；未提供不得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民乐网络宣传方案</w:t>
            </w:r>
          </w:p>
        </w:tc>
        <w:tc>
          <w:tcPr>
            <w:tcW w:type="dxa" w:w="2492"/>
          </w:tcPr>
          <w:p>
            <w:pPr>
              <w:pStyle w:val="null3"/>
            </w:pPr>
            <w:r>
              <w:rPr/>
              <w:t>1.宣传网络平台具体，数量符合采购需求 2.网传推广计划具体，目标明确，内容和频次符合采购需求。3.宣传形式丰富，能够突出民乐特点 4.宣传方案链条完整，措施具体。5.应急预案充分，响应迅速。对项目需求理解深刻，对项目实施的重点、难点认识充分，内容全面准确，计14分；内容没有突出重点，较为详细，计8分；内容空洞，前后重复、堆砌、针对性差，计3分；未提供不得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1.项目负责人：熟悉民乐演出并具有演出经历或演出服务经历，经验丰富计5分，经验一般计3分，无经验不得分。 2.服务团队：人员大于或等于5人，计5分。人员小于5人不得分。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每提供1份2021年1月1日至今类似业绩计3分，满分12分。注：①时间以合同签订时间为准。②提供合同复印件。</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价格分采用低价优先法，即实质性满足磋商文件要求且最终磋商报价最低的为磋商基准价，其价格分为满分15分。其他供应商的价格分按照下列公式计算：磋商报价得分=(磋商基准价/磋商报价)×15。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详见附件：项目团队</w:t>
      </w:r>
    </w:p>
    <w:p>
      <w:pPr>
        <w:pStyle w:val="null3"/>
        <w:ind w:firstLine="960"/>
      </w:pPr>
      <w:r>
        <w:rPr/>
        <w:t>详见附件：非联合体声明</w:t>
      </w:r>
    </w:p>
    <w:p>
      <w:pPr>
        <w:pStyle w:val="null3"/>
        <w:ind w:firstLine="960"/>
      </w:pPr>
      <w:r>
        <w:rPr/>
        <w:t>详见附件：业绩情况表</w:t>
      </w:r>
    </w:p>
    <w:p>
      <w:pPr>
        <w:pStyle w:val="null3"/>
        <w:ind w:firstLine="960"/>
      </w:pPr>
      <w:r>
        <w:rPr/>
        <w:t>详见附件：信用声明</w:t>
      </w:r>
    </w:p>
    <w:p>
      <w:pPr>
        <w:pStyle w:val="null3"/>
        <w:ind w:firstLine="960"/>
      </w:pPr>
      <w:r>
        <w:rPr/>
        <w:t>详见附件：履约能力证明</w:t>
      </w:r>
    </w:p>
    <w:p>
      <w:pPr>
        <w:pStyle w:val="null3"/>
        <w:ind w:firstLine="960"/>
      </w:pPr>
      <w:r>
        <w:rPr/>
        <w:t>详见附件：法定代表人证明书</w:t>
      </w:r>
    </w:p>
    <w:p>
      <w:pPr>
        <w:pStyle w:val="null3"/>
        <w:ind w:firstLine="960"/>
      </w:pPr>
      <w:r>
        <w:rPr/>
        <w:t>详见附件：分项报价表</w:t>
      </w:r>
    </w:p>
    <w:p>
      <w:pPr>
        <w:pStyle w:val="null3"/>
        <w:ind w:firstLine="960"/>
      </w:pPr>
      <w:r>
        <w:rPr/>
        <w:t>详见附件：主要商务条款响应偏离表</w:t>
      </w:r>
    </w:p>
    <w:p>
      <w:pPr>
        <w:pStyle w:val="null3"/>
        <w:ind w:firstLine="960"/>
      </w:pPr>
      <w:r>
        <w:rPr/>
        <w:t>详见附件：供应商承诺书</w:t>
      </w:r>
    </w:p>
    <w:p>
      <w:pPr>
        <w:pStyle w:val="null3"/>
        <w:ind w:firstLine="960"/>
      </w:pPr>
      <w:r>
        <w:rPr/>
        <w:t>详见附件：代表人授权委托书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