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overflowPunct w:val="0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分项报价表</w:t>
      </w:r>
    </w:p>
    <w:tbl>
      <w:tblPr>
        <w:tblStyle w:val="7"/>
        <w:tblW w:w="5015" w:type="pct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2345"/>
        <w:gridCol w:w="838"/>
        <w:gridCol w:w="761"/>
        <w:gridCol w:w="1682"/>
        <w:gridCol w:w="1746"/>
        <w:gridCol w:w="142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446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序号</w:t>
            </w:r>
          </w:p>
        </w:tc>
        <w:tc>
          <w:tcPr>
            <w:tcW w:w="121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>投标产品名称</w:t>
            </w:r>
          </w:p>
        </w:tc>
        <w:tc>
          <w:tcPr>
            <w:tcW w:w="434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数量</w:t>
            </w:r>
          </w:p>
        </w:tc>
        <w:tc>
          <w:tcPr>
            <w:tcW w:w="394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单位</w:t>
            </w:r>
          </w:p>
        </w:tc>
        <w:tc>
          <w:tcPr>
            <w:tcW w:w="871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>综合</w:t>
            </w: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单价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（元）</w:t>
            </w:r>
          </w:p>
        </w:tc>
        <w:tc>
          <w:tcPr>
            <w:tcW w:w="90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合价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（元）</w:t>
            </w:r>
          </w:p>
        </w:tc>
        <w:tc>
          <w:tcPr>
            <w:tcW w:w="73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446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1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hint="default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>曲目创作</w:t>
            </w:r>
          </w:p>
        </w:tc>
        <w:tc>
          <w:tcPr>
            <w:tcW w:w="43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9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>项</w:t>
            </w:r>
          </w:p>
        </w:tc>
        <w:tc>
          <w:tcPr>
            <w:tcW w:w="87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904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734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446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1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hint="default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>演出服务</w:t>
            </w:r>
          </w:p>
        </w:tc>
        <w:tc>
          <w:tcPr>
            <w:tcW w:w="43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default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9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>项</w:t>
            </w:r>
          </w:p>
        </w:tc>
        <w:tc>
          <w:tcPr>
            <w:tcW w:w="87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904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734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446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1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hint="default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>乐器搬运</w:t>
            </w:r>
          </w:p>
        </w:tc>
        <w:tc>
          <w:tcPr>
            <w:tcW w:w="43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9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>项</w:t>
            </w:r>
          </w:p>
        </w:tc>
        <w:tc>
          <w:tcPr>
            <w:tcW w:w="87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904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734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446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1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hint="default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>音响租赁</w:t>
            </w:r>
          </w:p>
        </w:tc>
        <w:tc>
          <w:tcPr>
            <w:tcW w:w="43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9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>项</w:t>
            </w:r>
          </w:p>
        </w:tc>
        <w:tc>
          <w:tcPr>
            <w:tcW w:w="87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904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734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446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1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hint="default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>网络宣传</w:t>
            </w:r>
          </w:p>
        </w:tc>
        <w:tc>
          <w:tcPr>
            <w:tcW w:w="43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9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>项</w:t>
            </w:r>
          </w:p>
        </w:tc>
        <w:tc>
          <w:tcPr>
            <w:tcW w:w="87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904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734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446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hint="default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1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overflowPunct w:val="0"/>
              <w:adjustRightInd w:val="0"/>
              <w:snapToGrid w:val="0"/>
              <w:spacing w:after="0"/>
              <w:jc w:val="center"/>
              <w:rPr>
                <w:rFonts w:hint="default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43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default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94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default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>项</w:t>
            </w:r>
          </w:p>
        </w:tc>
        <w:tc>
          <w:tcPr>
            <w:tcW w:w="871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904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  <w:tc>
          <w:tcPr>
            <w:tcW w:w="734" w:type="pct"/>
            <w:tcBorders>
              <w:tl2br w:val="nil"/>
              <w:tr2bl w:val="nil"/>
            </w:tcBorders>
          </w:tcPr>
          <w:p>
            <w:pPr>
              <w:pStyle w:val="4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5000" w:type="pct"/>
            <w:gridSpan w:val="7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600" w:lineRule="exact"/>
              <w:jc w:val="both"/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</w:pPr>
            <w:r>
              <w:rPr>
                <w:rFonts w:cs="仿宋_GB2312" w:asciiTheme="minorEastAsia" w:hAnsiTheme="minorEastAsia" w:eastAsiaTheme="minorEastAsia"/>
                <w:b/>
                <w:kern w:val="2"/>
                <w:sz w:val="24"/>
                <w:szCs w:val="24"/>
              </w:rPr>
              <w:t>合计</w:t>
            </w:r>
            <w:r>
              <w:rPr>
                <w:rFonts w:hint="eastAsia" w:cs="仿宋_GB2312" w:asciiTheme="minorEastAsia" w:hAnsiTheme="minorEastAsia" w:eastAsiaTheme="minorEastAsia"/>
                <w:b/>
                <w:kern w:val="2"/>
                <w:sz w:val="24"/>
                <w:szCs w:val="24"/>
                <w:lang w:eastAsia="zh-CN"/>
              </w:rPr>
              <w:t>：</w:t>
            </w: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>大写</w:t>
            </w: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</w:rPr>
              <w:t xml:space="preserve"> </w:t>
            </w:r>
            <w:r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  <w:t xml:space="preserve">     </w:t>
            </w:r>
            <w:r>
              <w:rPr>
                <w:rFonts w:hint="eastAsia" w:cs="仿宋_GB2312" w:asciiTheme="minorEastAsia" w:hAnsiTheme="minorEastAsia" w:eastAsiaTheme="minorEastAsia"/>
                <w:kern w:val="2"/>
                <w:sz w:val="24"/>
                <w:szCs w:val="24"/>
                <w:lang w:val="en-US" w:eastAsia="zh-CN"/>
              </w:rPr>
              <w:t xml:space="preserve">                ；（小写）¥               </w:t>
            </w:r>
            <w:r>
              <w:rPr>
                <w:rFonts w:cs="仿宋_GB2312" w:asciiTheme="minorEastAsia" w:hAnsiTheme="minorEastAsia" w:eastAsiaTheme="minorEastAsia"/>
                <w:kern w:val="2"/>
                <w:sz w:val="24"/>
                <w:szCs w:val="24"/>
              </w:rPr>
              <w:t>元</w:t>
            </w:r>
          </w:p>
        </w:tc>
      </w:tr>
    </w:tbl>
    <w:p>
      <w:pPr>
        <w:overflowPunct w:val="0"/>
        <w:adjustRightInd w:val="0"/>
        <w:snapToGrid w:val="0"/>
        <w:spacing w:before="156" w:beforeLines="50" w:line="400" w:lineRule="exact"/>
        <w:jc w:val="left"/>
        <w:rPr>
          <w:rFonts w:ascii="楷体_GB2312" w:eastAsia="楷体_GB2312" w:cs="仿宋_GB2312" w:hAnsiTheme="minorEastAsia"/>
          <w:bCs/>
          <w:color w:val="000000" w:themeColor="text1"/>
          <w:sz w:val="22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 w:cs="仿宋_GB2312" w:hAnsiTheme="minorEastAsia"/>
          <w:bCs/>
          <w:color w:val="000000" w:themeColor="text1"/>
          <w:sz w:val="22"/>
          <w:szCs w:val="24"/>
          <w14:textFill>
            <w14:solidFill>
              <w14:schemeClr w14:val="tx1"/>
            </w14:solidFill>
          </w14:textFill>
        </w:rPr>
        <w:t>说明：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leftChars="0" w:hanging="220" w:hangingChars="100"/>
        <w:jc w:val="left"/>
        <w:textAlignment w:val="auto"/>
        <w:rPr>
          <w:rFonts w:ascii="楷体_GB2312" w:eastAsia="楷体_GB2312" w:cs="仿宋_GB2312" w:hAnsiTheme="minorEastAsia"/>
          <w:color w:val="000000"/>
          <w:sz w:val="22"/>
          <w:szCs w:val="24"/>
          <w:lang w:val="zh-CN"/>
        </w:rPr>
      </w:pPr>
      <w:r>
        <w:rPr>
          <w:rFonts w:hint="eastAsia" w:ascii="楷体_GB2312" w:eastAsia="楷体_GB2312" w:cs="仿宋_GB2312" w:hAnsiTheme="minorEastAsia"/>
          <w:bCs/>
          <w:sz w:val="22"/>
          <w:szCs w:val="24"/>
        </w:rPr>
        <w:t>本表可横置填写。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leftChars="0" w:hanging="220" w:hangingChars="100"/>
        <w:jc w:val="left"/>
        <w:textAlignment w:val="auto"/>
        <w:rPr>
          <w:rFonts w:ascii="楷体_GB2312" w:eastAsia="楷体_GB2312" w:cs="仿宋_GB2312" w:hAnsiTheme="minorEastAsia"/>
          <w:bCs/>
          <w:sz w:val="22"/>
          <w:szCs w:val="24"/>
        </w:rPr>
      </w:pPr>
      <w:r>
        <w:rPr>
          <w:rFonts w:hint="eastAsia" w:ascii="楷体_GB2312" w:eastAsia="楷体_GB2312" w:cs="仿宋_GB2312" w:hAnsiTheme="minorEastAsia"/>
          <w:bCs/>
          <w:sz w:val="22"/>
          <w:szCs w:val="24"/>
          <w:lang w:val="en-US" w:eastAsia="zh-CN"/>
        </w:rPr>
        <w:t>综合单价包括直接费、间接费、人工费、税金、招标代理费等全部价格。其他项根据供应商实际情况填写。</w:t>
      </w:r>
    </w:p>
    <w:p>
      <w:pPr>
        <w:overflowPunct w:val="0"/>
        <w:adjustRightInd w:val="0"/>
        <w:snapToGrid w:val="0"/>
        <w:spacing w:line="400" w:lineRule="exact"/>
        <w:ind w:firstLine="440" w:firstLineChars="200"/>
        <w:jc w:val="left"/>
        <w:rPr>
          <w:rFonts w:ascii="楷体_GB2312" w:eastAsia="楷体_GB2312" w:cs="仿宋_GB2312" w:hAnsiTheme="minorEastAsia"/>
          <w:bCs/>
          <w:sz w:val="22"/>
          <w:szCs w:val="24"/>
        </w:rPr>
      </w:pPr>
    </w:p>
    <w:p>
      <w:pPr>
        <w:overflowPunct w:val="0"/>
        <w:adjustRightInd w:val="0"/>
        <w:snapToGrid w:val="0"/>
        <w:spacing w:line="600" w:lineRule="exact"/>
        <w:jc w:val="both"/>
        <w:rPr>
          <w:rFonts w:cs="仿宋_GB2312" w:asciiTheme="minorEastAsia" w:hAnsiTheme="minorEastAsia" w:eastAsiaTheme="minorEastAsia"/>
          <w:kern w:val="28"/>
          <w:sz w:val="24"/>
          <w:szCs w:val="28"/>
        </w:rPr>
      </w:pP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val="en-US" w:eastAsia="zh-CN"/>
        </w:rPr>
        <w:t>供应商</w:t>
      </w: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</w:rPr>
        <w:t>：（盖公章）</w:t>
      </w:r>
      <w:r>
        <w:rPr>
          <w:rFonts w:hint="eastAsia" w:cs="仿宋_GB2312" w:asciiTheme="minorEastAsia" w:hAnsiTheme="minorEastAsia" w:eastAsiaTheme="minorEastAsia"/>
          <w:b/>
          <w:kern w:val="2"/>
          <w:sz w:val="24"/>
          <w:szCs w:val="24"/>
        </w:rPr>
        <w:t xml:space="preserve"> </w:t>
      </w:r>
      <w:bookmarkStart w:id="0" w:name="_GoBack"/>
      <w:bookmarkEnd w:id="0"/>
    </w:p>
    <w:p>
      <w:pPr>
        <w:ind w:left="0" w:leftChars="0" w:right="0" w:rightChars="0" w:firstLine="3000" w:firstLineChars="1500"/>
        <w:jc w:val="both"/>
        <w:rPr>
          <w:rFonts w:hint="eastAsia" w:eastAsia="宋体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22CDB6"/>
    <w:multiLevelType w:val="singleLevel"/>
    <w:tmpl w:val="EF22CDB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kNDNhZjhhYTdmZjk0NTBmODU4MDQ0YmM0ODI1ZmEifQ=="/>
  </w:docVars>
  <w:rsids>
    <w:rsidRoot w:val="007F2229"/>
    <w:rsid w:val="007F2229"/>
    <w:rsid w:val="067B57E2"/>
    <w:rsid w:val="0B786794"/>
    <w:rsid w:val="11FC011F"/>
    <w:rsid w:val="12E64D4C"/>
    <w:rsid w:val="12FD3AB3"/>
    <w:rsid w:val="17D93877"/>
    <w:rsid w:val="1C1E6EE4"/>
    <w:rsid w:val="1CFB62C8"/>
    <w:rsid w:val="1E8F7C25"/>
    <w:rsid w:val="2AC60E73"/>
    <w:rsid w:val="31411253"/>
    <w:rsid w:val="39047736"/>
    <w:rsid w:val="3FF9428E"/>
    <w:rsid w:val="44B32010"/>
    <w:rsid w:val="525953CC"/>
    <w:rsid w:val="53DC7D99"/>
    <w:rsid w:val="5481728A"/>
    <w:rsid w:val="618267B6"/>
    <w:rsid w:val="6BF553EA"/>
    <w:rsid w:val="752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next w:val="1"/>
    <w:qFormat/>
    <w:uiPriority w:val="0"/>
    <w:pPr>
      <w:keepNext/>
      <w:keepLines/>
      <w:widowControl w:val="0"/>
      <w:adjustRightInd w:val="0"/>
      <w:snapToGrid w:val="0"/>
      <w:spacing w:line="480" w:lineRule="auto"/>
      <w:jc w:val="center"/>
      <w:outlineLvl w:val="4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next w:val="1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5">
    <w:name w:val="Plain Text"/>
    <w:qFormat/>
    <w:uiPriority w:val="0"/>
    <w:pPr>
      <w:widowControl w:val="0"/>
      <w:jc w:val="both"/>
    </w:pPr>
    <w:rPr>
      <w:rFonts w:ascii="宋体" w:hAnsi="Courier New" w:eastAsia="华文仿宋" w:cs="Times New Roman"/>
      <w:kern w:val="2"/>
      <w:sz w:val="28"/>
      <w:szCs w:val="21"/>
      <w:lang w:val="en-US" w:eastAsia="zh-CN" w:bidi="ar-SA"/>
    </w:rPr>
  </w:style>
  <w:style w:type="paragraph" w:styleId="6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9">
    <w:name w:val="样式 仿宋_GB2312 四号 行距: 1.5 倍行距"/>
    <w:basedOn w:val="1"/>
    <w:qFormat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142</Characters>
  <Lines>0</Lines>
  <Paragraphs>0</Paragraphs>
  <TotalTime>2</TotalTime>
  <ScaleCrop>false</ScaleCrop>
  <LinksUpToDate>false</LinksUpToDate>
  <CharactersWithSpaces>228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2023-07-27T02:29:00Z</dcterms:created>
  <dc:creator>新昱</dc:creator>
  <cp:lastModifiedBy>Admin</cp:lastModifiedBy>
  <dcterms:modified xsi:type="dcterms:W3CDTF">2023-08-11T07:11:33Z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25D97B538B344D85898AB361074AB99A_13</vt:lpwstr>
  </property>
</Properties>
</file>