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版本号：240612001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2024-2025年度交通量统计服务</w:t>
      </w:r>
    </w:p>
    <w:p>
      <w:pPr>
        <w:pStyle w:val="null3"/>
        <w:jc w:val="center"/>
        <w:outlineLvl w:val="2"/>
      </w:pPr>
      <w:r>
        <w:rPr>
          <w:sz w:val="28"/>
          <w:b/>
        </w:rPr>
        <w:t>采购项目编号：</w:t>
      </w:r>
      <w:r>
        <w:rPr>
          <w:sz w:val="28"/>
          <w:b/>
        </w:rPr>
        <w:t>中赞招字（2024）第31号</w:t>
      </w:r>
      <w:r>
        <w:br/>
      </w:r>
      <w:r>
        <w:br/>
      </w:r>
      <w:r>
        <w:br/>
      </w:r>
    </w:p>
    <w:p>
      <w:pPr>
        <w:pStyle w:val="null3"/>
        <w:jc w:val="center"/>
        <w:outlineLvl w:val="2"/>
      </w:pPr>
      <w:r>
        <w:rPr>
          <w:sz w:val="28"/>
          <w:b/>
        </w:rPr>
        <w:t>陕西省高速公路收费中心</w:t>
      </w:r>
    </w:p>
    <w:p>
      <w:pPr>
        <w:pStyle w:val="null3"/>
        <w:jc w:val="center"/>
        <w:outlineLvl w:val="2"/>
      </w:pPr>
      <w:r>
        <w:rPr>
          <w:sz w:val="28"/>
          <w:b/>
        </w:rPr>
        <w:t>中赞国际项目管理有限公司</w:t>
      </w:r>
      <w:r>
        <w:rPr>
          <w:sz w:val="28"/>
          <w:b/>
        </w:rPr>
        <w:t>共同编制</w:t>
      </w:r>
    </w:p>
    <w:p>
      <w:pPr>
        <w:pStyle w:val="null3"/>
        <w:jc w:val="center"/>
        <w:outlineLvl w:val="2"/>
      </w:pPr>
      <w:r>
        <w:rPr>
          <w:sz w:val="28"/>
          <w:b/>
        </w:rPr>
        <w:t>2024年06月11日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中赞国际项目管理有限公司</w:t>
      </w:r>
      <w:r>
        <w:rPr/>
        <w:t>（以下简称“代理机构”）受</w:t>
      </w:r>
      <w:r>
        <w:rPr/>
        <w:t>陕西省高速公路收费中心</w:t>
      </w:r>
      <w:r>
        <w:rPr/>
        <w:t>委托，拟对</w:t>
      </w:r>
      <w:r>
        <w:rPr/>
        <w:t>2024-2025年度交通量统计服务</w:t>
      </w:r>
      <w:r>
        <w:rPr/>
        <w:t>采用竞争性磋商采购方式进行采购，兹邀请供应商参加本项目的竞争性磋商。</w:t>
      </w:r>
    </w:p>
    <w:p>
      <w:pPr>
        <w:pStyle w:val="null3"/>
        <w:outlineLvl w:val="2"/>
      </w:pPr>
      <w:r>
        <w:rPr>
          <w:sz w:val="28"/>
          <w:b/>
        </w:rPr>
        <w:t>一、项目编号：</w:t>
      </w:r>
      <w:r>
        <w:rPr>
          <w:sz w:val="28"/>
          <w:b/>
        </w:rPr>
        <w:t>中赞招字（2024）第31号</w:t>
      </w:r>
    </w:p>
    <w:p>
      <w:pPr>
        <w:pStyle w:val="null3"/>
        <w:outlineLvl w:val="2"/>
      </w:pPr>
      <w:r>
        <w:rPr>
          <w:sz w:val="28"/>
          <w:b/>
        </w:rPr>
        <w:t>二、项目名称：</w:t>
      </w:r>
      <w:r>
        <w:rPr>
          <w:sz w:val="28"/>
          <w:b/>
        </w:rPr>
        <w:t>2024-2025年度交通量统计服务</w:t>
      </w:r>
    </w:p>
    <w:p>
      <w:pPr>
        <w:pStyle w:val="null3"/>
        <w:outlineLvl w:val="2"/>
      </w:pPr>
      <w:r>
        <w:rPr>
          <w:sz w:val="28"/>
          <w:b/>
        </w:rPr>
        <w:t>三、磋商项目简介</w:t>
      </w:r>
    </w:p>
    <w:p>
      <w:pPr>
        <w:pStyle w:val="null3"/>
        <w:ind w:firstLine="480"/>
      </w:pPr>
      <w:r>
        <w:rPr/>
        <w:t>2024-2025年度交通量统计服务项目预算为59万元，包括：①报部旬报服务；动态监测服务。②节日预测研判、经济运行分析及其他行业数据统计服务。③流量分布图数据加工及地图编制。2025年4月底前一次性完成2024年度路网综合分析报告及运行状况图电子版编制（非常年服务，一次性提供）。</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采购包1（2024-2025年度交通量统计服务）：属于专门面向中小企业采购。</w:t>
      </w:r>
    </w:p>
    <w:p>
      <w:pPr>
        <w:pStyle w:val="null3"/>
        <w:ind w:firstLine="480"/>
      </w:pPr>
      <w:r>
        <w:rPr/>
        <w:t>（三）本项目的特定资格要求：</w:t>
      </w:r>
    </w:p>
    <w:p>
      <w:pPr>
        <w:pStyle w:val="null3"/>
      </w:pPr>
      <w:r>
        <w:rPr/>
        <w:t>采购包1：</w:t>
      </w:r>
    </w:p>
    <w:p>
      <w:pPr>
        <w:pStyle w:val="null3"/>
      </w:pPr>
      <w:r>
        <w:rPr/>
        <w:t>1、信用记录：供应商不得在“信用中国” 网站被列入失信被执行人名单、重大税收违法案件当事人名单和不得在“中国政府采购网”被列入政府采购严重违法失信行为记录名单。</w:t>
      </w:r>
    </w:p>
    <w:p>
      <w:pPr>
        <w:pStyle w:val="null3"/>
      </w:pPr>
      <w:r>
        <w:rPr/>
        <w:t>2、法定代表人委托授权书\身份证明：供应商应授权合法的人员参加磋商全过程，其中法定代表人直接参加磋商的，须出具法定代表人身份证明，并与营业执照上信息一致。法定代表人授权代表参加磋商的，须出具法定代表人授权委托书。（其他组织或自然人参照执行）</w:t>
      </w:r>
    </w:p>
    <w:p>
      <w:pPr>
        <w:pStyle w:val="null3"/>
      </w:pPr>
      <w:r>
        <w:rPr/>
        <w:t>3、有效的主体资格证明：提供合格有效的法人或者其他组织的营业执照等证明文件或自然人的身份证明。</w:t>
      </w:r>
    </w:p>
    <w:p>
      <w:pPr>
        <w:pStyle w:val="null3"/>
      </w:pPr>
      <w:r>
        <w:rPr/>
        <w:t>4、财务状况报告：（1）提供2022年度或2023年度的财务审计报告（至少包含“四表一注”，即资产负债表、利润表、现金流量表、所有者权益变动表及附注）；（2）提供递交响应文件截止日期前三个月内（递交响应文件截止时间当月不计入）其基本存款账户开户银行出具的资信证明及基本存款账户开户许可证（基本账户信息）（3）财政部门认可的政府采购专业担保机构出具的担保函(附开户许可证或开户备案证明或基本账户信息)。以上三种形式的证明资料提供任何一种即可。（事业法人仅提供部门决算报告即可）</w:t>
      </w:r>
    </w:p>
    <w:p>
      <w:pPr>
        <w:pStyle w:val="null3"/>
      </w:pPr>
      <w:r>
        <w:rPr/>
        <w:t>5、税收缴纳证明：提供递交响应文件截止日期前十二个月（递交响应文件截止时间当月不计入）内已缴存的至少一个月的纳税证明或完税证明，依法免税的单位应提供相关证明材料。</w:t>
      </w:r>
    </w:p>
    <w:p>
      <w:pPr>
        <w:pStyle w:val="null3"/>
      </w:pPr>
      <w:r>
        <w:rPr/>
        <w:t>6、社会保障资金缴纳证明：提供递交响应文件截止日期前十二个月内（递交响应文件截止时间当月不计入）已缴存的至少一个月的社会保障资金缴存单据或社保机构开具的社会保险参保缴费情况证明，依法不需要缴纳社会保障资金的单位应提供相关证明材料。</w:t>
      </w:r>
    </w:p>
    <w:p>
      <w:pPr>
        <w:pStyle w:val="null3"/>
      </w:pPr>
      <w:r>
        <w:rPr/>
        <w:t>7、无重大违法记录声明：近3年内在经营活动中没有重大违法记录的书面声明。</w:t>
      </w:r>
    </w:p>
    <w:p>
      <w:pPr>
        <w:pStyle w:val="null3"/>
      </w:pPr>
      <w:r>
        <w:rPr/>
        <w:t>8、具有履行合同所必需的设备和专业技术能力：提交履行合同所必需的设备和专业技术能力的书面声明。</w:t>
      </w:r>
    </w:p>
    <w:p>
      <w:pPr>
        <w:pStyle w:val="null3"/>
      </w:pPr>
      <w:r>
        <w:rPr/>
        <w:t>9、本项目不接受联合体响应：非联合体投标承诺书。</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陕西省高速公路收费中心</w:t>
      </w:r>
    </w:p>
    <w:p>
      <w:pPr>
        <w:pStyle w:val="null3"/>
      </w:pPr>
      <w:r>
        <w:rPr/>
        <w:t xml:space="preserve"> 地址： </w:t>
      </w:r>
      <w:r>
        <w:rPr/>
        <w:t>西安市未央区未央路208号</w:t>
      </w:r>
    </w:p>
    <w:p>
      <w:pPr>
        <w:pStyle w:val="null3"/>
      </w:pPr>
      <w:r>
        <w:rPr/>
        <w:t xml:space="preserve"> 邮编： </w:t>
      </w:r>
      <w:r>
        <w:rPr/>
        <w:t>710000</w:t>
      </w:r>
    </w:p>
    <w:p>
      <w:pPr>
        <w:pStyle w:val="null3"/>
      </w:pPr>
      <w:r>
        <w:rPr/>
        <w:t xml:space="preserve"> 联系人： </w:t>
      </w:r>
      <w:r>
        <w:rPr/>
        <w:t>陕西省高速公路收费中心办公室</w:t>
      </w:r>
    </w:p>
    <w:p>
      <w:pPr>
        <w:pStyle w:val="null3"/>
      </w:pPr>
      <w:r>
        <w:rPr/>
        <w:t xml:space="preserve"> 联系电话： </w:t>
      </w:r>
      <w:r>
        <w:rPr/>
        <w:t>029-86531101</w:t>
      </w:r>
    </w:p>
    <w:p>
      <w:pPr>
        <w:pStyle w:val="null3"/>
        <w:outlineLvl w:val="3"/>
      </w:pPr>
      <w:r>
        <w:rPr>
          <w:sz w:val="24"/>
          <w:b/>
        </w:rPr>
        <w:t>代理机构：</w:t>
      </w:r>
      <w:r>
        <w:rPr>
          <w:sz w:val="24"/>
          <w:b/>
        </w:rPr>
        <w:t>中赞国际项目管理有限公司</w:t>
      </w:r>
    </w:p>
    <w:p>
      <w:pPr>
        <w:pStyle w:val="null3"/>
      </w:pPr>
      <w:r>
        <w:rPr/>
        <w:t xml:space="preserve"> 地址： </w:t>
      </w:r>
      <w:r>
        <w:rPr/>
        <w:t>陕西省西安市未央区陕西省西安市未央区未央路老三届首座大厦2号1幢2220室</w:t>
      </w:r>
    </w:p>
    <w:p>
      <w:pPr>
        <w:pStyle w:val="null3"/>
      </w:pPr>
      <w:r>
        <w:rPr/>
        <w:t xml:space="preserve"> 邮编： </w:t>
      </w:r>
      <w:r>
        <w:rPr/>
        <w:t>710000</w:t>
      </w:r>
    </w:p>
    <w:p>
      <w:pPr>
        <w:pStyle w:val="null3"/>
      </w:pPr>
      <w:r>
        <w:rPr/>
        <w:t xml:space="preserve"> 联系人： </w:t>
      </w:r>
      <w:r>
        <w:rPr/>
        <w:t>张琪</w:t>
      </w:r>
    </w:p>
    <w:p>
      <w:pPr>
        <w:pStyle w:val="null3"/>
      </w:pPr>
      <w:r>
        <w:rPr/>
        <w:t xml:space="preserve"> 联系电话： </w:t>
      </w:r>
      <w:r>
        <w:rPr/>
        <w:t>029-81629798</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采购包1：590,000.00元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采购包1保证金金额：5,000.00元</w:t>
            </w:r>
          </w:p>
          <w:p>
            <w:pPr>
              <w:pStyle w:val="null3"/>
            </w:pPr>
            <w:r>
              <w:rPr/>
              <w:t>缴交渠道：转账、支票、汇票等（需通过实体账户、户名及开户行信息）</w:t>
            </w:r>
          </w:p>
          <w:p>
            <w:pPr>
              <w:pStyle w:val="null3"/>
            </w:pPr>
            <w:r>
              <w:rPr/>
              <w:t>开户名称：中赞国际项目管理有限公司</w:t>
            </w:r>
          </w:p>
          <w:p>
            <w:pPr>
              <w:pStyle w:val="null3"/>
            </w:pPr>
            <w:r>
              <w:rPr/>
              <w:t>开户银行：招商银行股份有限公司西安未央路支行</w:t>
            </w:r>
          </w:p>
          <w:p>
            <w:pPr>
              <w:pStyle w:val="null3"/>
            </w:pPr>
            <w:r>
              <w:rPr/>
              <w:t>银行账号：129912141810202</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按照国家计委关于印发《招标代理服务收费管理暂行办法》的通知（计价格〔2002〕1980号）、《国家发展和改革委员会办公厅关于招标代理服务收费有关问题的通知》（发改办价格〔2003〕857号）文件取费标准优惠5%向招标代理机构一次性支付招标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踏勘时间：2024-06-18 15:00:00</w:t>
            </w:r>
          </w:p>
          <w:p>
            <w:pPr>
              <w:pStyle w:val="null3"/>
              <w:ind w:firstLine="975"/>
            </w:pPr>
            <w:r>
              <w:rPr/>
              <w:t>踏勘地点：陕西省高速公路收费中心</w:t>
            </w:r>
          </w:p>
          <w:p>
            <w:pPr>
              <w:pStyle w:val="null3"/>
              <w:ind w:firstLine="975"/>
            </w:pPr>
            <w:r>
              <w:rPr/>
              <w:t>联系人：赵妍</w:t>
            </w:r>
          </w:p>
          <w:p>
            <w:pPr>
              <w:pStyle w:val="null3"/>
              <w:ind w:firstLine="975"/>
            </w:pPr>
            <w:r>
              <w:rPr/>
              <w:t>联系电话号码：18792701326</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陕西省高速公路收费中心</w:t>
      </w:r>
      <w:r>
        <w:rPr/>
        <w:t>和</w:t>
      </w:r>
      <w:r>
        <w:rPr/>
        <w:t>中赞国际项目管理有限公司</w:t>
      </w:r>
      <w:r>
        <w:rPr/>
        <w:t>享有。对磋商文件中供应商参加本次政府采购活动应当具备的条件，磋商项目技术、服务、商务及其他要求，评审细则及标准由</w:t>
      </w:r>
      <w:r>
        <w:rPr/>
        <w:t>陕西省高速公路收费中心</w:t>
      </w:r>
      <w:r>
        <w:rPr/>
        <w:t>负责解释。除上述磋商文件内容，其他内容由</w:t>
      </w:r>
      <w:r>
        <w:rPr/>
        <w:t>中赞国际项目管理有限公司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陕西省高速公路收费中心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中赞国际项目管理有限公司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采购人照政府采购合同规定的技术、服务、安全标准组织对供应商履约情况进行验收，并出具验收书。</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中赞国际项目管理有限公司</w:t>
      </w:r>
      <w:r>
        <w:rPr/>
        <w:t xml:space="preserve"> 负责答复；供应商对除采购需求外的采购文件的询问、质疑由</w:t>
      </w:r>
      <w:r>
        <w:rPr/>
        <w:t>中赞国际项目管理有限公司</w:t>
      </w:r>
      <w:r>
        <w:rPr/>
        <w:t xml:space="preserve"> 负责答复；供应商对采购过程、采购结果的询问、质疑由 </w:t>
      </w:r>
      <w:r>
        <w:rPr/>
        <w:t>中赞国际项目管理有限公司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联系人：张琪</w:t>
      </w:r>
    </w:p>
    <w:p>
      <w:pPr>
        <w:pStyle w:val="null3"/>
      </w:pPr>
      <w:r>
        <w:rPr/>
        <w:t>联系电话： 029-81629798</w:t>
      </w:r>
    </w:p>
    <w:p>
      <w:pPr>
        <w:pStyle w:val="null3"/>
      </w:pPr>
      <w:r>
        <w:rPr/>
        <w:t>地址：陕西省西安市未央区未央路老三届首座大厦2号1幢2220室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2024-2025年度交通量统计服务项目预算为59万元，包括：①报部旬报服务；动态监测服务。②节日预测研判、经济运行分析及其他行业数据统计服务。③流量分布图数据加工及地图编制。2025年4月底前一次性完成2024年度路网综合分析报告及运行状况图电子版编制（非常年服务，一次性提供）。</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590,000.00</w:t>
      </w:r>
    </w:p>
    <w:p>
      <w:pPr>
        <w:pStyle w:val="null3"/>
      </w:pPr>
      <w:r>
        <w:rPr/>
        <w:t>采购包最高限价（元）: 590,000.00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2024-2025年度交通量统计服务</w:t>
            </w:r>
          </w:p>
        </w:tc>
        <w:tc>
          <w:tcPr>
            <w:tcW w:type="dxa" w:w="831"/>
          </w:tcPr>
          <w:p>
            <w:pPr>
              <w:pStyle w:val="null3"/>
              <w:jc w:val="right"/>
            </w:pPr>
            <w:r>
              <w:rPr/>
              <w:t>1.00</w:t>
            </w:r>
          </w:p>
        </w:tc>
        <w:tc>
          <w:tcPr>
            <w:tcW w:type="dxa" w:w="831"/>
          </w:tcPr>
          <w:p>
            <w:pPr>
              <w:pStyle w:val="null3"/>
              <w:jc w:val="right"/>
            </w:pPr>
            <w:r>
              <w:rPr/>
              <w:t>590,000.00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标的名称：2024-2025年度交通量统计服务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pPr>
            <w:r>
              <w:rPr>
                <w:rFonts w:ascii="宋体" w:hAnsi="宋体" w:cs="宋体" w:eastAsia="宋体"/>
                <w:sz w:val="20"/>
                <w:b/>
              </w:rPr>
              <w:t>服务内容</w:t>
            </w:r>
          </w:p>
          <w:p>
            <w:pPr>
              <w:pStyle w:val="null3"/>
              <w:jc w:val="left"/>
            </w:pPr>
            <w:r>
              <w:rPr>
                <w:rFonts w:ascii="宋体" w:hAnsi="宋体" w:cs="宋体" w:eastAsia="宋体"/>
                <w:sz w:val="20"/>
              </w:rPr>
              <w:t>1.报部旬报</w:t>
            </w:r>
            <w:r>
              <w:rPr>
                <w:rFonts w:ascii="宋体" w:hAnsi="宋体" w:cs="宋体" w:eastAsia="宋体"/>
                <w:sz w:val="20"/>
              </w:rPr>
              <w:t>统计审核</w:t>
            </w:r>
            <w:r>
              <w:rPr>
                <w:rFonts w:ascii="宋体" w:hAnsi="宋体" w:cs="宋体" w:eastAsia="宋体"/>
                <w:sz w:val="20"/>
              </w:rPr>
              <w:t>服务</w:t>
            </w:r>
            <w:r>
              <w:rPr>
                <w:rFonts w:ascii="宋体" w:hAnsi="宋体" w:cs="宋体" w:eastAsia="宋体"/>
                <w:sz w:val="20"/>
              </w:rPr>
              <w:t>：</w:t>
            </w:r>
            <w:r>
              <w:rPr>
                <w:rFonts w:ascii="宋体" w:hAnsi="宋体" w:cs="宋体" w:eastAsia="宋体"/>
                <w:sz w:val="20"/>
              </w:rPr>
              <w:t>根据交通运输部要求，按要求从高速公路收费系统中抽取信息，统计交通运输量旬度数据，</w:t>
            </w:r>
            <w:r>
              <w:rPr>
                <w:rFonts w:ascii="宋体" w:hAnsi="宋体" w:cs="宋体" w:eastAsia="宋体"/>
                <w:sz w:val="20"/>
              </w:rPr>
              <w:t>并审核报送数据异常原因</w:t>
            </w:r>
            <w:r>
              <w:rPr>
                <w:rFonts w:ascii="宋体" w:hAnsi="宋体" w:cs="宋体" w:eastAsia="宋体"/>
                <w:sz w:val="20"/>
              </w:rPr>
              <w:t>，具体要求如下</w:t>
            </w:r>
            <w:r>
              <w:rPr>
                <w:rFonts w:ascii="宋体" w:hAnsi="宋体" w:cs="宋体" w:eastAsia="宋体"/>
                <w:sz w:val="20"/>
              </w:rPr>
              <w:t>：</w:t>
            </w:r>
          </w:p>
          <w:p>
            <w:pPr>
              <w:pStyle w:val="null3"/>
              <w:jc w:val="left"/>
            </w:pPr>
            <w:r>
              <w:rPr>
                <w:rFonts w:ascii="宋体" w:hAnsi="宋体" w:cs="宋体" w:eastAsia="宋体"/>
                <w:sz w:val="20"/>
              </w:rPr>
              <w:t>（</w:t>
            </w:r>
            <w:r>
              <w:rPr>
                <w:rFonts w:ascii="宋体" w:hAnsi="宋体" w:cs="宋体" w:eastAsia="宋体"/>
                <w:sz w:val="20"/>
              </w:rPr>
              <w:t>1）报送内容：按交通部旬报报表样式要求，报送旬度货运量数据，包含路网及新增收费站驶入的货车流量、货运量、周转量数据。</w:t>
            </w:r>
          </w:p>
          <w:p>
            <w:pPr>
              <w:pStyle w:val="null3"/>
              <w:jc w:val="left"/>
            </w:pPr>
            <w:r>
              <w:rPr>
                <w:rFonts w:ascii="宋体" w:hAnsi="宋体" w:cs="宋体" w:eastAsia="宋体"/>
                <w:sz w:val="20"/>
              </w:rPr>
              <w:t>（</w:t>
            </w:r>
            <w:r>
              <w:rPr>
                <w:rFonts w:ascii="宋体" w:hAnsi="宋体" w:cs="宋体" w:eastAsia="宋体"/>
                <w:sz w:val="20"/>
              </w:rPr>
              <w:t>2）上报时间要求：按旬统计，旬后1天立即统计，即每月1号、11号、21号分别统计上月下旬、当月上旬和中旬数据，如遇周末或节假日，顺延在第一个工作日完成统计。统计后，按照要求导出报表，并按照规定时间报送至中心相关部门。</w:t>
            </w:r>
          </w:p>
          <w:p>
            <w:pPr>
              <w:pStyle w:val="null3"/>
              <w:jc w:val="left"/>
            </w:pPr>
            <w:r>
              <w:rPr>
                <w:rFonts w:ascii="宋体" w:hAnsi="宋体" w:cs="宋体" w:eastAsia="宋体"/>
                <w:sz w:val="20"/>
              </w:rPr>
              <w:t>2.动态监测服务</w:t>
            </w:r>
            <w:r>
              <w:rPr>
                <w:rFonts w:ascii="宋体" w:hAnsi="宋体" w:cs="宋体" w:eastAsia="宋体"/>
                <w:sz w:val="20"/>
              </w:rPr>
              <w:t>：</w:t>
            </w:r>
            <w:r>
              <w:rPr>
                <w:rFonts w:ascii="宋体" w:hAnsi="宋体" w:cs="宋体" w:eastAsia="宋体"/>
                <w:sz w:val="20"/>
              </w:rPr>
              <w:t>动态监测服务通过</w:t>
            </w:r>
            <w:r>
              <w:rPr>
                <w:rFonts w:ascii="宋体" w:hAnsi="宋体" w:cs="宋体" w:eastAsia="宋体"/>
                <w:sz w:val="20"/>
              </w:rPr>
              <w:t>“部级交通运输数据资源交换共享与开放应用平台”以文件交换的方式将相关数据进行报送，具体要求如下：</w:t>
            </w:r>
          </w:p>
          <w:p>
            <w:pPr>
              <w:pStyle w:val="null3"/>
              <w:jc w:val="left"/>
            </w:pPr>
            <w:r>
              <w:rPr>
                <w:rFonts w:ascii="宋体" w:hAnsi="宋体" w:cs="宋体" w:eastAsia="宋体"/>
                <w:sz w:val="20"/>
              </w:rPr>
              <w:t>（</w:t>
            </w:r>
            <w:r>
              <w:rPr>
                <w:rFonts w:ascii="宋体" w:hAnsi="宋体" w:cs="宋体" w:eastAsia="宋体"/>
                <w:sz w:val="20"/>
              </w:rPr>
              <w:t>1）数据报送内容：高速公路入口通行数据表、门架通行数据表、出口通行数据表及相应数据字典表等，并根据交通部要求，及时调整报送内容；</w:t>
            </w:r>
          </w:p>
          <w:p>
            <w:pPr>
              <w:pStyle w:val="null3"/>
              <w:jc w:val="left"/>
            </w:pPr>
            <w:r>
              <w:rPr>
                <w:rFonts w:ascii="宋体" w:hAnsi="宋体" w:cs="宋体" w:eastAsia="宋体"/>
                <w:sz w:val="20"/>
              </w:rPr>
              <w:t>（</w:t>
            </w:r>
            <w:r>
              <w:rPr>
                <w:rFonts w:ascii="宋体" w:hAnsi="宋体" w:cs="宋体" w:eastAsia="宋体"/>
                <w:sz w:val="20"/>
              </w:rPr>
              <w:t>2）数据报送方式：按交通部统一要求，每15分钟向部级交通运输数据资源交换共享与开放应用平台指定前置机中推送一次最新的数据文件；</w:t>
            </w:r>
          </w:p>
          <w:p>
            <w:pPr>
              <w:pStyle w:val="null3"/>
              <w:jc w:val="left"/>
            </w:pPr>
            <w:r>
              <w:rPr>
                <w:rFonts w:ascii="宋体" w:hAnsi="宋体" w:cs="宋体" w:eastAsia="宋体"/>
                <w:sz w:val="20"/>
              </w:rPr>
              <w:t>（</w:t>
            </w:r>
            <w:r>
              <w:rPr>
                <w:rFonts w:ascii="宋体" w:hAnsi="宋体" w:cs="宋体" w:eastAsia="宋体"/>
                <w:sz w:val="20"/>
              </w:rPr>
              <w:t>3）数据字典：包括高速公路收费单元字典（SFDY）、收费站字典（SFZ）、收费门架字典（SFMJ）等，数据字典表在发生变化时应以全量更新的方式报送；</w:t>
            </w:r>
          </w:p>
          <w:p>
            <w:pPr>
              <w:pStyle w:val="null3"/>
              <w:jc w:val="left"/>
            </w:pPr>
            <w:r>
              <w:rPr>
                <w:rFonts w:ascii="宋体" w:hAnsi="宋体" w:cs="宋体" w:eastAsia="宋体"/>
                <w:sz w:val="20"/>
              </w:rPr>
              <w:t>（</w:t>
            </w:r>
            <w:r>
              <w:rPr>
                <w:rFonts w:ascii="宋体" w:hAnsi="宋体" w:cs="宋体" w:eastAsia="宋体"/>
                <w:sz w:val="20"/>
              </w:rPr>
              <w:t>4）传输控制文件格式及内容：应满足部级数据资源交换共享平台的要求；</w:t>
            </w:r>
          </w:p>
          <w:p>
            <w:pPr>
              <w:pStyle w:val="null3"/>
              <w:jc w:val="left"/>
            </w:pPr>
            <w:r>
              <w:rPr>
                <w:rFonts w:ascii="宋体" w:hAnsi="宋体" w:cs="宋体" w:eastAsia="宋体"/>
                <w:sz w:val="20"/>
              </w:rPr>
              <w:t>（</w:t>
            </w:r>
            <w:r>
              <w:rPr>
                <w:rFonts w:ascii="宋体" w:hAnsi="宋体" w:cs="宋体" w:eastAsia="宋体"/>
                <w:sz w:val="20"/>
              </w:rPr>
              <w:t>5）数据传输时效：每月25日前报送1-20日本省数据，次月3日前报送上月21日至月底数据，均按要求报送至指定位置；</w:t>
            </w:r>
          </w:p>
          <w:p>
            <w:pPr>
              <w:pStyle w:val="null3"/>
              <w:jc w:val="left"/>
            </w:pPr>
            <w:r>
              <w:rPr>
                <w:rFonts w:ascii="宋体" w:hAnsi="宋体" w:cs="宋体" w:eastAsia="宋体"/>
                <w:sz w:val="20"/>
              </w:rPr>
              <w:t>（</w:t>
            </w:r>
            <w:r>
              <w:rPr>
                <w:rFonts w:ascii="宋体" w:hAnsi="宋体" w:cs="宋体" w:eastAsia="宋体"/>
                <w:sz w:val="20"/>
              </w:rPr>
              <w:t>6）数据质量核验：按时间要求，核验数据传送情况。在数据异常波动时，应分析引起数据波动的原因，报送有关文字说明材料。</w:t>
            </w:r>
          </w:p>
          <w:p>
            <w:pPr>
              <w:pStyle w:val="null3"/>
              <w:jc w:val="left"/>
            </w:pPr>
            <w:r>
              <w:rPr>
                <w:rFonts w:ascii="宋体" w:hAnsi="宋体" w:cs="宋体" w:eastAsia="宋体"/>
                <w:sz w:val="20"/>
              </w:rPr>
              <w:t>3.节日预测研判</w:t>
            </w:r>
          </w:p>
          <w:p>
            <w:pPr>
              <w:pStyle w:val="null3"/>
              <w:jc w:val="left"/>
            </w:pPr>
            <w:r>
              <w:rPr>
                <w:rFonts w:ascii="宋体" w:hAnsi="宋体" w:cs="宋体" w:eastAsia="宋体"/>
                <w:sz w:val="20"/>
              </w:rPr>
              <w:t>（</w:t>
            </w:r>
            <w:r>
              <w:rPr>
                <w:rFonts w:ascii="宋体" w:hAnsi="宋体" w:cs="宋体" w:eastAsia="宋体"/>
                <w:sz w:val="20"/>
              </w:rPr>
              <w:t>1）服务内容：包含高速公路通行免费节假日（春节、清明、劳动节、国庆节）节前流量研判报告、节前微信版出行</w:t>
            </w:r>
            <w:r>
              <w:rPr>
                <w:rFonts w:ascii="宋体" w:hAnsi="宋体" w:cs="宋体" w:eastAsia="宋体"/>
                <w:sz w:val="20"/>
              </w:rPr>
              <w:t>温馨提示，并根据要求进行完善调整</w:t>
            </w:r>
            <w:r>
              <w:rPr>
                <w:rFonts w:ascii="宋体" w:hAnsi="宋体" w:cs="宋体" w:eastAsia="宋体"/>
                <w:sz w:val="20"/>
              </w:rPr>
              <w:t>；</w:t>
            </w:r>
          </w:p>
          <w:p>
            <w:pPr>
              <w:pStyle w:val="null3"/>
              <w:jc w:val="left"/>
            </w:pPr>
            <w:r>
              <w:rPr>
                <w:rFonts w:ascii="宋体" w:hAnsi="宋体" w:cs="宋体" w:eastAsia="宋体"/>
                <w:sz w:val="20"/>
              </w:rPr>
              <w:t>（</w:t>
            </w:r>
            <w:r>
              <w:rPr>
                <w:rFonts w:ascii="宋体" w:hAnsi="宋体" w:cs="宋体" w:eastAsia="宋体"/>
                <w:sz w:val="20"/>
              </w:rPr>
              <w:t>2）节前流量研判报告应能体现路网流量变化趋势、拥堵情况、重点旅游景区周边收费站流量情况，能为路网监测、公众出行提供数据决策支持。</w:t>
            </w:r>
          </w:p>
          <w:p>
            <w:pPr>
              <w:pStyle w:val="null3"/>
              <w:jc w:val="left"/>
            </w:pPr>
            <w:r>
              <w:rPr>
                <w:rFonts w:ascii="宋体" w:hAnsi="宋体" w:cs="宋体" w:eastAsia="宋体"/>
                <w:sz w:val="20"/>
              </w:rPr>
              <w:t>4.经济运行分析</w:t>
            </w:r>
          </w:p>
          <w:p>
            <w:pPr>
              <w:pStyle w:val="null3"/>
              <w:jc w:val="left"/>
            </w:pPr>
            <w:r>
              <w:rPr>
                <w:rFonts w:ascii="宋体" w:hAnsi="宋体" w:cs="宋体" w:eastAsia="宋体"/>
                <w:sz w:val="20"/>
              </w:rPr>
              <w:t>（</w:t>
            </w:r>
            <w:r>
              <w:rPr>
                <w:rFonts w:ascii="宋体" w:hAnsi="宋体" w:cs="宋体" w:eastAsia="宋体"/>
                <w:sz w:val="20"/>
              </w:rPr>
              <w:t>1）按月提供“全省交通运输其他统计数据”报表，时间维度应能体现当月、当年累计情况，及与去年同期、去年累计同期的对比情况；并根据省厅需求对报表内容进行必要的更新；</w:t>
            </w:r>
          </w:p>
          <w:p>
            <w:pPr>
              <w:pStyle w:val="null3"/>
              <w:jc w:val="left"/>
            </w:pPr>
            <w:r>
              <w:rPr>
                <w:rFonts w:ascii="宋体" w:hAnsi="宋体" w:cs="宋体" w:eastAsia="宋体"/>
                <w:sz w:val="20"/>
              </w:rPr>
              <w:t>（</w:t>
            </w:r>
            <w:r>
              <w:rPr>
                <w:rFonts w:ascii="宋体" w:hAnsi="宋体" w:cs="宋体" w:eastAsia="宋体"/>
                <w:sz w:val="20"/>
              </w:rPr>
              <w:t>2）按照省厅要求，每月进行陕籍货车收费数据统计；</w:t>
            </w:r>
          </w:p>
          <w:p>
            <w:pPr>
              <w:pStyle w:val="null3"/>
              <w:jc w:val="left"/>
            </w:pPr>
            <w:r>
              <w:rPr>
                <w:rFonts w:ascii="宋体" w:hAnsi="宋体" w:cs="宋体" w:eastAsia="宋体"/>
                <w:sz w:val="20"/>
              </w:rPr>
              <w:t>（</w:t>
            </w:r>
            <w:r>
              <w:rPr>
                <w:rFonts w:ascii="宋体" w:hAnsi="宋体" w:cs="宋体" w:eastAsia="宋体"/>
                <w:sz w:val="20"/>
              </w:rPr>
              <w:t>3）按季度提供“交通运输经济运行分析报告”。</w:t>
            </w:r>
          </w:p>
          <w:p>
            <w:pPr>
              <w:pStyle w:val="null3"/>
              <w:jc w:val="left"/>
            </w:pPr>
            <w:r>
              <w:rPr>
                <w:rFonts w:ascii="宋体" w:hAnsi="宋体" w:cs="宋体" w:eastAsia="宋体"/>
                <w:sz w:val="20"/>
              </w:rPr>
              <w:t>5.其他行业数据统计服务</w:t>
            </w:r>
            <w:r>
              <w:rPr>
                <w:rFonts w:ascii="宋体" w:hAnsi="宋体" w:cs="宋体" w:eastAsia="宋体"/>
                <w:sz w:val="20"/>
              </w:rPr>
              <w:t>：</w:t>
            </w:r>
            <w:r>
              <w:rPr>
                <w:rFonts w:ascii="宋体" w:hAnsi="宋体" w:cs="宋体" w:eastAsia="宋体"/>
                <w:sz w:val="20"/>
              </w:rPr>
              <w:t>各类临时性统计分析任务，平均每年约</w:t>
            </w:r>
            <w:r>
              <w:rPr>
                <w:rFonts w:ascii="宋体" w:hAnsi="宋体" w:cs="宋体" w:eastAsia="宋体"/>
                <w:sz w:val="20"/>
              </w:rPr>
              <w:t>200余次</w:t>
            </w:r>
            <w:r>
              <w:rPr>
                <w:rFonts w:ascii="宋体" w:hAnsi="宋体" w:cs="宋体" w:eastAsia="宋体"/>
                <w:sz w:val="20"/>
              </w:rPr>
              <w:t>，</w:t>
            </w:r>
            <w:r>
              <w:rPr>
                <w:rFonts w:ascii="宋体" w:hAnsi="宋体" w:cs="宋体" w:eastAsia="宋体"/>
                <w:sz w:val="20"/>
              </w:rPr>
              <w:t>包含但不限于如下内容</w:t>
            </w:r>
            <w:r>
              <w:rPr>
                <w:rFonts w:ascii="宋体" w:hAnsi="宋体" w:cs="宋体" w:eastAsia="宋体"/>
                <w:sz w:val="20"/>
              </w:rPr>
              <w:t>：</w:t>
            </w:r>
          </w:p>
          <w:p>
            <w:pPr>
              <w:pStyle w:val="null3"/>
              <w:jc w:val="left"/>
            </w:pPr>
            <w:r>
              <w:rPr>
                <w:rFonts w:ascii="宋体" w:hAnsi="宋体" w:cs="宋体" w:eastAsia="宋体"/>
                <w:sz w:val="20"/>
              </w:rPr>
              <w:t>（</w:t>
            </w:r>
            <w:r>
              <w:rPr>
                <w:rFonts w:ascii="宋体" w:hAnsi="宋体" w:cs="宋体" w:eastAsia="宋体"/>
                <w:sz w:val="20"/>
              </w:rPr>
              <w:t>1）根据陕西省高速公路通行数据，每月按时分析上月度全省高速公路路段交通流量、路网车型比例、省界出入口流量、收费站出入口流量、车型比例，重点分析陕西境内国高线交通流量指标；对反应经济运行数据的指标（路网交通量、省际交通量、货物运转量及主要通道的交通量和行驶量）进行统计；</w:t>
            </w:r>
          </w:p>
          <w:p>
            <w:pPr>
              <w:pStyle w:val="null3"/>
              <w:jc w:val="left"/>
            </w:pPr>
            <w:r>
              <w:rPr>
                <w:rFonts w:ascii="宋体" w:hAnsi="宋体" w:cs="宋体" w:eastAsia="宋体"/>
                <w:sz w:val="20"/>
              </w:rPr>
              <w:t>（</w:t>
            </w:r>
            <w:r>
              <w:rPr>
                <w:rFonts w:ascii="宋体" w:hAnsi="宋体" w:cs="宋体" w:eastAsia="宋体"/>
                <w:sz w:val="20"/>
              </w:rPr>
              <w:t>2）每季度对全省高速公路交调站点数据进行核查，并向采购方提交数据核查报告；</w:t>
            </w:r>
          </w:p>
          <w:p>
            <w:pPr>
              <w:pStyle w:val="null3"/>
              <w:jc w:val="left"/>
            </w:pPr>
            <w:r>
              <w:rPr>
                <w:rFonts w:ascii="宋体" w:hAnsi="宋体" w:cs="宋体" w:eastAsia="宋体"/>
                <w:sz w:val="20"/>
              </w:rPr>
              <w:t>（</w:t>
            </w:r>
            <w:r>
              <w:rPr>
                <w:rFonts w:ascii="宋体" w:hAnsi="宋体" w:cs="宋体" w:eastAsia="宋体"/>
                <w:sz w:val="20"/>
              </w:rPr>
              <w:t>3）按时完成陕西省高速公路路网运行分析半年报、年报；</w:t>
            </w:r>
          </w:p>
          <w:p>
            <w:pPr>
              <w:pStyle w:val="null3"/>
              <w:jc w:val="left"/>
            </w:pPr>
            <w:r>
              <w:rPr>
                <w:rFonts w:ascii="宋体" w:hAnsi="宋体" w:cs="宋体" w:eastAsia="宋体"/>
                <w:sz w:val="20"/>
              </w:rPr>
              <w:t>（</w:t>
            </w:r>
            <w:r>
              <w:rPr>
                <w:rFonts w:ascii="宋体" w:hAnsi="宋体" w:cs="宋体" w:eastAsia="宋体"/>
                <w:sz w:val="20"/>
              </w:rPr>
              <w:t>4）每天对陕西省高速公路通行数据采集进行数据质量监测；</w:t>
            </w:r>
          </w:p>
          <w:p>
            <w:pPr>
              <w:pStyle w:val="null3"/>
              <w:jc w:val="left"/>
            </w:pPr>
            <w:r>
              <w:rPr>
                <w:rFonts w:ascii="宋体" w:hAnsi="宋体" w:cs="宋体" w:eastAsia="宋体"/>
                <w:sz w:val="20"/>
              </w:rPr>
              <w:t>（</w:t>
            </w:r>
            <w:r>
              <w:rPr>
                <w:rFonts w:ascii="宋体" w:hAnsi="宋体" w:cs="宋体" w:eastAsia="宋体"/>
                <w:sz w:val="20"/>
              </w:rPr>
              <w:t>5）每天对前一日高速公路路网总体车流量情况统计，并按要求发送至相关群组。</w:t>
            </w:r>
          </w:p>
          <w:p>
            <w:pPr>
              <w:pStyle w:val="null3"/>
              <w:jc w:val="left"/>
            </w:pPr>
            <w:r>
              <w:rPr>
                <w:rFonts w:ascii="宋体" w:hAnsi="宋体" w:cs="宋体" w:eastAsia="宋体"/>
                <w:sz w:val="20"/>
              </w:rPr>
              <w:t>（</w:t>
            </w:r>
            <w:r>
              <w:rPr>
                <w:rFonts w:ascii="宋体" w:hAnsi="宋体" w:cs="宋体" w:eastAsia="宋体"/>
                <w:sz w:val="20"/>
              </w:rPr>
              <w:t>7）每天统计全省拥堵收费站交通流量及西安地区车辆来源等相关数据统计；</w:t>
            </w:r>
          </w:p>
          <w:p>
            <w:pPr>
              <w:pStyle w:val="null3"/>
              <w:jc w:val="left"/>
            </w:pPr>
            <w:r>
              <w:rPr>
                <w:rFonts w:ascii="宋体" w:hAnsi="宋体" w:cs="宋体" w:eastAsia="宋体"/>
                <w:sz w:val="20"/>
              </w:rPr>
              <w:t>（</w:t>
            </w:r>
            <w:r>
              <w:rPr>
                <w:rFonts w:ascii="宋体" w:hAnsi="宋体" w:cs="宋体" w:eastAsia="宋体"/>
                <w:sz w:val="20"/>
              </w:rPr>
              <w:t>8）统计全省高速公路实时交通量明细数据、计算平均时速、流量OD等并推送至外部系统综合应用；</w:t>
            </w:r>
          </w:p>
          <w:p>
            <w:pPr>
              <w:pStyle w:val="null3"/>
              <w:jc w:val="left"/>
            </w:pPr>
            <w:r>
              <w:rPr>
                <w:rFonts w:ascii="宋体" w:hAnsi="宋体" w:cs="宋体" w:eastAsia="宋体"/>
                <w:sz w:val="20"/>
              </w:rPr>
              <w:t>（</w:t>
            </w:r>
            <w:r>
              <w:rPr>
                <w:rFonts w:ascii="宋体" w:hAnsi="宋体" w:cs="宋体" w:eastAsia="宋体"/>
                <w:sz w:val="20"/>
              </w:rPr>
              <w:t>9</w:t>
            </w:r>
            <w:r>
              <w:rPr>
                <w:rFonts w:ascii="宋体" w:hAnsi="宋体" w:cs="宋体" w:eastAsia="宋体"/>
                <w:sz w:val="20"/>
              </w:rPr>
              <w:t>）配合采购方完成行业内外（省交通运输厅、省公路局、省运管局、地市交通局、省规划院、公安、交警、文旅等部门）各类专题流量统计等数据分析支撑，以及提供给上级主管部门的数据急报服务。（仅包含数据统计工作，不包含程序开发任务）</w:t>
            </w:r>
          </w:p>
          <w:p>
            <w:pPr>
              <w:pStyle w:val="null3"/>
              <w:jc w:val="left"/>
            </w:pPr>
            <w:r>
              <w:rPr>
                <w:rFonts w:ascii="宋体" w:hAnsi="宋体" w:cs="宋体" w:eastAsia="宋体"/>
                <w:sz w:val="20"/>
              </w:rPr>
              <w:t>6.流量分布图数据加工及地图编制</w:t>
            </w:r>
          </w:p>
          <w:p>
            <w:pPr>
              <w:pStyle w:val="null3"/>
              <w:jc w:val="left"/>
            </w:pPr>
            <w:r>
              <w:rPr>
                <w:rFonts w:ascii="宋体" w:hAnsi="宋体" w:cs="宋体" w:eastAsia="宋体"/>
                <w:sz w:val="20"/>
              </w:rPr>
              <w:t>（</w:t>
            </w:r>
            <w:r>
              <w:rPr>
                <w:rFonts w:ascii="宋体" w:hAnsi="宋体" w:cs="宋体" w:eastAsia="宋体"/>
                <w:sz w:val="20"/>
              </w:rPr>
              <w:t>1）对202</w:t>
            </w:r>
            <w:r>
              <w:rPr>
                <w:rFonts w:ascii="宋体" w:hAnsi="宋体" w:cs="宋体" w:eastAsia="宋体"/>
                <w:sz w:val="20"/>
              </w:rPr>
              <w:t>4</w:t>
            </w:r>
            <w:r>
              <w:rPr>
                <w:rFonts w:ascii="宋体" w:hAnsi="宋体" w:cs="宋体" w:eastAsia="宋体"/>
                <w:sz w:val="20"/>
              </w:rPr>
              <w:t>年高速公路交通量较大的区间、收费车道通行压力较大的收费站、高速公路拥挤度较大的区间、普通干线公路拥挤度较大的区间进行总结；</w:t>
            </w:r>
          </w:p>
          <w:p>
            <w:pPr>
              <w:pStyle w:val="null3"/>
              <w:jc w:val="both"/>
            </w:pPr>
            <w:r>
              <w:rPr>
                <w:rFonts w:ascii="宋体" w:hAnsi="宋体" w:cs="宋体" w:eastAsia="宋体"/>
                <w:sz w:val="20"/>
              </w:rPr>
              <w:t>（</w:t>
            </w:r>
            <w:r>
              <w:rPr>
                <w:rFonts w:ascii="宋体" w:hAnsi="宋体" w:cs="宋体" w:eastAsia="宋体"/>
                <w:sz w:val="20"/>
              </w:rPr>
              <w:t>2）总结路网运行特点，编制路网交通运行状况图，直观展现202</w:t>
            </w:r>
            <w:r>
              <w:rPr>
                <w:rFonts w:ascii="宋体" w:hAnsi="宋体" w:cs="宋体" w:eastAsia="宋体"/>
                <w:sz w:val="20"/>
              </w:rPr>
              <w:t>4</w:t>
            </w:r>
            <w:r>
              <w:rPr>
                <w:rFonts w:ascii="宋体" w:hAnsi="宋体" w:cs="宋体" w:eastAsia="宋体"/>
                <w:sz w:val="20"/>
              </w:rPr>
              <w:t>年全省公路网交通流量运行分布状况</w:t>
            </w:r>
            <w:r>
              <w:rPr>
                <w:rFonts w:ascii="宋体" w:hAnsi="宋体" w:cs="宋体" w:eastAsia="宋体"/>
                <w:sz w:val="20"/>
              </w:rPr>
              <w:t>。</w:t>
            </w:r>
          </w:p>
        </w:tc>
      </w:tr>
      <w:tr>
        <w:tc>
          <w:tcPr>
            <w:tcW w:type="dxa" w:w="2769"/>
          </w:tcPr>
          <w:p>
            <w:pPr>
              <w:pStyle w:val="null3"/>
            </w:pPr>
            <w:r>
              <w:rPr/>
              <w:t>★</w:t>
            </w:r>
          </w:p>
        </w:tc>
        <w:tc>
          <w:tcPr>
            <w:tcW w:type="dxa" w:w="2769"/>
          </w:tcPr>
          <w:p>
            <w:pPr>
              <w:pStyle w:val="null3"/>
            </w:pPr>
            <w:r>
              <w:rPr/>
              <w:t>2</w:t>
            </w:r>
          </w:p>
        </w:tc>
        <w:tc>
          <w:tcPr>
            <w:tcW w:type="dxa" w:w="2769"/>
          </w:tcPr>
          <w:p>
            <w:pPr>
              <w:pStyle w:val="null3"/>
              <w:jc w:val="left"/>
            </w:pPr>
            <w:r>
              <w:rPr>
                <w:rFonts w:ascii="宋体" w:hAnsi="宋体" w:cs="宋体" w:eastAsia="宋体"/>
                <w:sz w:val="20"/>
              </w:rPr>
              <w:t>技术支持服务</w:t>
            </w:r>
          </w:p>
          <w:p>
            <w:pPr>
              <w:pStyle w:val="null3"/>
              <w:jc w:val="left"/>
            </w:pPr>
            <w:r>
              <w:rPr>
                <w:rFonts w:ascii="宋体" w:hAnsi="宋体" w:cs="宋体" w:eastAsia="宋体"/>
                <w:sz w:val="20"/>
              </w:rPr>
              <w:t>（</w:t>
            </w:r>
            <w:r>
              <w:rPr>
                <w:rFonts w:ascii="宋体" w:hAnsi="宋体" w:cs="宋体" w:eastAsia="宋体"/>
                <w:sz w:val="20"/>
              </w:rPr>
              <w:t>1）供应商应具备完善的技术支持服务体系，并承诺提供 7*24 小时的电话支持服务等。</w:t>
            </w:r>
          </w:p>
          <w:p>
            <w:pPr>
              <w:pStyle w:val="null3"/>
              <w:jc w:val="left"/>
            </w:pPr>
            <w:r>
              <w:rPr>
                <w:rFonts w:ascii="宋体" w:hAnsi="宋体" w:cs="宋体" w:eastAsia="宋体"/>
                <w:sz w:val="20"/>
              </w:rPr>
              <w:t>（</w:t>
            </w:r>
            <w:r>
              <w:rPr>
                <w:rFonts w:ascii="宋体" w:hAnsi="宋体" w:cs="宋体" w:eastAsia="宋体"/>
                <w:sz w:val="20"/>
              </w:rPr>
              <w:t>2）提供节假日、重大突发事件的现场技术保障、技术支持工作。</w:t>
            </w:r>
          </w:p>
        </w:tc>
      </w:tr>
    </w:tbl>
    <w:p>
      <w:pPr>
        <w:pStyle w:val="null3"/>
        <w:outlineLvl w:val="2"/>
      </w:pPr>
      <w:r>
        <w:rPr>
          <w:sz w:val="28"/>
          <w:b/>
        </w:rPr>
        <w:t>3.2.3人员配置要求</w:t>
      </w:r>
    </w:p>
    <w:p>
      <w:pPr>
        <w:pStyle w:val="null3"/>
      </w:pPr>
      <w:r>
        <w:rPr/>
        <w:t>采购包1：</w:t>
      </w:r>
    </w:p>
    <w:p>
      <w:pPr>
        <w:pStyle w:val="null3"/>
      </w:pPr>
      <w:r>
        <w:rPr/>
        <w:t>在服务过程中，对于供应商向省中心提供服务过程中所指派具体承担服务的人员，应向省中心提供人员名单、简历、学历等相应证明文件，并保证所提供信息的准确性和有效性。省中心有权对派入人员的资格和相关信息进行审核。为确保省中心服务工作的顺利开展，供应商应对服务人员及现场驻场人员素质整体把关，原则上应满足以下条件： 1.拟投入本项目的相关技术人员需对高速公路网、高速公路业务情况充分熟悉，数据分析人员具有丰富的数据统计经验（能快速理解采购的统计需求）。 2.为保证服务质量及问题及时响应，服务单位需安排不少于2名数据分析人员作为本项目的常驻专职服务人员，每日9:00至17:00（包括周末及节假日）在采购人所在地驻场维护；驻场工程师需具备相应的能力保障服务质量（数据分析人员需具备至少两年以上的高速公路数据分析服务经验）。 3.提供项目组人员递交响应文件截止日期前六个月（递交响应文件截止日期当月不计入）任意一个月的社保证明，以加盖供应商公章的复印件为依据。所报项目组人员一旦确定，不能擅自更改。</w:t>
      </w:r>
    </w:p>
    <w:p>
      <w:pPr>
        <w:pStyle w:val="null3"/>
        <w:outlineLvl w:val="2"/>
      </w:pPr>
      <w:r>
        <w:rPr>
          <w:sz w:val="28"/>
          <w:b/>
        </w:rPr>
        <w:t>3.2.4设施设备要求</w:t>
      </w:r>
    </w:p>
    <w:p>
      <w:pPr>
        <w:pStyle w:val="null3"/>
      </w:pPr>
      <w:r>
        <w:rPr/>
        <w:t>采购包1：</w:t>
      </w:r>
    </w:p>
    <w:p>
      <w:pPr>
        <w:pStyle w:val="null3"/>
      </w:pPr>
      <w:r>
        <w:rPr/>
        <w:t>详见“技术参数与性能指标”。</w:t>
      </w:r>
    </w:p>
    <w:p>
      <w:pPr>
        <w:pStyle w:val="null3"/>
        <w:outlineLvl w:val="2"/>
      </w:pPr>
      <w:r>
        <w:rPr>
          <w:sz w:val="28"/>
          <w:b/>
        </w:rPr>
        <w:t>3.2.5其他要求</w:t>
      </w:r>
    </w:p>
    <w:p>
      <w:pPr>
        <w:pStyle w:val="null3"/>
      </w:pPr>
      <w:r>
        <w:rPr/>
        <w:t>采购包1：</w:t>
      </w:r>
    </w:p>
    <w:p>
      <w:pPr>
        <w:pStyle w:val="null3"/>
      </w:pPr>
      <w:r>
        <w:rPr/>
        <w:t>保密要求 项目实施过程中所收集、产生的所有与本项目相关的文档、资料，包括文字、图片、表格、数字等各种形式所属权均归属省中心，供应商必须对所涉及到的内容保密，供应商及服务人员应按照要求签署保密协议。</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2024年9月1日至2025年6月30日</w:t>
      </w:r>
    </w:p>
    <w:p>
      <w:pPr>
        <w:pStyle w:val="null3"/>
        <w:outlineLvl w:val="3"/>
      </w:pPr>
      <w:r>
        <w:rPr>
          <w:sz w:val="24"/>
          <w:b/>
        </w:rPr>
        <w:t>3.3.2服务地点</w:t>
      </w:r>
    </w:p>
    <w:p>
      <w:pPr>
        <w:pStyle w:val="null3"/>
      </w:pPr>
      <w:r>
        <w:rPr/>
        <w:t>采购包1：</w:t>
      </w:r>
    </w:p>
    <w:p>
      <w:pPr>
        <w:pStyle w:val="null3"/>
      </w:pPr>
      <w:r>
        <w:rPr/>
        <w:t>陕西省高速公路收费中心</w:t>
      </w:r>
    </w:p>
    <w:p>
      <w:pPr>
        <w:pStyle w:val="null3"/>
        <w:outlineLvl w:val="3"/>
      </w:pPr>
      <w:r>
        <w:rPr>
          <w:sz w:val="24"/>
          <w:b/>
        </w:rPr>
        <w:t>3.3.3考核（验收）标准和方法</w:t>
      </w:r>
    </w:p>
    <w:p>
      <w:pPr>
        <w:pStyle w:val="null3"/>
      </w:pPr>
      <w:r>
        <w:rPr/>
        <w:t>采购包1：</w:t>
      </w:r>
    </w:p>
    <w:p>
      <w:pPr>
        <w:pStyle w:val="null3"/>
      </w:pPr>
      <w:r>
        <w:rPr/>
        <w:t>乙方所提供服务应遵循中华人民共和国及地方的有关法律规范，达到采购人使用要求，由采购人组织验收。验收依据：（1）竞争性磋商文件；（2）磋商响应文件；（3）合同文本；（4）国家有关的验收标准及规范。</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合同签订且服务期开始后10日内，供应商开具全额合同发票，采购人收到发票后15日内支付合同价款的65%</w:t>
      </w:r>
      <w:r>
        <w:rPr/>
        <w:t xml:space="preserve"> ，达到付款条件起 </w:t>
      </w:r>
      <w:r>
        <w:rPr/>
        <w:t>15</w:t>
      </w:r>
      <w:r>
        <w:rPr/>
        <w:t xml:space="preserve"> 日内，支付合同总金额的 </w:t>
      </w:r>
      <w:r>
        <w:rPr/>
        <w:t>65.00</w:t>
      </w:r>
      <w:r>
        <w:rPr/>
        <w:t>%。</w:t>
      </w:r>
    </w:p>
    <w:p>
      <w:pPr>
        <w:pStyle w:val="null3"/>
      </w:pPr>
      <w:r>
        <w:rPr/>
        <w:t>采购包1：</w:t>
      </w:r>
      <w:r>
        <w:rPr/>
        <w:t xml:space="preserve"> 付款条件说明： </w:t>
      </w:r>
      <w:r>
        <w:rPr/>
        <w:t>第一个月服务期满</w:t>
      </w:r>
      <w:r>
        <w:rPr/>
        <w:t xml:space="preserve"> ，达到付款条件起 </w:t>
      </w:r>
      <w:r>
        <w:rPr/>
        <w:t>15</w:t>
      </w:r>
      <w:r>
        <w:rPr/>
        <w:t xml:space="preserve"> 日内，支付合同总金额的 </w:t>
      </w:r>
      <w:r>
        <w:rPr/>
        <w:t>3.50</w:t>
      </w:r>
      <w:r>
        <w:rPr/>
        <w:t>%。</w:t>
      </w:r>
    </w:p>
    <w:p>
      <w:pPr>
        <w:pStyle w:val="null3"/>
      </w:pPr>
      <w:r>
        <w:rPr/>
        <w:t>采购包1：</w:t>
      </w:r>
      <w:r>
        <w:rPr/>
        <w:t xml:space="preserve"> 付款条件说明： </w:t>
      </w:r>
      <w:r>
        <w:rPr/>
        <w:t>第二个月服务期满</w:t>
      </w:r>
      <w:r>
        <w:rPr/>
        <w:t xml:space="preserve"> ，达到付款条件起 </w:t>
      </w:r>
      <w:r>
        <w:rPr/>
        <w:t>15</w:t>
      </w:r>
      <w:r>
        <w:rPr/>
        <w:t xml:space="preserve"> 日内，支付合同总金额的 </w:t>
      </w:r>
      <w:r>
        <w:rPr/>
        <w:t>3.50</w:t>
      </w:r>
      <w:r>
        <w:rPr/>
        <w:t>%。</w:t>
      </w:r>
    </w:p>
    <w:p>
      <w:pPr>
        <w:pStyle w:val="null3"/>
      </w:pPr>
      <w:r>
        <w:rPr/>
        <w:t>采购包1：</w:t>
      </w:r>
      <w:r>
        <w:rPr/>
        <w:t xml:space="preserve"> 付款条件说明： </w:t>
      </w:r>
      <w:r>
        <w:rPr/>
        <w:t>第三个月服务期满，并提供季度服务报告</w:t>
      </w:r>
      <w:r>
        <w:rPr/>
        <w:t xml:space="preserve"> ，达到付款条件起 </w:t>
      </w:r>
      <w:r>
        <w:rPr/>
        <w:t>15</w:t>
      </w:r>
      <w:r>
        <w:rPr/>
        <w:t xml:space="preserve"> 日内，支付合同总金额的 </w:t>
      </w:r>
      <w:r>
        <w:rPr/>
        <w:t>3.50</w:t>
      </w:r>
      <w:r>
        <w:rPr/>
        <w:t>%。</w:t>
      </w:r>
    </w:p>
    <w:p>
      <w:pPr>
        <w:pStyle w:val="null3"/>
      </w:pPr>
      <w:r>
        <w:rPr/>
        <w:t>采购包1：</w:t>
      </w:r>
      <w:r>
        <w:rPr/>
        <w:t xml:space="preserve"> 付款条件说明： </w:t>
      </w:r>
      <w:r>
        <w:rPr/>
        <w:t xml:space="preserve"> 第四个月服务期满</w:t>
      </w:r>
      <w:r>
        <w:rPr/>
        <w:t xml:space="preserve"> ，达到付款条件起 </w:t>
      </w:r>
      <w:r>
        <w:rPr/>
        <w:t>15</w:t>
      </w:r>
      <w:r>
        <w:rPr/>
        <w:t xml:space="preserve"> 日内，支付合同总金额的 </w:t>
      </w:r>
      <w:r>
        <w:rPr/>
        <w:t>3.50</w:t>
      </w:r>
      <w:r>
        <w:rPr/>
        <w:t>%。</w:t>
      </w:r>
    </w:p>
    <w:p>
      <w:pPr>
        <w:pStyle w:val="null3"/>
      </w:pPr>
      <w:r>
        <w:rPr/>
        <w:t>采购包1：</w:t>
      </w:r>
      <w:r>
        <w:rPr/>
        <w:t xml:space="preserve"> 付款条件说明： </w:t>
      </w:r>
      <w:r>
        <w:rPr/>
        <w:t>第五个月服务期满</w:t>
      </w:r>
      <w:r>
        <w:rPr/>
        <w:t xml:space="preserve"> ，达到付款条件起 </w:t>
      </w:r>
      <w:r>
        <w:rPr/>
        <w:t>15</w:t>
      </w:r>
      <w:r>
        <w:rPr/>
        <w:t xml:space="preserve"> 日内，支付合同总金额的 </w:t>
      </w:r>
      <w:r>
        <w:rPr/>
        <w:t>3.50</w:t>
      </w:r>
      <w:r>
        <w:rPr/>
        <w:t>%。</w:t>
      </w:r>
    </w:p>
    <w:p>
      <w:pPr>
        <w:pStyle w:val="null3"/>
      </w:pPr>
      <w:r>
        <w:rPr/>
        <w:t>采购包1：</w:t>
      </w:r>
      <w:r>
        <w:rPr/>
        <w:t xml:space="preserve"> 付款条件说明： </w:t>
      </w:r>
      <w:r>
        <w:rPr/>
        <w:t>第六个月服务期满，并提供季度服务报告</w:t>
      </w:r>
      <w:r>
        <w:rPr/>
        <w:t xml:space="preserve"> ，达到付款条件起 </w:t>
      </w:r>
      <w:r>
        <w:rPr/>
        <w:t>15</w:t>
      </w:r>
      <w:r>
        <w:rPr/>
        <w:t xml:space="preserve"> 日内，支付合同总金额的 </w:t>
      </w:r>
      <w:r>
        <w:rPr/>
        <w:t>3.50</w:t>
      </w:r>
      <w:r>
        <w:rPr/>
        <w:t>%。</w:t>
      </w:r>
    </w:p>
    <w:p>
      <w:pPr>
        <w:pStyle w:val="null3"/>
      </w:pPr>
      <w:r>
        <w:rPr/>
        <w:t>采购包1：</w:t>
      </w:r>
      <w:r>
        <w:rPr/>
        <w:t xml:space="preserve"> 付款条件说明： </w:t>
      </w:r>
      <w:r>
        <w:rPr/>
        <w:t>第七个月服务期满</w:t>
      </w:r>
      <w:r>
        <w:rPr/>
        <w:t xml:space="preserve"> ，达到付款条件起 </w:t>
      </w:r>
      <w:r>
        <w:rPr/>
        <w:t>15</w:t>
      </w:r>
      <w:r>
        <w:rPr/>
        <w:t xml:space="preserve"> 日内，支付合同总金额的 </w:t>
      </w:r>
      <w:r>
        <w:rPr/>
        <w:t>3.50</w:t>
      </w:r>
      <w:r>
        <w:rPr/>
        <w:t>%。</w:t>
      </w:r>
    </w:p>
    <w:p>
      <w:pPr>
        <w:pStyle w:val="null3"/>
      </w:pPr>
      <w:r>
        <w:rPr/>
        <w:t>采购包1：</w:t>
      </w:r>
      <w:r>
        <w:rPr/>
        <w:t xml:space="preserve"> 付款条件说明： </w:t>
      </w:r>
      <w:r>
        <w:rPr/>
        <w:t>第八个月服务期满</w:t>
      </w:r>
      <w:r>
        <w:rPr/>
        <w:t xml:space="preserve"> ，达到付款条件起 </w:t>
      </w:r>
      <w:r>
        <w:rPr/>
        <w:t>15</w:t>
      </w:r>
      <w:r>
        <w:rPr/>
        <w:t xml:space="preserve"> 日内，支付合同总金额的 </w:t>
      </w:r>
      <w:r>
        <w:rPr/>
        <w:t>3.50</w:t>
      </w:r>
      <w:r>
        <w:rPr/>
        <w:t>%。</w:t>
      </w:r>
    </w:p>
    <w:p>
      <w:pPr>
        <w:pStyle w:val="null3"/>
      </w:pPr>
      <w:r>
        <w:rPr/>
        <w:t>采购包1：</w:t>
      </w:r>
      <w:r>
        <w:rPr/>
        <w:t xml:space="preserve"> 付款条件说明： </w:t>
      </w:r>
      <w:r>
        <w:rPr/>
        <w:t>第九个月服务期满，并提供季度服务报告</w:t>
      </w:r>
      <w:r>
        <w:rPr/>
        <w:t xml:space="preserve"> ，达到付款条件起 </w:t>
      </w:r>
      <w:r>
        <w:rPr/>
        <w:t>15</w:t>
      </w:r>
      <w:r>
        <w:rPr/>
        <w:t xml:space="preserve"> 日内，支付合同总金额的 </w:t>
      </w:r>
      <w:r>
        <w:rPr/>
        <w:t>3.50</w:t>
      </w:r>
      <w:r>
        <w:rPr/>
        <w:t>%。</w:t>
      </w:r>
    </w:p>
    <w:p>
      <w:pPr>
        <w:pStyle w:val="null3"/>
      </w:pPr>
      <w:r>
        <w:rPr/>
        <w:t>采购包1：</w:t>
      </w:r>
      <w:r>
        <w:rPr/>
        <w:t xml:space="preserve"> 付款条件说明： </w:t>
      </w:r>
      <w:r>
        <w:rPr/>
        <w:t>服务期满提供所有服务报告，并通过验收后</w:t>
      </w:r>
      <w:r>
        <w:rPr/>
        <w:t xml:space="preserve"> ，达到付款条件起 </w:t>
      </w:r>
      <w:r>
        <w:rPr/>
        <w:t>15</w:t>
      </w:r>
      <w:r>
        <w:rPr/>
        <w:t xml:space="preserve"> 日内，支付合同总金额的 </w:t>
      </w:r>
      <w:r>
        <w:rPr/>
        <w:t>3.50</w:t>
      </w:r>
      <w:r>
        <w:rPr/>
        <w:t>%。</w:t>
      </w:r>
    </w:p>
    <w:p>
      <w:pPr>
        <w:pStyle w:val="null3"/>
        <w:outlineLvl w:val="3"/>
      </w:pPr>
      <w:r>
        <w:rPr>
          <w:sz w:val="24"/>
          <w:b/>
        </w:rPr>
        <w:t>3.3.6违约责任及解决争议的方法</w:t>
      </w:r>
    </w:p>
    <w:p>
      <w:pPr>
        <w:pStyle w:val="null3"/>
      </w:pPr>
      <w:r>
        <w:rPr/>
        <w:t>采购包1：</w:t>
      </w:r>
    </w:p>
    <w:p>
      <w:pPr>
        <w:pStyle w:val="null3"/>
      </w:pPr>
      <w:r>
        <w:rPr/>
        <w:t>因供应商原因，服务期间造成实际影响的，按以下条款处理： （1）节假日、重要活动等特殊时期的保障，应加强值班值守，若发现有人擅离职守，发现1次，每次扣除服务费500元。 （2）供应商提供日常数据统计分析服务，由驻场人员对按照日常数据统计分析需求，按时做好日常服务。 各项临时统计分析任务每逾期一天扣除服务费500元；各项常态化定时（固定时间提供的）统计分析任务，每项每逾期一天扣除服务费500元，以上逾期天数以采购人签字确认的数据服务记录为准；供应商向采购人提供的统计分析成果应保证真实、准确，如不符合采购人要求，应无条件修改至满足采购人要求，每项每次出现错误扣除服务费500元；年度地图编制定稿印刷后若发现错误，每出现一处扣500元。 （3）未经采购人同意，供应商擅自减少、变更驻场人员，每次扣除维护服务费1000元；供应商驻场人员和节日值班人员擅离职守，迟到、早退、脱岗、未提前请假不到岗的，每人每次扣除维护服务费1000元。 （4）对于重大数据统计分析任务（例如年度报告、地图编制、及外部正式公文要求提供的其他数据、报告等），供应商未按采购人要求进行准备与统计分析，导致数据统计分析成果不能按时出具或达不到文件要求的，每次扣除维护服务费1000元。 （5）因供应商责任导致数据信息外泄或丢失的，每次扣除维护服务费5000元。</w:t>
      </w:r>
    </w:p>
    <w:p>
      <w:pPr>
        <w:pStyle w:val="null3"/>
        <w:outlineLvl w:val="2"/>
      </w:pPr>
      <w:r>
        <w:rPr>
          <w:sz w:val="28"/>
          <w:b/>
        </w:rPr>
        <w:t>3.4其他要求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1）提供2022年度或2023年度的财务审计报告（至少包含“四表一注”，即资产负债表、利润表、现金流量表、所有者权益变动表及附注）；（2）提供递交响应文件截止日期前三个月内（递交响应文件截止时间当月不计入）其基本存款账户开户银行出具的资信证明及基本存款账户开户许可证（基本账户信息）（3）财政部门认可的政府采购专业担保机构出具的担保函(附开户许可证或开户备案证明或基本账户信息)。以上三种形式的证明资料提供任何一种即可。（事业法人仅提供部门决算报告即可）</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信用记录</w:t>
            </w:r>
          </w:p>
        </w:tc>
        <w:tc>
          <w:tcPr>
            <w:tcW w:type="dxa" w:w="3322"/>
          </w:tcPr>
          <w:p>
            <w:pPr>
              <w:pStyle w:val="null3"/>
            </w:pPr>
            <w:r>
              <w:rPr/>
              <w:t>供应商不得在“信用中国” 网站被列入失信被执行人名单、重大税收违法案件当事人名单和不得在“中国政府采购网”被列入政府采购严重违法失信行为记录名单。</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法定代表人委托授权书\身份证明</w:t>
            </w:r>
          </w:p>
        </w:tc>
        <w:tc>
          <w:tcPr>
            <w:tcW w:type="dxa" w:w="3322"/>
          </w:tcPr>
          <w:p>
            <w:pPr>
              <w:pStyle w:val="null3"/>
            </w:pPr>
            <w:r>
              <w:rPr/>
              <w:t>供应商应授权合法的人员参加磋商全过程，其中法定代表人直接参加磋商的，须出具法定代表人身份证明，并与营业执照上信息一致。法定代表人授权代表参加磋商的，须出具法定代表人授权委托书。（其他组织或自然人参照执行）</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有效的主体资格证明</w:t>
            </w:r>
          </w:p>
        </w:tc>
        <w:tc>
          <w:tcPr>
            <w:tcW w:type="dxa" w:w="3322"/>
          </w:tcPr>
          <w:p>
            <w:pPr>
              <w:pStyle w:val="null3"/>
            </w:pPr>
            <w:r>
              <w:rPr/>
              <w:t>提供合格有效的法人或者其他组织的营业执照等证明文件或自然人的身份证明。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财务状况报告</w:t>
            </w:r>
          </w:p>
        </w:tc>
        <w:tc>
          <w:tcPr>
            <w:tcW w:type="dxa" w:w="3322"/>
          </w:tcPr>
          <w:p>
            <w:pPr>
              <w:pStyle w:val="null3"/>
            </w:pPr>
            <w:r>
              <w:rPr/>
              <w:t>（1）提供2022年度或2023年度的财务审计报告（至少包含“四表一注”，即资产负债表、利润表、现金流量表、所有者权益变动表及附注）；（2）提供递交响应文件截止日期前三个月内（递交响应文件截止时间当月不计入）其基本存款账户开户银行出具的资信证明及基本存款账户开户许可证（基本账户信息）（3）财政部门认可的政府采购专业担保机构出具的担保函(附开户许可证或开户备案证明或基本账户信息)。以上三种形式的证明资料提供任何一种即可。（事业法人仅提供部门决算报告即可）</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提供递交响应文件截止日期前十二个月（递交响应文件截止时间当月不计入）内已缴存的至少一个月的纳税证明或完税证明，依法免税的单位应提供相关证明材料。</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社会保障资金缴纳证明</w:t>
            </w:r>
          </w:p>
        </w:tc>
        <w:tc>
          <w:tcPr>
            <w:tcW w:type="dxa" w:w="3322"/>
          </w:tcPr>
          <w:p>
            <w:pPr>
              <w:pStyle w:val="null3"/>
            </w:pPr>
            <w:r>
              <w:rPr/>
              <w:t>提供递交响应文件截止日期前十二个月内（递交响应文件截止时间当月不计入）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无重大违法记录声明</w:t>
            </w:r>
          </w:p>
        </w:tc>
        <w:tc>
          <w:tcPr>
            <w:tcW w:type="dxa" w:w="3322"/>
          </w:tcPr>
          <w:p>
            <w:pPr>
              <w:pStyle w:val="null3"/>
            </w:pPr>
            <w:r>
              <w:rPr/>
              <w:t>近3年内在经营活动中没有重大违法记录的书面声明。</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具有履行合同所必需的设备和专业技术能力</w:t>
            </w:r>
          </w:p>
        </w:tc>
        <w:tc>
          <w:tcPr>
            <w:tcW w:type="dxa" w:w="3322"/>
          </w:tcPr>
          <w:p>
            <w:pPr>
              <w:pStyle w:val="null3"/>
            </w:pPr>
            <w:r>
              <w:rPr/>
              <w:t>提交履行合同所必需的设备和专业技术能力的书面声明。</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本项目不接受联合体响应</w:t>
            </w:r>
          </w:p>
        </w:tc>
        <w:tc>
          <w:tcPr>
            <w:tcW w:type="dxa" w:w="3322"/>
          </w:tcPr>
          <w:p>
            <w:pPr>
              <w:pStyle w:val="null3"/>
            </w:pPr>
            <w:r>
              <w:rPr/>
              <w:t>非联合体投标承诺书。</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报价明细表 标的清单 报价表</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供应商名称和公章、营业执照一致</w:t>
            </w:r>
          </w:p>
        </w:tc>
        <w:tc>
          <w:tcPr>
            <w:tcW w:type="dxa" w:w="1661"/>
          </w:tcPr>
          <w:p>
            <w:pPr>
              <w:pStyle w:val="null3"/>
            </w:pPr>
            <w:r>
              <w:rPr/>
              <w:t>商务响应偏离表 供应商认为需要提供的其他资料 中小企业声明函 投标保证金汇款凭证及基本账户信息 报价表 响应文件封面 资格证明文件 类似项目业绩 人员简历表 残疾人福利性单位声明函 报价明细表 服务方案 标的清单 响应函 监狱企业的证明文件</w:t>
            </w:r>
          </w:p>
        </w:tc>
      </w:tr>
      <w:tr>
        <w:tc>
          <w:tcPr>
            <w:tcW w:type="dxa" w:w="831"/>
          </w:tcPr>
          <w:p>
            <w:pPr>
              <w:pStyle w:val="null3"/>
            </w:pPr>
            <w:r>
              <w:rPr/>
              <w:t>3</w:t>
            </w:r>
          </w:p>
        </w:tc>
        <w:tc>
          <w:tcPr>
            <w:tcW w:type="dxa" w:w="2492"/>
          </w:tcPr>
          <w:p>
            <w:pPr>
              <w:pStyle w:val="null3"/>
            </w:pPr>
            <w:r>
              <w:rPr/>
              <w:t>磋商报价</w:t>
            </w:r>
          </w:p>
        </w:tc>
        <w:tc>
          <w:tcPr>
            <w:tcW w:type="dxa" w:w="3322"/>
          </w:tcPr>
          <w:p>
            <w:pPr>
              <w:pStyle w:val="null3"/>
            </w:pPr>
            <w:r>
              <w:rPr/>
              <w:t>未超过项目最高限价，无选择性报价</w:t>
            </w:r>
          </w:p>
        </w:tc>
        <w:tc>
          <w:tcPr>
            <w:tcW w:type="dxa" w:w="1661"/>
          </w:tcPr>
          <w:p>
            <w:pPr>
              <w:pStyle w:val="null3"/>
            </w:pPr>
            <w:r>
              <w:rPr/>
              <w:t>报价明细表 标的清单 报价表</w:t>
            </w:r>
          </w:p>
        </w:tc>
      </w:tr>
      <w:tr>
        <w:tc>
          <w:tcPr>
            <w:tcW w:type="dxa" w:w="831"/>
          </w:tcPr>
          <w:p>
            <w:pPr>
              <w:pStyle w:val="null3"/>
            </w:pPr>
            <w:r>
              <w:rPr/>
              <w:t>4</w:t>
            </w:r>
          </w:p>
        </w:tc>
        <w:tc>
          <w:tcPr>
            <w:tcW w:type="dxa" w:w="2492"/>
          </w:tcPr>
          <w:p>
            <w:pPr>
              <w:pStyle w:val="null3"/>
            </w:pPr>
            <w:r>
              <w:rPr/>
              <w:t>磋商有效期</w:t>
            </w:r>
          </w:p>
        </w:tc>
        <w:tc>
          <w:tcPr>
            <w:tcW w:type="dxa" w:w="3322"/>
          </w:tcPr>
          <w:p>
            <w:pPr>
              <w:pStyle w:val="null3"/>
            </w:pPr>
            <w:r>
              <w:rPr/>
              <w:t>自磋商响应文件递交截止之日起90个日历日</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磋商响应文件签署、盖章有效性</w:t>
            </w:r>
          </w:p>
        </w:tc>
        <w:tc>
          <w:tcPr>
            <w:tcW w:type="dxa" w:w="3322"/>
          </w:tcPr>
          <w:p>
            <w:pPr>
              <w:pStyle w:val="null3"/>
            </w:pPr>
            <w:r>
              <w:rPr/>
              <w:t>磋商响应文件的签署、盖章符合竞争性磋商文件要求</w:t>
            </w:r>
          </w:p>
        </w:tc>
        <w:tc>
          <w:tcPr>
            <w:tcW w:type="dxa" w:w="1661"/>
          </w:tcPr>
          <w:p>
            <w:pPr>
              <w:pStyle w:val="null3"/>
            </w:pPr>
            <w:r>
              <w:rPr/>
              <w:t>商务响应偏离表 供应商认为需要提供的其他资料 中小企业声明函 投标保证金汇款凭证及基本账户信息 报价表 响应文件封面 资格证明文件 类似项目业绩 人员简历表 残疾人福利性单位声明函 报价明细表 服务方案 标的清单 响应函 监狱企业的证明文件</w:t>
            </w:r>
          </w:p>
        </w:tc>
      </w:tr>
      <w:tr>
        <w:tc>
          <w:tcPr>
            <w:tcW w:type="dxa" w:w="831"/>
          </w:tcPr>
          <w:p>
            <w:pPr>
              <w:pStyle w:val="null3"/>
            </w:pPr>
            <w:r>
              <w:rPr/>
              <w:t>6</w:t>
            </w:r>
          </w:p>
        </w:tc>
        <w:tc>
          <w:tcPr>
            <w:tcW w:type="dxa" w:w="2492"/>
          </w:tcPr>
          <w:p>
            <w:pPr>
              <w:pStyle w:val="null3"/>
            </w:pPr>
            <w:r>
              <w:rPr/>
              <w:t>服务期</w:t>
            </w:r>
          </w:p>
        </w:tc>
        <w:tc>
          <w:tcPr>
            <w:tcW w:type="dxa" w:w="3322"/>
          </w:tcPr>
          <w:p>
            <w:pPr>
              <w:pStyle w:val="null3"/>
            </w:pPr>
            <w:r>
              <w:rPr/>
              <w:t>符合竞争性磋商文件要求</w:t>
            </w:r>
          </w:p>
        </w:tc>
        <w:tc>
          <w:tcPr>
            <w:tcW w:type="dxa" w:w="1661"/>
          </w:tcPr>
          <w:p>
            <w:pPr>
              <w:pStyle w:val="null3"/>
            </w:pPr>
            <w:r>
              <w:rPr/>
              <w:t>商务响应偏离表 标的清单 报价表</w:t>
            </w:r>
          </w:p>
        </w:tc>
      </w:tr>
      <w:tr>
        <w:tc>
          <w:tcPr>
            <w:tcW w:type="dxa" w:w="831"/>
          </w:tcPr>
          <w:p>
            <w:pPr>
              <w:pStyle w:val="null3"/>
            </w:pPr>
            <w:r>
              <w:rPr/>
              <w:t>7</w:t>
            </w:r>
          </w:p>
        </w:tc>
        <w:tc>
          <w:tcPr>
            <w:tcW w:type="dxa" w:w="2492"/>
          </w:tcPr>
          <w:p>
            <w:pPr>
              <w:pStyle w:val="null3"/>
            </w:pPr>
            <w:r>
              <w:rPr/>
              <w:t>对磋商文件响应程度</w:t>
            </w:r>
          </w:p>
        </w:tc>
        <w:tc>
          <w:tcPr>
            <w:tcW w:type="dxa" w:w="3322"/>
          </w:tcPr>
          <w:p>
            <w:pPr>
              <w:pStyle w:val="null3"/>
            </w:pPr>
            <w:r>
              <w:rPr/>
              <w:t>要求实质性条款完全响应，不能有采购人不能接受的附加条件</w:t>
            </w:r>
          </w:p>
        </w:tc>
        <w:tc>
          <w:tcPr>
            <w:tcW w:type="dxa" w:w="1661"/>
          </w:tcPr>
          <w:p>
            <w:pPr>
              <w:pStyle w:val="null3"/>
            </w:pPr>
            <w:r>
              <w:rPr/>
              <w:t>商务响应偏离表 供应商认为需要提供的其他资料 中小企业声明函 投标保证金汇款凭证及基本账户信息 报价表 响应文件封面 资格证明文件 类似项目业绩 人员简历表 残疾人福利性单位声明函 报价明细表 服务方案 标的清单 响应函 监狱企业的证明文件</w:t>
            </w:r>
          </w:p>
        </w:tc>
      </w:tr>
      <w:tr>
        <w:tc>
          <w:tcPr>
            <w:tcW w:type="dxa" w:w="831"/>
          </w:tcPr>
          <w:p>
            <w:pPr>
              <w:pStyle w:val="null3"/>
            </w:pPr>
            <w:r>
              <w:rPr/>
              <w:t>8</w:t>
            </w:r>
          </w:p>
        </w:tc>
        <w:tc>
          <w:tcPr>
            <w:tcW w:type="dxa" w:w="2492"/>
          </w:tcPr>
          <w:p>
            <w:pPr>
              <w:pStyle w:val="null3"/>
            </w:pPr>
            <w:r>
              <w:rPr/>
              <w:t>投标保证金</w:t>
            </w:r>
          </w:p>
        </w:tc>
        <w:tc>
          <w:tcPr>
            <w:tcW w:type="dxa" w:w="3322"/>
          </w:tcPr>
          <w:p>
            <w:pPr>
              <w:pStyle w:val="null3"/>
            </w:pPr>
            <w:r>
              <w:rPr/>
              <w:t>磋商保证金缴纳凭证</w:t>
            </w:r>
          </w:p>
        </w:tc>
        <w:tc>
          <w:tcPr>
            <w:tcW w:type="dxa" w:w="1661"/>
          </w:tcPr>
          <w:p>
            <w:pPr>
              <w:pStyle w:val="null3"/>
            </w:pPr>
            <w:r>
              <w:rPr/>
              <w:t>投标保证金汇款凭证及基本账户信息</w:t>
            </w:r>
          </w:p>
        </w:tc>
      </w:tr>
      <w:tr>
        <w:tc>
          <w:tcPr>
            <w:tcW w:type="dxa" w:w="831"/>
          </w:tcPr>
          <w:p>
            <w:pPr>
              <w:pStyle w:val="null3"/>
            </w:pPr>
            <w:r>
              <w:rPr/>
              <w:t>9</w:t>
            </w:r>
          </w:p>
        </w:tc>
        <w:tc>
          <w:tcPr>
            <w:tcW w:type="dxa" w:w="2492"/>
          </w:tcPr>
          <w:p>
            <w:pPr>
              <w:pStyle w:val="null3"/>
            </w:pPr>
            <w:r>
              <w:rPr/>
              <w:t>其他</w:t>
            </w:r>
          </w:p>
        </w:tc>
        <w:tc>
          <w:tcPr>
            <w:tcW w:type="dxa" w:w="3322"/>
          </w:tcPr>
          <w:p>
            <w:pPr>
              <w:pStyle w:val="null3"/>
            </w:pPr>
            <w:r>
              <w:rPr/>
              <w:t>不存在法律、法规和磋商文件规定的其他无效情况</w:t>
            </w:r>
          </w:p>
        </w:tc>
        <w:tc>
          <w:tcPr>
            <w:tcW w:type="dxa" w:w="1661"/>
          </w:tcPr>
          <w:p>
            <w:pPr>
              <w:pStyle w:val="null3"/>
            </w:pPr>
            <w:r>
              <w:rPr/>
              <w:t>商务响应偏离表 供应商认为需要提供的其他资料 中小企业声明函 投标保证金汇款凭证及基本账户信息 报价表 响应文件封面 资格证明文件 类似项目业绩 人员简历表 残疾人福利性单位声明函 报价明细表 服务方案 标的清单 响应函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项目需求分析</w:t>
            </w:r>
          </w:p>
        </w:tc>
        <w:tc>
          <w:tcPr>
            <w:tcW w:type="dxa" w:w="2492"/>
          </w:tcPr>
          <w:p>
            <w:pPr>
              <w:pStyle w:val="null3"/>
            </w:pPr>
            <w:r>
              <w:rPr/>
              <w:t>根据供应商针对本项目2024-2025年度交通量统计服务具体内容的理解掌握程度，能否保证本项目的正常开展响应情况进行打分。需求分析全面、透彻得(4-6]分；相对全面、合理得(2-4]分；一般全面、合理，得(0-2]分；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供应商认为需要提供的其他资料</w:t>
            </w:r>
          </w:p>
        </w:tc>
      </w:tr>
      <w:tr>
        <w:tc>
          <w:tcPr>
            <w:tcW w:type="dxa" w:w="831"/>
            <w:vMerge/>
          </w:tcPr>
          <w:p/>
        </w:tc>
        <w:tc>
          <w:tcPr>
            <w:tcW w:type="dxa" w:w="1661"/>
          </w:tcPr>
          <w:p>
            <w:pPr>
              <w:pStyle w:val="null3"/>
            </w:pPr>
            <w:r>
              <w:rPr/>
              <w:t>整体服务方案</w:t>
            </w:r>
          </w:p>
        </w:tc>
        <w:tc>
          <w:tcPr>
            <w:tcW w:type="dxa" w:w="2492"/>
          </w:tcPr>
          <w:p>
            <w:pPr>
              <w:pStyle w:val="null3"/>
            </w:pPr>
            <w:r>
              <w:rPr/>
              <w:t>供应商需结合项目实际情况，针对本项目统计服务要求提供科学、完整、合理、规范的服务方案。方案设计科学合理、描述条理清晰，可行性、安全性强，完全满足采购需求得(10-15]分；方案内容较完整，分析较全面，可行性较强，满足采购需求得(5-10]分；方案内容一般，可行性一般，基本满足采购需求得(0-5]分；未提供得0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p>
            <w:pPr>
              <w:pStyle w:val="null3"/>
            </w:pPr>
            <w:r>
              <w:rPr/>
              <w:t>供应商认为需要提供的其他资料</w:t>
            </w:r>
          </w:p>
        </w:tc>
      </w:tr>
      <w:tr>
        <w:tc>
          <w:tcPr>
            <w:tcW w:type="dxa" w:w="831"/>
            <w:vMerge/>
          </w:tcPr>
          <w:p/>
        </w:tc>
        <w:tc>
          <w:tcPr>
            <w:tcW w:type="dxa" w:w="1661"/>
          </w:tcPr>
          <w:p>
            <w:pPr>
              <w:pStyle w:val="null3"/>
            </w:pPr>
            <w:r>
              <w:rPr/>
              <w:t>技术服务方案</w:t>
            </w:r>
          </w:p>
        </w:tc>
        <w:tc>
          <w:tcPr>
            <w:tcW w:type="dxa" w:w="2492"/>
          </w:tcPr>
          <w:p>
            <w:pPr>
              <w:pStyle w:val="null3"/>
            </w:pPr>
            <w:r>
              <w:rPr/>
              <w:t>技术服务方案科学合理、详细、完整、可行性强、工作进度计划合理、有可操作性，有详细、完善、可行的技术方案得（7-10]分；方案较为合理、完善得(4-7] 分；方案较差、一般得(0-4]；未提供得0分。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p>
            <w:pPr>
              <w:pStyle w:val="null3"/>
            </w:pPr>
            <w:r>
              <w:rPr/>
              <w:t>供应商认为需要提供的其他资料</w:t>
            </w:r>
          </w:p>
        </w:tc>
      </w:tr>
      <w:tr>
        <w:tc>
          <w:tcPr>
            <w:tcW w:type="dxa" w:w="831"/>
            <w:vMerge/>
          </w:tcPr>
          <w:p/>
        </w:tc>
        <w:tc>
          <w:tcPr>
            <w:tcW w:type="dxa" w:w="1661"/>
          </w:tcPr>
          <w:p>
            <w:pPr>
              <w:pStyle w:val="null3"/>
            </w:pPr>
            <w:r>
              <w:rPr/>
              <w:t>质量保证措施</w:t>
            </w:r>
          </w:p>
        </w:tc>
        <w:tc>
          <w:tcPr>
            <w:tcW w:type="dxa" w:w="2492"/>
          </w:tcPr>
          <w:p>
            <w:pPr>
              <w:pStyle w:val="null3"/>
            </w:pPr>
            <w:r>
              <w:rPr/>
              <w:t>质量保证措施内容总体思路清晰合理、可行性强得(7-10]分；质量保证措施总体思路较清晰合理，可行性较强得(4-7]分；质量保证措施总体思路基本清晰合理，可行性一般得(0-4]分；未提供得0分。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p>
            <w:pPr>
              <w:pStyle w:val="null3"/>
            </w:pPr>
            <w:r>
              <w:rPr/>
              <w:t>供应商认为需要提供的其他资料</w:t>
            </w:r>
          </w:p>
        </w:tc>
      </w:tr>
      <w:tr>
        <w:tc>
          <w:tcPr>
            <w:tcW w:type="dxa" w:w="831"/>
            <w:vMerge/>
          </w:tcPr>
          <w:p/>
        </w:tc>
        <w:tc>
          <w:tcPr>
            <w:tcW w:type="dxa" w:w="1661"/>
          </w:tcPr>
          <w:p>
            <w:pPr>
              <w:pStyle w:val="null3"/>
            </w:pPr>
            <w:r>
              <w:rPr/>
              <w:t>人员配置方案</w:t>
            </w:r>
          </w:p>
        </w:tc>
        <w:tc>
          <w:tcPr>
            <w:tcW w:type="dxa" w:w="2492"/>
          </w:tcPr>
          <w:p>
            <w:pPr>
              <w:pStyle w:val="null3"/>
            </w:pPr>
            <w:r>
              <w:rPr/>
              <w:t>供应商应提供详细、完善的项目管理方案，有详细的人员配置方案、健全的组织机构及工作安排，岗位分工明确，专业性强，同类项目经验丰富，得(7-10]分；有详细的人员配置方案、组织机构及工作安排基本完善、合理，岗位分工明确，具有较丰富的同类项目经验，得(4-7]分；有详细的人员配置方案，组织机构及工作安排合理性一般，岗位分工不清晰，缺少同类项目经验，得(0-4]分；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p>
            <w:pPr>
              <w:pStyle w:val="null3"/>
            </w:pPr>
            <w:r>
              <w:rPr/>
              <w:t>供应商认为需要提供的其他资料</w:t>
            </w:r>
          </w:p>
          <w:p>
            <w:pPr>
              <w:pStyle w:val="null3"/>
            </w:pPr>
            <w:r>
              <w:rPr/>
              <w:t>人员简历表</w:t>
            </w:r>
          </w:p>
        </w:tc>
      </w:tr>
      <w:tr>
        <w:tc>
          <w:tcPr>
            <w:tcW w:type="dxa" w:w="831"/>
            <w:vMerge/>
          </w:tcPr>
          <w:p/>
        </w:tc>
        <w:tc>
          <w:tcPr>
            <w:tcW w:type="dxa" w:w="1661"/>
          </w:tcPr>
          <w:p>
            <w:pPr>
              <w:pStyle w:val="null3"/>
            </w:pPr>
            <w:r>
              <w:rPr/>
              <w:t>应急预案</w:t>
            </w:r>
          </w:p>
        </w:tc>
        <w:tc>
          <w:tcPr>
            <w:tcW w:type="dxa" w:w="2492"/>
          </w:tcPr>
          <w:p>
            <w:pPr>
              <w:pStyle w:val="null3"/>
            </w:pPr>
            <w:r>
              <w:rPr/>
              <w:t>针对本项目提供有效、可行的应急方案，应急预案内容完善合理可行、针对性强的得(7-10]分；应急预案内容较完善、较合理可行、针对性较强的得(4-7]分；应急预案内容基本完善、合理、针对性一般的得(0-4分；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p>
            <w:pPr>
              <w:pStyle w:val="null3"/>
            </w:pPr>
            <w:r>
              <w:rPr/>
              <w:t>供应商认为需要提供的其他资料</w:t>
            </w:r>
          </w:p>
        </w:tc>
      </w:tr>
      <w:tr>
        <w:tc>
          <w:tcPr>
            <w:tcW w:type="dxa" w:w="831"/>
            <w:vMerge/>
          </w:tcPr>
          <w:p/>
        </w:tc>
        <w:tc>
          <w:tcPr>
            <w:tcW w:type="dxa" w:w="1661"/>
          </w:tcPr>
          <w:p>
            <w:pPr>
              <w:pStyle w:val="null3"/>
            </w:pPr>
            <w:r>
              <w:rPr/>
              <w:t>售后服务方案</w:t>
            </w:r>
          </w:p>
        </w:tc>
        <w:tc>
          <w:tcPr>
            <w:tcW w:type="dxa" w:w="2492"/>
          </w:tcPr>
          <w:p>
            <w:pPr>
              <w:pStyle w:val="null3"/>
            </w:pPr>
            <w:r>
              <w:rPr/>
              <w:t>有详细明确的售后服务方案，并在后续保障能力、服务及时性等方面有明确的承诺及保证措施。售后服务方案完善且具体可行得(6-8]分；较完善得(3-6]分；一般得(0-3]分；未提供得0分。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p>
            <w:pPr>
              <w:pStyle w:val="null3"/>
            </w:pPr>
            <w:r>
              <w:rPr/>
              <w:t>供应商认为需要提供的其他资料</w:t>
            </w:r>
          </w:p>
        </w:tc>
      </w:tr>
      <w:tr>
        <w:tc>
          <w:tcPr>
            <w:tcW w:type="dxa" w:w="831"/>
            <w:vMerge/>
          </w:tcPr>
          <w:p/>
        </w:tc>
        <w:tc>
          <w:tcPr>
            <w:tcW w:type="dxa" w:w="1661"/>
          </w:tcPr>
          <w:p>
            <w:pPr>
              <w:pStyle w:val="null3"/>
            </w:pPr>
            <w:r>
              <w:rPr/>
              <w:t>合理化建议</w:t>
            </w:r>
          </w:p>
        </w:tc>
        <w:tc>
          <w:tcPr>
            <w:tcW w:type="dxa" w:w="2492"/>
          </w:tcPr>
          <w:p>
            <w:pPr>
              <w:pStyle w:val="null3"/>
            </w:pPr>
            <w:r>
              <w:rPr/>
              <w:t>有利于本项目工作顺利进行的合理化建议。建议详细合理，针对性强得（3-5] ;建议较简洁，针对性较差得（1-3]分;建议含糊无实质性内容得（0-1]分；未提供得0分。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供应商认为需要提供的其他资料</w:t>
            </w:r>
          </w:p>
        </w:tc>
      </w:tr>
      <w:tr>
        <w:tc>
          <w:tcPr>
            <w:tcW w:type="dxa" w:w="831"/>
            <w:vMerge/>
          </w:tcPr>
          <w:p/>
        </w:tc>
        <w:tc>
          <w:tcPr>
            <w:tcW w:type="dxa" w:w="1661"/>
          </w:tcPr>
          <w:p>
            <w:pPr>
              <w:pStyle w:val="null3"/>
            </w:pPr>
            <w:r>
              <w:rPr/>
              <w:t>业绩</w:t>
            </w:r>
          </w:p>
        </w:tc>
        <w:tc>
          <w:tcPr>
            <w:tcW w:type="dxa" w:w="2492"/>
          </w:tcPr>
          <w:p>
            <w:pPr>
              <w:pStyle w:val="null3"/>
            </w:pPr>
            <w:r>
              <w:rPr/>
              <w:t>如供应商提供2022年至今类似项目业绩，每提供一个有效业绩证明得2分，本项最高得6分。 备注：以加盖投标供应商公章的合同、协议书复印件作为评审依据。</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类似项目业绩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1、满足磋商文件要求且最终报价最低的供应商的价格为磋商基准价，其价格分为满分20分。 2、磋商报价得分=（磋商基准价/最终磋商报价） ×20（因落实政府采购政策进行价格调整的，以调整后的价格计算磋商基准价和磋商报价得分，详见磋商文件政府采购政策评分标准）。</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详见附件：资格证明文件</w:t>
      </w:r>
    </w:p>
    <w:p>
      <w:pPr>
        <w:pStyle w:val="null3"/>
        <w:ind w:firstLine="960"/>
      </w:pPr>
      <w:r>
        <w:rPr/>
        <w:t>详见附件：投标保证金汇款凭证及基本账户信息</w:t>
      </w:r>
    </w:p>
    <w:p>
      <w:pPr>
        <w:pStyle w:val="null3"/>
        <w:ind w:firstLine="960"/>
      </w:pPr>
      <w:r>
        <w:rPr/>
        <w:t>详见附件：报价表</w:t>
      </w:r>
    </w:p>
    <w:p>
      <w:pPr>
        <w:pStyle w:val="null3"/>
        <w:ind w:firstLine="960"/>
      </w:pPr>
      <w:r>
        <w:rPr/>
        <w:t>详见附件：标的清单</w:t>
      </w:r>
    </w:p>
    <w:p>
      <w:pPr>
        <w:pStyle w:val="null3"/>
        <w:ind w:firstLine="960"/>
      </w:pPr>
      <w:r>
        <w:rPr/>
        <w:t>详见附件：报价明细表</w:t>
      </w:r>
    </w:p>
    <w:p>
      <w:pPr>
        <w:pStyle w:val="null3"/>
        <w:ind w:firstLine="960"/>
      </w:pPr>
      <w:r>
        <w:rPr/>
        <w:t>详见附件：商务响应偏离表</w:t>
      </w:r>
    </w:p>
    <w:p>
      <w:pPr>
        <w:pStyle w:val="null3"/>
        <w:ind w:firstLine="960"/>
      </w:pPr>
      <w:r>
        <w:rPr/>
        <w:t>详见附件：服务方案</w:t>
      </w:r>
    </w:p>
    <w:p>
      <w:pPr>
        <w:pStyle w:val="null3"/>
        <w:ind w:firstLine="960"/>
      </w:pPr>
      <w:r>
        <w:rPr/>
        <w:t>详见附件：人员简历表</w:t>
      </w:r>
    </w:p>
    <w:p>
      <w:pPr>
        <w:pStyle w:val="null3"/>
        <w:ind w:firstLine="960"/>
      </w:pPr>
      <w:r>
        <w:rPr/>
        <w:t>详见附件：类似项目业绩</w:t>
      </w:r>
    </w:p>
    <w:p>
      <w:pPr>
        <w:pStyle w:val="null3"/>
        <w:ind w:firstLine="960"/>
      </w:pPr>
      <w:r>
        <w:rPr/>
        <w:t>详见附件：供应商认为需要提供的其他资料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详见附件：《2024-2025年度交通量统计服务》合同参考格式及主要条款.docx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