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72DD7E">
      <w:pPr>
        <w:rPr>
          <w:rFonts w:hint="default" w:ascii="黑体" w:eastAsia="黑体"/>
          <w:b/>
          <w:color w:val="000000" w:themeColor="text1"/>
          <w:sz w:val="32"/>
          <w:szCs w:val="32"/>
          <w:highlight w:val="none"/>
          <w:lang w:val="en-US" w:eastAsia="zh-CN"/>
          <w14:textFill>
            <w14:solidFill>
              <w14:schemeClr w14:val="tx1"/>
            </w14:solidFill>
          </w14:textFill>
        </w:rPr>
      </w:pPr>
      <w:r>
        <w:rPr>
          <w:rFonts w:hint="eastAsia" w:ascii="黑体" w:eastAsia="黑体"/>
          <w:b/>
          <w:color w:val="000000" w:themeColor="text1"/>
          <w:sz w:val="32"/>
          <w:szCs w:val="32"/>
          <w:highlight w:val="none"/>
          <w14:textFill>
            <w14:solidFill>
              <w14:schemeClr w14:val="tx1"/>
            </w14:solidFill>
          </w14:textFill>
        </w:rPr>
        <w:t xml:space="preserve">政府采购项目                      </w:t>
      </w:r>
      <w:r>
        <w:rPr>
          <w:rFonts w:hint="eastAsia" w:ascii="黑体" w:eastAsia="黑体"/>
          <w:b/>
          <w:color w:val="000000" w:themeColor="text1"/>
          <w:sz w:val="32"/>
          <w:szCs w:val="32"/>
          <w:highlight w:val="none"/>
          <w:lang w:val="en-US" w:eastAsia="zh-CN"/>
          <w14:textFill>
            <w14:solidFill>
              <w14:schemeClr w14:val="tx1"/>
            </w14:solidFill>
          </w14:textFill>
        </w:rPr>
        <w:t xml:space="preserve">  </w:t>
      </w:r>
    </w:p>
    <w:p w14:paraId="559B3F92">
      <w:pPr>
        <w:rPr>
          <w:rFonts w:hint="default" w:ascii="黑体" w:eastAsia="黑体"/>
          <w:b/>
          <w:color w:val="000000" w:themeColor="text1"/>
          <w:sz w:val="32"/>
          <w:szCs w:val="32"/>
          <w:highlight w:val="none"/>
          <w:lang w:val="en-US" w:eastAsia="zh-CN"/>
          <w14:textFill>
            <w14:solidFill>
              <w14:schemeClr w14:val="tx1"/>
            </w14:solidFill>
          </w14:textFill>
        </w:rPr>
      </w:pPr>
    </w:p>
    <w:p w14:paraId="3737EF3A">
      <w:pPr>
        <w:rPr>
          <w:rFonts w:hint="eastAsia" w:ascii="黑体" w:eastAsia="黑体"/>
          <w:b/>
          <w:color w:val="000000" w:themeColor="text1"/>
          <w:sz w:val="28"/>
          <w:szCs w:val="28"/>
          <w:highlight w:val="none"/>
          <w14:textFill>
            <w14:solidFill>
              <w14:schemeClr w14:val="tx1"/>
            </w14:solidFill>
          </w14:textFill>
        </w:rPr>
      </w:pPr>
      <w:r>
        <w:rPr>
          <w:rFonts w:hint="eastAsia" w:ascii="黑体" w:eastAsia="黑体"/>
          <w:b/>
          <w:color w:val="000000" w:themeColor="text1"/>
          <w:sz w:val="28"/>
          <w:szCs w:val="28"/>
          <w:highlight w:val="none"/>
          <w14:textFill>
            <w14:solidFill>
              <w14:schemeClr w14:val="tx1"/>
            </w14:solidFill>
          </w14:textFill>
        </w:rPr>
        <w:t>合同编号：</w:t>
      </w:r>
    </w:p>
    <w:p w14:paraId="4B8FE021">
      <w:pPr>
        <w:rPr>
          <w:rFonts w:hint="eastAsia" w:ascii="黑体" w:eastAsia="黑体"/>
          <w:b/>
          <w:color w:val="000000" w:themeColor="text1"/>
          <w:sz w:val="32"/>
          <w:szCs w:val="32"/>
          <w:highlight w:val="none"/>
          <w14:textFill>
            <w14:solidFill>
              <w14:schemeClr w14:val="tx1"/>
            </w14:solidFill>
          </w14:textFill>
        </w:rPr>
      </w:pPr>
    </w:p>
    <w:p w14:paraId="16549E61">
      <w:pPr>
        <w:jc w:val="center"/>
        <w:rPr>
          <w:rFonts w:hint="eastAsia" w:ascii="宋体" w:hAnsi="宋体"/>
          <w:b/>
          <w:snapToGrid w:val="0"/>
          <w:color w:val="000000" w:themeColor="text1"/>
          <w:sz w:val="48"/>
          <w:szCs w:val="48"/>
          <w:highlight w:val="none"/>
          <w14:textFill>
            <w14:solidFill>
              <w14:schemeClr w14:val="tx1"/>
            </w14:solidFill>
          </w14:textFill>
        </w:rPr>
      </w:pPr>
    </w:p>
    <w:p w14:paraId="23747034">
      <w:pPr>
        <w:jc w:val="center"/>
        <w:rPr>
          <w:rFonts w:hint="eastAsia" w:ascii="宋体" w:hAnsi="宋体"/>
          <w:b/>
          <w:snapToGrid w:val="0"/>
          <w:color w:val="000000" w:themeColor="text1"/>
          <w:sz w:val="48"/>
          <w:szCs w:val="48"/>
          <w:highlight w:val="none"/>
          <w:u w:val="single"/>
          <w14:textFill>
            <w14:solidFill>
              <w14:schemeClr w14:val="tx1"/>
            </w14:solidFill>
          </w14:textFill>
        </w:rPr>
      </w:pPr>
      <w:r>
        <w:rPr>
          <w:rFonts w:hint="eastAsia" w:ascii="宋体" w:hAnsi="宋体"/>
          <w:b/>
          <w:snapToGrid w:val="0"/>
          <w:color w:val="000000" w:themeColor="text1"/>
          <w:sz w:val="48"/>
          <w:szCs w:val="48"/>
          <w:highlight w:val="none"/>
          <w:u w:val="none"/>
          <w14:textFill>
            <w14:solidFill>
              <w14:schemeClr w14:val="tx1"/>
            </w14:solidFill>
          </w14:textFill>
        </w:rPr>
        <w:t>分析型高效液相色谱仪购置项目</w:t>
      </w:r>
    </w:p>
    <w:p w14:paraId="0E607F18">
      <w:pPr>
        <w:pStyle w:val="21"/>
        <w:rPr>
          <w:rFonts w:hint="eastAsia" w:ascii="宋体" w:hAnsi="宋体"/>
          <w:b/>
          <w:snapToGrid w:val="0"/>
          <w:color w:val="000000" w:themeColor="text1"/>
          <w:sz w:val="48"/>
          <w:szCs w:val="48"/>
          <w:highlight w:val="none"/>
          <w14:textFill>
            <w14:solidFill>
              <w14:schemeClr w14:val="tx1"/>
            </w14:solidFill>
          </w14:textFill>
        </w:rPr>
      </w:pPr>
    </w:p>
    <w:p w14:paraId="5BC52CD4">
      <w:pPr>
        <w:pStyle w:val="21"/>
        <w:rPr>
          <w:rFonts w:hint="eastAsia" w:ascii="宋体" w:hAnsi="宋体"/>
          <w:b/>
          <w:snapToGrid w:val="0"/>
          <w:color w:val="000000" w:themeColor="text1"/>
          <w:sz w:val="48"/>
          <w:szCs w:val="48"/>
          <w:highlight w:val="none"/>
          <w14:textFill>
            <w14:solidFill>
              <w14:schemeClr w14:val="tx1"/>
            </w14:solidFill>
          </w14:textFill>
        </w:rPr>
      </w:pPr>
    </w:p>
    <w:p w14:paraId="661F8A68">
      <w:pPr>
        <w:pStyle w:val="21"/>
        <w:rPr>
          <w:rFonts w:hint="eastAsia" w:ascii="宋体" w:hAnsi="宋体"/>
          <w:b/>
          <w:snapToGrid w:val="0"/>
          <w:color w:val="000000" w:themeColor="text1"/>
          <w:sz w:val="48"/>
          <w:szCs w:val="48"/>
          <w:highlight w:val="none"/>
          <w14:textFill>
            <w14:solidFill>
              <w14:schemeClr w14:val="tx1"/>
            </w14:solidFill>
          </w14:textFill>
        </w:rPr>
      </w:pPr>
    </w:p>
    <w:p w14:paraId="5D9708F0">
      <w:pPr>
        <w:jc w:val="center"/>
        <w:rPr>
          <w:rFonts w:hint="eastAsia" w:ascii="黑体" w:eastAsia="黑体"/>
          <w:b/>
          <w:color w:val="000000" w:themeColor="text1"/>
          <w:sz w:val="72"/>
          <w:szCs w:val="72"/>
          <w:highlight w:val="none"/>
          <w14:textFill>
            <w14:solidFill>
              <w14:schemeClr w14:val="tx1"/>
            </w14:solidFill>
          </w14:textFill>
        </w:rPr>
      </w:pPr>
      <w:r>
        <w:rPr>
          <w:rFonts w:hint="eastAsia" w:ascii="黑体" w:eastAsia="黑体"/>
          <w:b/>
          <w:color w:val="000000" w:themeColor="text1"/>
          <w:sz w:val="72"/>
          <w:szCs w:val="72"/>
          <w:highlight w:val="none"/>
          <w14:textFill>
            <w14:solidFill>
              <w14:schemeClr w14:val="tx1"/>
            </w14:solidFill>
          </w14:textFill>
        </w:rPr>
        <w:t>供 货 合 同</w:t>
      </w:r>
    </w:p>
    <w:p w14:paraId="6D8CD4CD">
      <w:pPr>
        <w:jc w:val="center"/>
        <w:rPr>
          <w:rFonts w:hint="eastAsia" w:ascii="黑体" w:eastAsia="黑体"/>
          <w:color w:val="000000" w:themeColor="text1"/>
          <w:sz w:val="30"/>
          <w:szCs w:val="30"/>
          <w:highlight w:val="none"/>
          <w14:textFill>
            <w14:solidFill>
              <w14:schemeClr w14:val="tx1"/>
            </w14:solidFill>
          </w14:textFill>
        </w:rPr>
      </w:pPr>
      <w:r>
        <w:rPr>
          <w:rFonts w:hint="eastAsia" w:ascii="黑体" w:eastAsia="黑体"/>
          <w:color w:val="000000" w:themeColor="text1"/>
          <w:sz w:val="30"/>
          <w:szCs w:val="30"/>
          <w:highlight w:val="none"/>
          <w14:textFill>
            <w14:solidFill>
              <w14:schemeClr w14:val="tx1"/>
            </w14:solidFill>
          </w14:textFill>
        </w:rPr>
        <w:t>（招标编号：</w:t>
      </w:r>
      <w:r>
        <w:rPr>
          <w:rFonts w:hint="eastAsia" w:ascii="黑体" w:eastAsia="黑体"/>
          <w:color w:val="000000" w:themeColor="text1"/>
          <w:sz w:val="30"/>
          <w:szCs w:val="30"/>
          <w:highlight w:val="none"/>
          <w:u w:val="single"/>
          <w14:textFill>
            <w14:solidFill>
              <w14:schemeClr w14:val="tx1"/>
            </w14:solidFill>
          </w14:textFill>
        </w:rPr>
        <w:t xml:space="preserve">            </w:t>
      </w:r>
      <w:r>
        <w:rPr>
          <w:rFonts w:hint="eastAsia" w:ascii="仿宋" w:hAnsi="仿宋" w:eastAsia="仿宋"/>
          <w:color w:val="000000" w:themeColor="text1"/>
          <w:sz w:val="28"/>
          <w:szCs w:val="28"/>
          <w:highlight w:val="none"/>
          <w14:textFill>
            <w14:solidFill>
              <w14:schemeClr w14:val="tx1"/>
            </w14:solidFill>
          </w14:textFill>
        </w:rPr>
        <w:t>）</w:t>
      </w:r>
    </w:p>
    <w:p w14:paraId="5BA256BC">
      <w:pPr>
        <w:jc w:val="center"/>
        <w:rPr>
          <w:rFonts w:hint="eastAsia" w:ascii="黑体" w:eastAsia="黑体"/>
          <w:color w:val="000000" w:themeColor="text1"/>
          <w:sz w:val="30"/>
          <w:szCs w:val="30"/>
          <w:highlight w:val="none"/>
          <w14:textFill>
            <w14:solidFill>
              <w14:schemeClr w14:val="tx1"/>
            </w14:solidFill>
          </w14:textFill>
        </w:rPr>
      </w:pPr>
    </w:p>
    <w:p w14:paraId="6C6E545A">
      <w:pPr>
        <w:jc w:val="center"/>
        <w:rPr>
          <w:rFonts w:hint="eastAsia" w:ascii="黑体" w:eastAsia="黑体"/>
          <w:color w:val="000000" w:themeColor="text1"/>
          <w:sz w:val="30"/>
          <w:szCs w:val="30"/>
          <w:highlight w:val="none"/>
          <w14:textFill>
            <w14:solidFill>
              <w14:schemeClr w14:val="tx1"/>
            </w14:solidFill>
          </w14:textFill>
        </w:rPr>
      </w:pPr>
    </w:p>
    <w:p w14:paraId="05C9393A">
      <w:pPr>
        <w:pStyle w:val="8"/>
        <w:rPr>
          <w:rFonts w:hint="eastAsia" w:ascii="黑体" w:eastAsia="黑体"/>
          <w:color w:val="000000" w:themeColor="text1"/>
          <w:sz w:val="30"/>
          <w:szCs w:val="30"/>
          <w:highlight w:val="none"/>
          <w14:textFill>
            <w14:solidFill>
              <w14:schemeClr w14:val="tx1"/>
            </w14:solidFill>
          </w14:textFill>
        </w:rPr>
      </w:pPr>
    </w:p>
    <w:p w14:paraId="0CA4A6CA">
      <w:pPr>
        <w:pStyle w:val="8"/>
        <w:rPr>
          <w:rFonts w:hint="eastAsia" w:ascii="黑体" w:eastAsia="黑体"/>
          <w:color w:val="000000" w:themeColor="text1"/>
          <w:sz w:val="30"/>
          <w:szCs w:val="30"/>
          <w:highlight w:val="none"/>
          <w14:textFill>
            <w14:solidFill>
              <w14:schemeClr w14:val="tx1"/>
            </w14:solidFill>
          </w14:textFill>
        </w:rPr>
      </w:pPr>
    </w:p>
    <w:p w14:paraId="24839BB4">
      <w:pPr>
        <w:pStyle w:val="8"/>
        <w:rPr>
          <w:rFonts w:hint="eastAsia" w:ascii="黑体" w:eastAsia="黑体"/>
          <w:color w:val="000000" w:themeColor="text1"/>
          <w:sz w:val="30"/>
          <w:szCs w:val="30"/>
          <w:highlight w:val="none"/>
          <w14:textFill>
            <w14:solidFill>
              <w14:schemeClr w14:val="tx1"/>
            </w14:solidFill>
          </w14:textFill>
        </w:rPr>
      </w:pPr>
    </w:p>
    <w:p w14:paraId="04301C74">
      <w:pPr>
        <w:pStyle w:val="8"/>
        <w:rPr>
          <w:rFonts w:hint="eastAsia" w:ascii="黑体" w:eastAsia="黑体"/>
          <w:color w:val="000000" w:themeColor="text1"/>
          <w:sz w:val="30"/>
          <w:szCs w:val="30"/>
          <w:highlight w:val="none"/>
          <w14:textFill>
            <w14:solidFill>
              <w14:schemeClr w14:val="tx1"/>
            </w14:solidFill>
          </w14:textFill>
        </w:rPr>
      </w:pPr>
    </w:p>
    <w:p w14:paraId="04B6F511">
      <w:pPr>
        <w:pStyle w:val="8"/>
        <w:rPr>
          <w:rFonts w:hint="eastAsia" w:ascii="黑体" w:eastAsia="黑体"/>
          <w:color w:val="000000" w:themeColor="text1"/>
          <w:sz w:val="30"/>
          <w:szCs w:val="30"/>
          <w:highlight w:val="none"/>
          <w14:textFill>
            <w14:solidFill>
              <w14:schemeClr w14:val="tx1"/>
            </w14:solidFill>
          </w14:textFill>
        </w:rPr>
      </w:pPr>
    </w:p>
    <w:p w14:paraId="756D9635">
      <w:pPr>
        <w:pStyle w:val="8"/>
        <w:rPr>
          <w:rFonts w:hint="eastAsia" w:ascii="黑体" w:eastAsia="黑体"/>
          <w:color w:val="000000" w:themeColor="text1"/>
          <w:sz w:val="30"/>
          <w:szCs w:val="30"/>
          <w:highlight w:val="none"/>
          <w14:textFill>
            <w14:solidFill>
              <w14:schemeClr w14:val="tx1"/>
            </w14:solidFill>
          </w14:textFill>
        </w:rPr>
      </w:pPr>
    </w:p>
    <w:p w14:paraId="61D9EED6">
      <w:pPr>
        <w:jc w:val="center"/>
        <w:rPr>
          <w:rFonts w:hint="eastAsia" w:ascii="黑体" w:eastAsia="黑体"/>
          <w:color w:val="000000" w:themeColor="text1"/>
          <w:sz w:val="30"/>
          <w:szCs w:val="30"/>
          <w:highlight w:val="none"/>
          <w14:textFill>
            <w14:solidFill>
              <w14:schemeClr w14:val="tx1"/>
            </w14:solidFill>
          </w14:textFill>
        </w:rPr>
      </w:pPr>
    </w:p>
    <w:p w14:paraId="291F52CE">
      <w:pPr>
        <w:spacing w:line="360" w:lineRule="auto"/>
        <w:ind w:firstLine="2080" w:firstLineChars="650"/>
        <w:rPr>
          <w:rFonts w:hint="eastAsia" w:ascii="黑体" w:eastAsia="黑体"/>
          <w:color w:val="000000" w:themeColor="text1"/>
          <w:sz w:val="32"/>
          <w:szCs w:val="32"/>
          <w:highlight w:val="none"/>
          <w14:textFill>
            <w14:solidFill>
              <w14:schemeClr w14:val="tx1"/>
            </w14:solidFill>
          </w14:textFill>
        </w:rPr>
      </w:pPr>
      <w:r>
        <w:rPr>
          <w:rFonts w:hint="eastAsia" w:ascii="黑体" w:eastAsia="黑体"/>
          <w:color w:val="000000" w:themeColor="text1"/>
          <w:sz w:val="32"/>
          <w:szCs w:val="32"/>
          <w:highlight w:val="none"/>
          <w14:textFill>
            <w14:solidFill>
              <w14:schemeClr w14:val="tx1"/>
            </w14:solidFill>
          </w14:textFill>
        </w:rPr>
        <w:t>甲  方： 陕西中医药大学</w:t>
      </w:r>
    </w:p>
    <w:p w14:paraId="76DEEFCF">
      <w:pPr>
        <w:tabs>
          <w:tab w:val="left" w:pos="480"/>
        </w:tabs>
        <w:spacing w:line="360" w:lineRule="auto"/>
        <w:ind w:firstLine="640" w:firstLineChars="200"/>
        <w:rPr>
          <w:rFonts w:hint="eastAsia" w:ascii="黑体" w:hAnsi="黑体" w:eastAsia="黑体"/>
          <w:color w:val="000000" w:themeColor="text1"/>
          <w:sz w:val="32"/>
          <w:szCs w:val="32"/>
          <w:highlight w:val="none"/>
          <w14:textFill>
            <w14:solidFill>
              <w14:schemeClr w14:val="tx1"/>
            </w14:solidFill>
          </w14:textFill>
        </w:rPr>
      </w:pPr>
      <w:r>
        <w:rPr>
          <w:rFonts w:hint="eastAsia" w:ascii="黑体" w:eastAsia="黑体"/>
          <w:color w:val="000000" w:themeColor="text1"/>
          <w:sz w:val="32"/>
          <w:szCs w:val="32"/>
          <w:highlight w:val="none"/>
          <w14:textFill>
            <w14:solidFill>
              <w14:schemeClr w14:val="tx1"/>
            </w14:solidFill>
          </w14:textFill>
        </w:rPr>
        <w:t xml:space="preserve">         </w:t>
      </w:r>
      <w:r>
        <w:rPr>
          <w:rFonts w:hint="eastAsia" w:ascii="黑体" w:hAnsi="黑体" w:eastAsia="黑体"/>
          <w:color w:val="000000" w:themeColor="text1"/>
          <w:sz w:val="32"/>
          <w:szCs w:val="32"/>
          <w:highlight w:val="none"/>
          <w14:textFill>
            <w14:solidFill>
              <w14:schemeClr w14:val="tx1"/>
            </w14:solidFill>
          </w14:textFill>
        </w:rPr>
        <w:t>乙  方：</w:t>
      </w:r>
    </w:p>
    <w:p w14:paraId="4F7F584D">
      <w:pPr>
        <w:rPr>
          <w:rFonts w:hint="eastAsia" w:ascii="黑体" w:eastAsia="黑体"/>
          <w:color w:val="000000" w:themeColor="text1"/>
          <w:sz w:val="30"/>
          <w:szCs w:val="30"/>
          <w:highlight w:val="none"/>
          <w14:textFill>
            <w14:solidFill>
              <w14:schemeClr w14:val="tx1"/>
            </w14:solidFill>
          </w14:textFill>
        </w:rPr>
      </w:pPr>
      <w:r>
        <w:rPr>
          <w:rFonts w:hint="eastAsia" w:ascii="黑体" w:eastAsia="黑体"/>
          <w:color w:val="000000" w:themeColor="text1"/>
          <w:sz w:val="32"/>
          <w:szCs w:val="32"/>
          <w:highlight w:val="none"/>
          <w14:textFill>
            <w14:solidFill>
              <w14:schemeClr w14:val="tx1"/>
            </w14:solidFill>
          </w14:textFill>
        </w:rPr>
        <w:t xml:space="preserve">             </w:t>
      </w:r>
    </w:p>
    <w:p w14:paraId="74626AFC">
      <w:pPr>
        <w:jc w:val="center"/>
        <w:rPr>
          <w:rFonts w:hint="eastAsia" w:ascii="黑体" w:eastAsia="黑体"/>
          <w:color w:val="000000" w:themeColor="text1"/>
          <w:sz w:val="32"/>
          <w:szCs w:val="32"/>
          <w:highlight w:val="none"/>
          <w14:textFill>
            <w14:solidFill>
              <w14:schemeClr w14:val="tx1"/>
            </w14:solidFill>
          </w14:textFill>
        </w:rPr>
      </w:pPr>
      <w:r>
        <w:rPr>
          <w:rFonts w:hint="eastAsia" w:ascii="黑体" w:eastAsia="黑体"/>
          <w:color w:val="000000" w:themeColor="text1"/>
          <w:sz w:val="32"/>
          <w:szCs w:val="32"/>
          <w:highlight w:val="none"/>
          <w14:textFill>
            <w14:solidFill>
              <w14:schemeClr w14:val="tx1"/>
            </w14:solidFill>
          </w14:textFill>
        </w:rPr>
        <w:t xml:space="preserve">  年  </w:t>
      </w:r>
      <w:r>
        <w:rPr>
          <w:rFonts w:hint="eastAsia" w:ascii="黑体" w:eastAsia="黑体"/>
          <w:color w:val="000000" w:themeColor="text1"/>
          <w:sz w:val="32"/>
          <w:szCs w:val="32"/>
          <w:highlight w:val="none"/>
          <w:lang w:val="en-US" w:eastAsia="zh-CN"/>
          <w14:textFill>
            <w14:solidFill>
              <w14:schemeClr w14:val="tx1"/>
            </w14:solidFill>
          </w14:textFill>
        </w:rPr>
        <w:t xml:space="preserve"> </w:t>
      </w:r>
      <w:r>
        <w:rPr>
          <w:rFonts w:hint="eastAsia" w:ascii="黑体" w:eastAsia="黑体"/>
          <w:color w:val="000000" w:themeColor="text1"/>
          <w:sz w:val="32"/>
          <w:szCs w:val="32"/>
          <w:highlight w:val="none"/>
          <w14:textFill>
            <w14:solidFill>
              <w14:schemeClr w14:val="tx1"/>
            </w14:solidFill>
          </w14:textFill>
        </w:rPr>
        <w:t>月</w:t>
      </w:r>
    </w:p>
    <w:p w14:paraId="19A8AD02">
      <w:pPr>
        <w:pStyle w:val="8"/>
        <w:rPr>
          <w:rFonts w:hint="eastAsia" w:ascii="黑体" w:eastAsia="黑体"/>
          <w:color w:val="000000" w:themeColor="text1"/>
          <w:sz w:val="32"/>
          <w:szCs w:val="32"/>
          <w:highlight w:val="none"/>
          <w14:textFill>
            <w14:solidFill>
              <w14:schemeClr w14:val="tx1"/>
            </w14:solidFill>
          </w14:textFill>
        </w:rPr>
      </w:pPr>
    </w:p>
    <w:p w14:paraId="7BF8BEED">
      <w:pPr>
        <w:pStyle w:val="8"/>
        <w:rPr>
          <w:rFonts w:hint="eastAsia" w:ascii="黑体" w:eastAsia="黑体"/>
          <w:color w:val="000000" w:themeColor="text1"/>
          <w:sz w:val="32"/>
          <w:szCs w:val="32"/>
          <w:highlight w:val="none"/>
          <w14:textFill>
            <w14:solidFill>
              <w14:schemeClr w14:val="tx1"/>
            </w14:solidFill>
          </w14:textFill>
        </w:rPr>
      </w:pPr>
    </w:p>
    <w:p w14:paraId="44F0E5FA">
      <w:pPr>
        <w:jc w:val="center"/>
        <w:rPr>
          <w:rFonts w:hint="eastAsia" w:ascii="黑体" w:eastAsia="黑体"/>
          <w:color w:val="000000" w:themeColor="text1"/>
          <w:sz w:val="32"/>
          <w:szCs w:val="32"/>
          <w:highlight w:val="none"/>
          <w14:textFill>
            <w14:solidFill>
              <w14:schemeClr w14:val="tx1"/>
            </w14:solidFill>
          </w14:textFill>
        </w:rPr>
      </w:pPr>
      <w:r>
        <w:rPr>
          <w:rFonts w:hint="eastAsia" w:ascii="黑体" w:eastAsia="黑体"/>
          <w:color w:val="000000" w:themeColor="text1"/>
          <w:sz w:val="32"/>
          <w:szCs w:val="32"/>
          <w:highlight w:val="none"/>
          <w14:textFill>
            <w14:solidFill>
              <w14:schemeClr w14:val="tx1"/>
            </w14:solidFill>
          </w14:textFill>
        </w:rPr>
        <w:t>中国  西安</w:t>
      </w:r>
    </w:p>
    <w:p w14:paraId="4211B400">
      <w:pPr>
        <w:spacing w:after="0"/>
        <w:jc w:val="center"/>
        <w:rPr>
          <w:color w:val="000000" w:themeColor="text1"/>
          <w:highlight w:val="none"/>
          <w14:textFill>
            <w14:solidFill>
              <w14:schemeClr w14:val="tx1"/>
            </w14:solidFill>
          </w14:textFill>
        </w:rPr>
        <w:sectPr>
          <w:pgSz w:w="12240" w:h="15840"/>
          <w:pgMar w:top="1500" w:right="1720" w:bottom="1120" w:left="1720" w:header="0" w:footer="921" w:gutter="0"/>
          <w:cols w:space="720" w:num="1"/>
        </w:sectPr>
      </w:pPr>
    </w:p>
    <w:p w14:paraId="3590959D">
      <w:pPr>
        <w:pStyle w:val="3"/>
        <w:spacing w:line="443" w:lineRule="exact"/>
        <w:ind w:left="2973" w:firstLine="0"/>
        <w:rPr>
          <w:rFonts w:hint="eastAsia" w:ascii="方正小标宋简体" w:hAnsi="方正小标宋简体" w:eastAsia="方正小标宋简体" w:cs="方正小标宋简体"/>
          <w:color w:val="000000" w:themeColor="text1"/>
          <w:sz w:val="32"/>
          <w:szCs w:val="32"/>
          <w:highlight w:val="none"/>
          <w14:textFill>
            <w14:solidFill>
              <w14:schemeClr w14:val="tx1"/>
            </w14:solidFill>
          </w14:textFill>
        </w:rPr>
      </w:pPr>
      <w:bookmarkStart w:id="0" w:name="_bookmark104"/>
      <w:bookmarkEnd w:id="0"/>
      <w:r>
        <w:rPr>
          <w:rFonts w:hint="eastAsia" w:ascii="方正小标宋简体" w:hAnsi="方正小标宋简体" w:eastAsia="方正小标宋简体" w:cs="方正小标宋简体"/>
          <w:color w:val="000000" w:themeColor="text1"/>
          <w:sz w:val="32"/>
          <w:szCs w:val="32"/>
          <w:highlight w:val="none"/>
          <w14:textFill>
            <w14:solidFill>
              <w14:schemeClr w14:val="tx1"/>
            </w14:solidFill>
          </w14:textFill>
        </w:rPr>
        <w:t>第一节通用合同条款</w:t>
      </w:r>
    </w:p>
    <w:p w14:paraId="5443F48B">
      <w:pPr>
        <w:pStyle w:val="7"/>
        <w:spacing w:before="1"/>
        <w:rPr>
          <w:rFonts w:hint="eastAsia" w:ascii="方正小标宋简体" w:hAnsi="方正小标宋简体" w:eastAsia="方正小标宋简体" w:cs="方正小标宋简体"/>
          <w:b/>
          <w:color w:val="000000" w:themeColor="text1"/>
          <w:sz w:val="32"/>
          <w:szCs w:val="32"/>
          <w:highlight w:val="none"/>
          <w14:textFill>
            <w14:solidFill>
              <w14:schemeClr w14:val="tx1"/>
            </w14:solidFill>
          </w14:textFill>
        </w:rPr>
      </w:pPr>
    </w:p>
    <w:p w14:paraId="4936C3A6">
      <w:pPr>
        <w:pStyle w:val="3"/>
        <w:numPr>
          <w:ilvl w:val="0"/>
          <w:numId w:val="1"/>
        </w:numPr>
        <w:tabs>
          <w:tab w:val="left" w:pos="607"/>
        </w:tabs>
        <w:spacing w:before="0" w:after="0" w:line="360" w:lineRule="auto"/>
        <w:ind w:left="606" w:right="0" w:hanging="400"/>
        <w:jc w:val="left"/>
        <w:rPr>
          <w:rFonts w:ascii="Microsoft JhengHei"/>
          <w:b/>
          <w:color w:val="000000" w:themeColor="text1"/>
          <w:sz w:val="24"/>
          <w:szCs w:val="24"/>
          <w:highlight w:val="none"/>
          <w14:textFill>
            <w14:solidFill>
              <w14:schemeClr w14:val="tx1"/>
            </w14:solidFill>
          </w14:textFill>
        </w:rPr>
      </w:pPr>
      <w:bookmarkStart w:id="1" w:name="_bookmark105"/>
      <w:bookmarkEnd w:id="1"/>
      <w:bookmarkStart w:id="2" w:name="_bookmark105"/>
      <w:bookmarkEnd w:id="2"/>
      <w:r>
        <w:rPr>
          <w:color w:val="000000" w:themeColor="text1"/>
          <w:sz w:val="24"/>
          <w:szCs w:val="24"/>
          <w:highlight w:val="none"/>
          <w14:textFill>
            <w14:solidFill>
              <w14:schemeClr w14:val="tx1"/>
            </w14:solidFill>
          </w14:textFill>
        </w:rPr>
        <w:t>一般约定</w:t>
      </w:r>
    </w:p>
    <w:p w14:paraId="781DC94E">
      <w:pPr>
        <w:pStyle w:val="4"/>
        <w:numPr>
          <w:ilvl w:val="1"/>
          <w:numId w:val="1"/>
        </w:numPr>
        <w:tabs>
          <w:tab w:val="left" w:pos="727"/>
        </w:tabs>
        <w:spacing w:before="0" w:after="0" w:line="360" w:lineRule="auto"/>
        <w:ind w:left="726" w:right="0" w:hanging="489"/>
        <w:jc w:val="left"/>
        <w:rPr>
          <w:color w:val="000000" w:themeColor="text1"/>
          <w:sz w:val="24"/>
          <w:szCs w:val="24"/>
          <w:highlight w:val="none"/>
          <w14:textFill>
            <w14:solidFill>
              <w14:schemeClr w14:val="tx1"/>
            </w14:solidFill>
          </w14:textFill>
        </w:rPr>
      </w:pPr>
      <w:bookmarkStart w:id="3" w:name="_bookmark106"/>
      <w:bookmarkEnd w:id="3"/>
      <w:bookmarkStart w:id="4" w:name="_bookmark106"/>
      <w:bookmarkEnd w:id="4"/>
      <w:r>
        <w:rPr>
          <w:color w:val="000000" w:themeColor="text1"/>
          <w:sz w:val="24"/>
          <w:szCs w:val="24"/>
          <w:highlight w:val="none"/>
          <w14:textFill>
            <w14:solidFill>
              <w14:schemeClr w14:val="tx1"/>
            </w14:solidFill>
          </w14:textFill>
        </w:rPr>
        <w:t>词语定义</w:t>
      </w:r>
    </w:p>
    <w:p w14:paraId="65C32A3A">
      <w:pPr>
        <w:pStyle w:val="7"/>
        <w:spacing w:before="248"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除专用合同条款另有约定外，合同中的下列词语应具有本款所赋予的含义。</w:t>
      </w:r>
    </w:p>
    <w:p w14:paraId="2AC90305">
      <w:pPr>
        <w:pStyle w:val="5"/>
        <w:numPr>
          <w:ilvl w:val="2"/>
          <w:numId w:val="1"/>
        </w:numPr>
        <w:tabs>
          <w:tab w:val="left" w:pos="1049"/>
        </w:tabs>
        <w:spacing w:before="67" w:after="0" w:line="360" w:lineRule="auto"/>
        <w:ind w:left="1048" w:right="0" w:hanging="526"/>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合同</w:t>
      </w:r>
    </w:p>
    <w:p w14:paraId="3B42DB4F">
      <w:pPr>
        <w:pStyle w:val="22"/>
        <w:numPr>
          <w:ilvl w:val="3"/>
          <w:numId w:val="1"/>
        </w:numPr>
        <w:tabs>
          <w:tab w:val="left" w:pos="1205"/>
        </w:tabs>
        <w:spacing w:before="109" w:after="0" w:line="360" w:lineRule="auto"/>
        <w:ind w:left="100" w:right="213" w:firstLine="420"/>
        <w:jc w:val="both"/>
        <w:rPr>
          <w:color w:val="000000" w:themeColor="text1"/>
          <w:sz w:val="24"/>
          <w:szCs w:val="24"/>
          <w:highlight w:val="none"/>
          <w14:textFill>
            <w14:solidFill>
              <w14:schemeClr w14:val="tx1"/>
            </w14:solidFill>
          </w14:textFill>
        </w:rPr>
      </w:pPr>
      <w:r>
        <w:rPr>
          <w:color w:val="000000" w:themeColor="text1"/>
          <w:spacing w:val="-9"/>
          <w:sz w:val="24"/>
          <w:szCs w:val="24"/>
          <w:highlight w:val="none"/>
          <w14:textFill>
            <w14:solidFill>
              <w14:schemeClr w14:val="tx1"/>
            </w14:solidFill>
          </w14:textFill>
        </w:rPr>
        <w:t>合同文件</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或称合同</w:t>
      </w:r>
      <w:r>
        <w:rPr>
          <w:color w:val="000000" w:themeColor="text1"/>
          <w:spacing w:val="-67"/>
          <w:sz w:val="24"/>
          <w:szCs w:val="24"/>
          <w:highlight w:val="none"/>
          <w14:textFill>
            <w14:solidFill>
              <w14:schemeClr w14:val="tx1"/>
            </w14:solidFill>
          </w14:textFill>
        </w:rPr>
        <w:t>）</w:t>
      </w:r>
      <w:r>
        <w:rPr>
          <w:color w:val="000000" w:themeColor="text1"/>
          <w:spacing w:val="-14"/>
          <w:sz w:val="24"/>
          <w:szCs w:val="24"/>
          <w:highlight w:val="none"/>
          <w14:textFill>
            <w14:solidFill>
              <w14:schemeClr w14:val="tx1"/>
            </w14:solidFill>
          </w14:textFill>
        </w:rPr>
        <w:t>：指合同协议书、中标通知书、投标函、商务和技术偏差表、</w:t>
      </w:r>
      <w:r>
        <w:rPr>
          <w:color w:val="000000" w:themeColor="text1"/>
          <w:spacing w:val="-11"/>
          <w:sz w:val="24"/>
          <w:szCs w:val="24"/>
          <w:highlight w:val="none"/>
          <w14:textFill>
            <w14:solidFill>
              <w14:schemeClr w14:val="tx1"/>
            </w14:solidFill>
          </w14:textFill>
        </w:rPr>
        <w:t>专用合同条款、通用合同条款、供货要求、分项报价表、中标设备技术性能指标的详细描述、</w:t>
      </w:r>
      <w:r>
        <w:rPr>
          <w:color w:val="000000" w:themeColor="text1"/>
          <w:spacing w:val="-6"/>
          <w:sz w:val="24"/>
          <w:szCs w:val="24"/>
          <w:highlight w:val="none"/>
          <w14:textFill>
            <w14:solidFill>
              <w14:schemeClr w14:val="tx1"/>
            </w14:solidFill>
          </w14:textFill>
        </w:rPr>
        <w:t>技术服务和质保期服务计划，以及其他构成合同组成部分的文件。</w:t>
      </w:r>
    </w:p>
    <w:p w14:paraId="354EAF87">
      <w:pPr>
        <w:pStyle w:val="22"/>
        <w:numPr>
          <w:ilvl w:val="3"/>
          <w:numId w:val="1"/>
        </w:numPr>
        <w:tabs>
          <w:tab w:val="left" w:pos="1205"/>
        </w:tabs>
        <w:spacing w:before="38" w:after="0" w:line="360" w:lineRule="auto"/>
        <w:ind w:left="1204" w:right="0" w:hanging="684"/>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合同协议书：指买方和卖方共同签署的合同协议书。</w:t>
      </w:r>
    </w:p>
    <w:p w14:paraId="6B5CF5DB">
      <w:pPr>
        <w:pStyle w:val="22"/>
        <w:numPr>
          <w:ilvl w:val="3"/>
          <w:numId w:val="1"/>
        </w:numPr>
        <w:tabs>
          <w:tab w:val="left" w:pos="1205"/>
        </w:tabs>
        <w:spacing w:before="117" w:after="0" w:line="360" w:lineRule="auto"/>
        <w:ind w:left="1204" w:right="0" w:hanging="684"/>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中标通知书：指买方通知卖方中标的函件。</w:t>
      </w:r>
    </w:p>
    <w:p w14:paraId="71F1596D">
      <w:pPr>
        <w:pStyle w:val="22"/>
        <w:numPr>
          <w:ilvl w:val="3"/>
          <w:numId w:val="1"/>
        </w:numPr>
        <w:tabs>
          <w:tab w:val="left" w:pos="1205"/>
        </w:tabs>
        <w:spacing w:before="117" w:after="0" w:line="360" w:lineRule="auto"/>
        <w:ind w:left="1204" w:right="0" w:hanging="684"/>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投标函：指由卖方填写并签署的，名为“投标函”的函件。</w:t>
      </w:r>
    </w:p>
    <w:p w14:paraId="7ED6E5C3">
      <w:pPr>
        <w:pStyle w:val="22"/>
        <w:numPr>
          <w:ilvl w:val="3"/>
          <w:numId w:val="1"/>
        </w:numPr>
        <w:tabs>
          <w:tab w:val="left" w:pos="1205"/>
        </w:tabs>
        <w:spacing w:before="119" w:after="0" w:line="360" w:lineRule="auto"/>
        <w:ind w:left="1204" w:right="0" w:hanging="684"/>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商务和技术偏差表：指卖方投标文件中的商务和技术偏差表。</w:t>
      </w:r>
    </w:p>
    <w:p w14:paraId="48FF9C63">
      <w:pPr>
        <w:pStyle w:val="22"/>
        <w:numPr>
          <w:ilvl w:val="3"/>
          <w:numId w:val="1"/>
        </w:numPr>
        <w:tabs>
          <w:tab w:val="left" w:pos="1205"/>
        </w:tabs>
        <w:spacing w:before="117" w:after="0" w:line="360" w:lineRule="auto"/>
        <w:ind w:left="1204" w:right="0" w:hanging="684"/>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供货要求：指合同文件中名为“供货要求”的文件。</w:t>
      </w:r>
    </w:p>
    <w:p w14:paraId="1A80F357">
      <w:pPr>
        <w:pStyle w:val="22"/>
        <w:numPr>
          <w:ilvl w:val="3"/>
          <w:numId w:val="1"/>
        </w:numPr>
        <w:tabs>
          <w:tab w:val="left" w:pos="1205"/>
        </w:tabs>
        <w:spacing w:before="117" w:after="0" w:line="360" w:lineRule="auto"/>
        <w:ind w:left="100" w:right="213" w:firstLine="420"/>
        <w:jc w:val="left"/>
        <w:rPr>
          <w:color w:val="000000" w:themeColor="text1"/>
          <w:sz w:val="24"/>
          <w:szCs w:val="24"/>
          <w:highlight w:val="none"/>
          <w14:textFill>
            <w14:solidFill>
              <w14:schemeClr w14:val="tx1"/>
            </w14:solidFill>
          </w14:textFill>
        </w:rPr>
      </w:pPr>
      <w:r>
        <w:rPr>
          <w:color w:val="000000" w:themeColor="text1"/>
          <w:spacing w:val="-5"/>
          <w:sz w:val="24"/>
          <w:szCs w:val="24"/>
          <w:highlight w:val="none"/>
          <w14:textFill>
            <w14:solidFill>
              <w14:schemeClr w14:val="tx1"/>
            </w14:solidFill>
          </w14:textFill>
        </w:rPr>
        <w:t>中标设备技术性能指标的详细描述：指卖方投标文件中的投标设备技术性能指标的</w:t>
      </w:r>
      <w:r>
        <w:rPr>
          <w:color w:val="000000" w:themeColor="text1"/>
          <w:spacing w:val="-4"/>
          <w:sz w:val="24"/>
          <w:szCs w:val="24"/>
          <w:highlight w:val="none"/>
          <w14:textFill>
            <w14:solidFill>
              <w14:schemeClr w14:val="tx1"/>
            </w14:solidFill>
          </w14:textFill>
        </w:rPr>
        <w:t>详细描述。</w:t>
      </w:r>
    </w:p>
    <w:p w14:paraId="0577B083">
      <w:pPr>
        <w:pStyle w:val="22"/>
        <w:numPr>
          <w:ilvl w:val="3"/>
          <w:numId w:val="1"/>
        </w:numPr>
        <w:tabs>
          <w:tab w:val="left" w:pos="1205"/>
        </w:tabs>
        <w:spacing w:before="51" w:after="0" w:line="360" w:lineRule="auto"/>
        <w:ind w:left="1204" w:right="0" w:hanging="684"/>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技术服务和质保期服务计划：指卖方投标文件中的技术服务和质保期服务计划。</w:t>
      </w:r>
    </w:p>
    <w:p w14:paraId="6CA553C4">
      <w:pPr>
        <w:pStyle w:val="22"/>
        <w:numPr>
          <w:ilvl w:val="3"/>
          <w:numId w:val="1"/>
        </w:numPr>
        <w:tabs>
          <w:tab w:val="left" w:pos="1205"/>
        </w:tabs>
        <w:spacing w:before="116" w:after="0" w:line="360" w:lineRule="auto"/>
        <w:ind w:left="1204" w:right="0" w:hanging="684"/>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分项报价表：指卖方投标文件中的分项报价表。</w:t>
      </w:r>
    </w:p>
    <w:p w14:paraId="4658E6A0">
      <w:pPr>
        <w:pStyle w:val="22"/>
        <w:numPr>
          <w:ilvl w:val="3"/>
          <w:numId w:val="1"/>
        </w:numPr>
        <w:tabs>
          <w:tab w:val="left" w:pos="1310"/>
        </w:tabs>
        <w:spacing w:before="116" w:after="0" w:line="360" w:lineRule="auto"/>
        <w:ind w:left="1310" w:right="0" w:hanging="790"/>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其他合同文件：指经合同双方当事人确认构成合同文件的其他文件。</w:t>
      </w:r>
    </w:p>
    <w:p w14:paraId="1730CBB1">
      <w:pPr>
        <w:pStyle w:val="5"/>
        <w:numPr>
          <w:ilvl w:val="2"/>
          <w:numId w:val="2"/>
        </w:numPr>
        <w:tabs>
          <w:tab w:val="left" w:pos="1049"/>
        </w:tabs>
        <w:spacing w:before="49" w:after="0" w:line="360" w:lineRule="auto"/>
        <w:ind w:left="1048" w:right="0" w:hanging="526"/>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合同当事人</w:t>
      </w:r>
    </w:p>
    <w:p w14:paraId="2CFB7907">
      <w:pPr>
        <w:pStyle w:val="22"/>
        <w:numPr>
          <w:ilvl w:val="3"/>
          <w:numId w:val="2"/>
        </w:numPr>
        <w:tabs>
          <w:tab w:val="left" w:pos="1205"/>
        </w:tabs>
        <w:spacing w:before="109" w:after="0" w:line="360" w:lineRule="auto"/>
        <w:ind w:left="100" w:right="0" w:firstLine="420"/>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合同当事人：指买方和（</w:t>
      </w:r>
      <w:r>
        <w:rPr>
          <w:color w:val="000000" w:themeColor="text1"/>
          <w:sz w:val="24"/>
          <w:szCs w:val="24"/>
          <w:highlight w:val="none"/>
          <w14:textFill>
            <w14:solidFill>
              <w14:schemeClr w14:val="tx1"/>
            </w14:solidFill>
          </w14:textFill>
        </w:rPr>
        <w:t>或</w:t>
      </w:r>
      <w:r>
        <w:rPr>
          <w:color w:val="000000" w:themeColor="text1"/>
          <w:spacing w:val="-3"/>
          <w:sz w:val="24"/>
          <w:szCs w:val="24"/>
          <w:highlight w:val="none"/>
          <w14:textFill>
            <w14:solidFill>
              <w14:schemeClr w14:val="tx1"/>
            </w14:solidFill>
          </w14:textFill>
        </w:rPr>
        <w:t>）</w:t>
      </w:r>
      <w:r>
        <w:rPr>
          <w:color w:val="000000" w:themeColor="text1"/>
          <w:spacing w:val="-2"/>
          <w:sz w:val="24"/>
          <w:szCs w:val="24"/>
          <w:highlight w:val="none"/>
          <w14:textFill>
            <w14:solidFill>
              <w14:schemeClr w14:val="tx1"/>
            </w14:solidFill>
          </w14:textFill>
        </w:rPr>
        <w:t>卖方。</w:t>
      </w:r>
    </w:p>
    <w:p w14:paraId="6DC6190D">
      <w:pPr>
        <w:pStyle w:val="22"/>
        <w:numPr>
          <w:ilvl w:val="3"/>
          <w:numId w:val="2"/>
        </w:numPr>
        <w:tabs>
          <w:tab w:val="left" w:pos="1205"/>
        </w:tabs>
        <w:spacing w:before="119" w:after="0" w:line="360" w:lineRule="auto"/>
        <w:ind w:left="100" w:right="106" w:firstLine="420"/>
        <w:jc w:val="left"/>
        <w:rPr>
          <w:color w:val="000000" w:themeColor="text1"/>
          <w:sz w:val="24"/>
          <w:szCs w:val="24"/>
          <w:highlight w:val="none"/>
          <w14:textFill>
            <w14:solidFill>
              <w14:schemeClr w14:val="tx1"/>
            </w14:solidFill>
          </w14:textFill>
        </w:rPr>
      </w:pPr>
      <w:r>
        <w:rPr>
          <w:color w:val="000000" w:themeColor="text1"/>
          <w:spacing w:val="-13"/>
          <w:sz w:val="24"/>
          <w:szCs w:val="24"/>
          <w:highlight w:val="none"/>
          <w14:textFill>
            <w14:solidFill>
              <w14:schemeClr w14:val="tx1"/>
            </w14:solidFill>
          </w14:textFill>
        </w:rPr>
        <w:t xml:space="preserve">买方：指与卖方签订合同协议书，购买合同设备和技术服务和质保期服务的当事人， </w:t>
      </w:r>
      <w:r>
        <w:rPr>
          <w:color w:val="000000" w:themeColor="text1"/>
          <w:spacing w:val="-3"/>
          <w:sz w:val="24"/>
          <w:szCs w:val="24"/>
          <w:highlight w:val="none"/>
          <w14:textFill>
            <w14:solidFill>
              <w14:schemeClr w14:val="tx1"/>
            </w14:solidFill>
          </w14:textFill>
        </w:rPr>
        <w:t>及其合法继承人。</w:t>
      </w:r>
    </w:p>
    <w:p w14:paraId="35FA4649">
      <w:pPr>
        <w:pStyle w:val="22"/>
        <w:numPr>
          <w:ilvl w:val="3"/>
          <w:numId w:val="2"/>
        </w:numPr>
        <w:tabs>
          <w:tab w:val="left" w:pos="1205"/>
        </w:tabs>
        <w:spacing w:before="48" w:after="0" w:line="360" w:lineRule="auto"/>
        <w:ind w:left="100" w:right="105" w:firstLine="420"/>
        <w:jc w:val="left"/>
        <w:rPr>
          <w:color w:val="000000" w:themeColor="text1"/>
          <w:sz w:val="24"/>
          <w:szCs w:val="24"/>
          <w:highlight w:val="none"/>
          <w14:textFill>
            <w14:solidFill>
              <w14:schemeClr w14:val="tx1"/>
            </w14:solidFill>
          </w14:textFill>
        </w:rPr>
      </w:pPr>
      <w:r>
        <w:rPr>
          <w:color w:val="000000" w:themeColor="text1"/>
          <w:spacing w:val="-13"/>
          <w:sz w:val="24"/>
          <w:szCs w:val="24"/>
          <w:highlight w:val="none"/>
          <w14:textFill>
            <w14:solidFill>
              <w14:schemeClr w14:val="tx1"/>
            </w14:solidFill>
          </w14:textFill>
        </w:rPr>
        <w:t xml:space="preserve">卖方：指与买方签订合同协议书，提供合同设备和技术服务和质保期服务的当事人， </w:t>
      </w:r>
      <w:r>
        <w:rPr>
          <w:color w:val="000000" w:themeColor="text1"/>
          <w:spacing w:val="-3"/>
          <w:sz w:val="24"/>
          <w:szCs w:val="24"/>
          <w:highlight w:val="none"/>
          <w14:textFill>
            <w14:solidFill>
              <w14:schemeClr w14:val="tx1"/>
            </w14:solidFill>
          </w14:textFill>
        </w:rPr>
        <w:t>及其合法继承人。</w:t>
      </w:r>
    </w:p>
    <w:p w14:paraId="35D6F645">
      <w:pPr>
        <w:pStyle w:val="5"/>
        <w:numPr>
          <w:ilvl w:val="2"/>
          <w:numId w:val="3"/>
        </w:numPr>
        <w:tabs>
          <w:tab w:val="left" w:pos="1049"/>
        </w:tabs>
        <w:spacing w:before="0" w:after="0" w:line="360" w:lineRule="auto"/>
        <w:ind w:left="1048" w:right="0" w:hanging="526"/>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合同价格</w:t>
      </w:r>
    </w:p>
    <w:p w14:paraId="7B672D15">
      <w:pPr>
        <w:pStyle w:val="22"/>
        <w:numPr>
          <w:ilvl w:val="3"/>
          <w:numId w:val="3"/>
        </w:numPr>
        <w:tabs>
          <w:tab w:val="left" w:pos="1205"/>
        </w:tabs>
        <w:spacing w:before="112" w:after="0" w:line="360" w:lineRule="auto"/>
        <w:ind w:left="1204" w:right="0" w:hanging="684"/>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签约合同价：是签订合同时合同协议书中写明的合同总金额。</w:t>
      </w:r>
    </w:p>
    <w:p w14:paraId="3A8BC8F7">
      <w:pPr>
        <w:pStyle w:val="22"/>
        <w:numPr>
          <w:ilvl w:val="3"/>
          <w:numId w:val="3"/>
        </w:numPr>
        <w:tabs>
          <w:tab w:val="left" w:pos="1205"/>
        </w:tabs>
        <w:spacing w:before="117" w:after="0" w:line="360" w:lineRule="auto"/>
        <w:ind w:left="1204" w:right="0" w:hanging="684"/>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合同价格：指卖方按合同约定履行了全部合同义务后，买方应付给卖方的金额。</w:t>
      </w:r>
    </w:p>
    <w:p w14:paraId="370002A5">
      <w:pPr>
        <w:pStyle w:val="22"/>
        <w:numPr>
          <w:ilvl w:val="2"/>
          <w:numId w:val="4"/>
        </w:numPr>
        <w:tabs>
          <w:tab w:val="left" w:pos="1046"/>
        </w:tabs>
        <w:spacing w:before="117" w:after="0" w:line="360" w:lineRule="auto"/>
        <w:ind w:left="100" w:right="0"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18"/>
          <w:sz w:val="24"/>
          <w:szCs w:val="24"/>
          <w:highlight w:val="none"/>
          <w14:textFill>
            <w14:solidFill>
              <w14:schemeClr w14:val="tx1"/>
            </w14:solidFill>
          </w14:textFill>
        </w:rPr>
        <w:t>合同设备：指卖方按合同约定应向买方提供的设备、装置、备品、备件、易损易耗件、</w:t>
      </w:r>
    </w:p>
    <w:p w14:paraId="082E6D2A">
      <w:pPr>
        <w:spacing w:after="0" w:line="360" w:lineRule="auto"/>
        <w:jc w:val="left"/>
        <w:rPr>
          <w:rFonts w:ascii="Times New Roman" w:eastAsia="Times New Roman"/>
          <w:color w:val="000000" w:themeColor="text1"/>
          <w:sz w:val="24"/>
          <w:szCs w:val="24"/>
          <w:highlight w:val="none"/>
          <w14:textFill>
            <w14:solidFill>
              <w14:schemeClr w14:val="tx1"/>
            </w14:solidFill>
          </w14:textFill>
        </w:rPr>
        <w:sectPr>
          <w:pgSz w:w="12240" w:h="15840"/>
          <w:pgMar w:top="1400" w:right="1580" w:bottom="1120" w:left="1700" w:header="0" w:footer="921" w:gutter="0"/>
          <w:cols w:space="720" w:num="1"/>
        </w:sectPr>
      </w:pPr>
    </w:p>
    <w:p w14:paraId="5E0A091B">
      <w:pPr>
        <w:pStyle w:val="7"/>
        <w:spacing w:before="6" w:line="360" w:lineRule="auto"/>
        <w:ind w:left="1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配套使用的软件或其他辅助电子应用程序及技术资料，或其中任何一部分。</w:t>
      </w:r>
    </w:p>
    <w:p w14:paraId="3B7F578B">
      <w:pPr>
        <w:pStyle w:val="22"/>
        <w:numPr>
          <w:ilvl w:val="2"/>
          <w:numId w:val="4"/>
        </w:numPr>
        <w:tabs>
          <w:tab w:val="left" w:pos="1049"/>
        </w:tabs>
        <w:spacing w:before="133" w:after="0" w:line="360" w:lineRule="auto"/>
        <w:ind w:left="100" w:right="109"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技术资料：指各种纸质及电子载体的与合同设备的设计、检验、安装、调试、考核、操作、维修以及保养等有关的技术指标、规格、图纸和说明文件。</w:t>
      </w:r>
    </w:p>
    <w:p w14:paraId="78E0F301">
      <w:pPr>
        <w:pStyle w:val="22"/>
        <w:numPr>
          <w:ilvl w:val="2"/>
          <w:numId w:val="4"/>
        </w:numPr>
        <w:tabs>
          <w:tab w:val="left" w:pos="1046"/>
        </w:tabs>
        <w:spacing w:before="51" w:after="0" w:line="360" w:lineRule="auto"/>
        <w:ind w:left="100" w:right="211"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11"/>
          <w:sz w:val="24"/>
          <w:szCs w:val="24"/>
          <w:highlight w:val="none"/>
          <w14:textFill>
            <w14:solidFill>
              <w14:schemeClr w14:val="tx1"/>
            </w14:solidFill>
          </w14:textFill>
        </w:rPr>
        <w:t>安装：指对合同设备进行的组装、连接以及根据需要将合同设备固定在施工场地内一</w:t>
      </w:r>
      <w:r>
        <w:rPr>
          <w:color w:val="000000" w:themeColor="text1"/>
          <w:spacing w:val="-6"/>
          <w:sz w:val="24"/>
          <w:szCs w:val="24"/>
          <w:highlight w:val="none"/>
          <w14:textFill>
            <w14:solidFill>
              <w14:schemeClr w14:val="tx1"/>
            </w14:solidFill>
          </w14:textFill>
        </w:rPr>
        <w:t>定的位置上，使其就位并与相关设备、工程实现连接。</w:t>
      </w:r>
    </w:p>
    <w:p w14:paraId="6B056C6E">
      <w:pPr>
        <w:pStyle w:val="22"/>
        <w:numPr>
          <w:ilvl w:val="2"/>
          <w:numId w:val="4"/>
        </w:numPr>
        <w:tabs>
          <w:tab w:val="left" w:pos="1046"/>
        </w:tabs>
        <w:spacing w:before="48" w:after="0" w:line="360" w:lineRule="auto"/>
        <w:ind w:left="1046" w:right="0" w:hanging="526"/>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调试：指在合同设备安装完成后，对合同设备所进行的调校和测试。</w:t>
      </w:r>
    </w:p>
    <w:p w14:paraId="0A74837F">
      <w:pPr>
        <w:pStyle w:val="22"/>
        <w:numPr>
          <w:ilvl w:val="2"/>
          <w:numId w:val="4"/>
        </w:numPr>
        <w:tabs>
          <w:tab w:val="left" w:pos="1046"/>
        </w:tabs>
        <w:spacing w:before="117" w:after="0" w:line="360" w:lineRule="auto"/>
        <w:ind w:left="100" w:right="211"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11"/>
          <w:sz w:val="24"/>
          <w:szCs w:val="24"/>
          <w:highlight w:val="none"/>
          <w14:textFill>
            <w14:solidFill>
              <w14:schemeClr w14:val="tx1"/>
            </w14:solidFill>
          </w14:textFill>
        </w:rPr>
        <w:t>考核：指在合同设备调试完成后，对合同设备进行的用于确定其是否达到合同约定的</w:t>
      </w:r>
      <w:r>
        <w:rPr>
          <w:color w:val="000000" w:themeColor="text1"/>
          <w:spacing w:val="-6"/>
          <w:sz w:val="24"/>
          <w:szCs w:val="24"/>
          <w:highlight w:val="none"/>
          <w14:textFill>
            <w14:solidFill>
              <w14:schemeClr w14:val="tx1"/>
            </w14:solidFill>
          </w14:textFill>
        </w:rPr>
        <w:t>技术性能考核指标的考核。</w:t>
      </w:r>
    </w:p>
    <w:p w14:paraId="2D5AD770">
      <w:pPr>
        <w:pStyle w:val="22"/>
        <w:numPr>
          <w:ilvl w:val="2"/>
          <w:numId w:val="4"/>
        </w:numPr>
        <w:tabs>
          <w:tab w:val="left" w:pos="1046"/>
        </w:tabs>
        <w:spacing w:before="47" w:after="0" w:line="360" w:lineRule="auto"/>
        <w:ind w:left="100" w:right="211"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10"/>
          <w:sz w:val="24"/>
          <w:szCs w:val="24"/>
          <w:highlight w:val="none"/>
          <w14:textFill>
            <w14:solidFill>
              <w14:schemeClr w14:val="tx1"/>
            </w14:solidFill>
          </w14:textFill>
        </w:rPr>
        <w:t>验收：指合同设备通过考核达到合同约定的技术性能考核指标后，买方作出接受合同</w:t>
      </w:r>
      <w:r>
        <w:rPr>
          <w:color w:val="000000" w:themeColor="text1"/>
          <w:spacing w:val="-5"/>
          <w:sz w:val="24"/>
          <w:szCs w:val="24"/>
          <w:highlight w:val="none"/>
          <w14:textFill>
            <w14:solidFill>
              <w14:schemeClr w14:val="tx1"/>
            </w14:solidFill>
          </w14:textFill>
        </w:rPr>
        <w:t>设备的确认。</w:t>
      </w:r>
    </w:p>
    <w:p w14:paraId="67E7DDE8">
      <w:pPr>
        <w:pStyle w:val="22"/>
        <w:numPr>
          <w:ilvl w:val="2"/>
          <w:numId w:val="4"/>
        </w:numPr>
        <w:tabs>
          <w:tab w:val="left" w:pos="1152"/>
        </w:tabs>
        <w:spacing w:before="49" w:after="0" w:line="360" w:lineRule="auto"/>
        <w:ind w:left="100" w:right="211"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15"/>
          <w:sz w:val="24"/>
          <w:szCs w:val="24"/>
          <w:highlight w:val="none"/>
          <w14:textFill>
            <w14:solidFill>
              <w14:schemeClr w14:val="tx1"/>
            </w14:solidFill>
          </w14:textFill>
        </w:rPr>
        <w:t xml:space="preserve">技术服务：指卖方按合同约定，在合同设备验收前，向买方提供的安装、调试服务， </w:t>
      </w:r>
      <w:r>
        <w:rPr>
          <w:color w:val="000000" w:themeColor="text1"/>
          <w:spacing w:val="-7"/>
          <w:sz w:val="24"/>
          <w:szCs w:val="24"/>
          <w:highlight w:val="none"/>
          <w14:textFill>
            <w14:solidFill>
              <w14:schemeClr w14:val="tx1"/>
            </w14:solidFill>
          </w14:textFill>
        </w:rPr>
        <w:t>或者在由买方负责的安装、调试、考核中对买方进行的技术指导、协助、监督和培训等。</w:t>
      </w:r>
    </w:p>
    <w:p w14:paraId="7BFF2F6F">
      <w:pPr>
        <w:pStyle w:val="22"/>
        <w:numPr>
          <w:ilvl w:val="2"/>
          <w:numId w:val="4"/>
        </w:numPr>
        <w:tabs>
          <w:tab w:val="left" w:pos="1147"/>
        </w:tabs>
        <w:spacing w:before="51" w:after="0" w:line="360" w:lineRule="auto"/>
        <w:ind w:left="100" w:right="217"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质量保证期：指合同设备验收后，卖方按合同约定保证合同设备适当、稳定运行， 并负责消除合同设备故障的期限。</w:t>
      </w:r>
    </w:p>
    <w:p w14:paraId="71D0A625">
      <w:pPr>
        <w:pStyle w:val="22"/>
        <w:numPr>
          <w:ilvl w:val="2"/>
          <w:numId w:val="4"/>
        </w:numPr>
        <w:tabs>
          <w:tab w:val="left" w:pos="1152"/>
        </w:tabs>
        <w:spacing w:before="48" w:after="0" w:line="360" w:lineRule="auto"/>
        <w:ind w:left="100" w:right="211"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15"/>
          <w:sz w:val="24"/>
          <w:szCs w:val="24"/>
          <w:highlight w:val="none"/>
          <w14:textFill>
            <w14:solidFill>
              <w14:schemeClr w14:val="tx1"/>
            </w14:solidFill>
          </w14:textFill>
        </w:rPr>
        <w:t>质保期服务：指在质量保证期内，卖方向买方提供的合同设备维护服务、咨询服务、</w:t>
      </w:r>
      <w:r>
        <w:rPr>
          <w:color w:val="000000" w:themeColor="text1"/>
          <w:spacing w:val="-7"/>
          <w:sz w:val="24"/>
          <w:szCs w:val="24"/>
          <w:highlight w:val="none"/>
          <w14:textFill>
            <w14:solidFill>
              <w14:schemeClr w14:val="tx1"/>
            </w14:solidFill>
          </w14:textFill>
        </w:rPr>
        <w:t>技术指导、协助以及对出现故障的合同设备进行修理或更换的服务。</w:t>
      </w:r>
    </w:p>
    <w:p w14:paraId="1CB140A9">
      <w:pPr>
        <w:pStyle w:val="5"/>
        <w:numPr>
          <w:ilvl w:val="2"/>
          <w:numId w:val="4"/>
        </w:numPr>
        <w:tabs>
          <w:tab w:val="left" w:pos="1154"/>
        </w:tabs>
        <w:spacing w:before="0" w:after="0" w:line="360" w:lineRule="auto"/>
        <w:ind w:left="1154" w:right="0" w:hanging="632"/>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工程</w:t>
      </w:r>
    </w:p>
    <w:p w14:paraId="5696D632">
      <w:pPr>
        <w:pStyle w:val="22"/>
        <w:numPr>
          <w:ilvl w:val="3"/>
          <w:numId w:val="4"/>
        </w:numPr>
        <w:tabs>
          <w:tab w:val="left" w:pos="1310"/>
        </w:tabs>
        <w:spacing w:before="112" w:after="0" w:line="360" w:lineRule="auto"/>
        <w:ind w:left="1310" w:right="0" w:hanging="790"/>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工程：指在专用合同条款中指明的，安装运行合同设备的工程。</w:t>
      </w:r>
    </w:p>
    <w:p w14:paraId="212D03D9">
      <w:pPr>
        <w:pStyle w:val="22"/>
        <w:numPr>
          <w:ilvl w:val="3"/>
          <w:numId w:val="4"/>
        </w:numPr>
        <w:tabs>
          <w:tab w:val="left" w:pos="1310"/>
        </w:tabs>
        <w:spacing w:before="117" w:after="0" w:line="360" w:lineRule="auto"/>
        <w:ind w:left="1310" w:right="0" w:hanging="790"/>
        <w:jc w:val="left"/>
        <w:rPr>
          <w:color w:val="000000" w:themeColor="text1"/>
          <w:sz w:val="24"/>
          <w:szCs w:val="24"/>
          <w:highlight w:val="none"/>
          <w14:textFill>
            <w14:solidFill>
              <w14:schemeClr w14:val="tx1"/>
            </w14:solidFill>
          </w14:textFill>
        </w:rPr>
      </w:pPr>
      <w:r>
        <w:rPr>
          <w:color w:val="000000" w:themeColor="text1"/>
          <w:spacing w:val="-3"/>
          <w:w w:val="100"/>
          <w:sz w:val="24"/>
          <w:szCs w:val="24"/>
          <w:highlight w:val="none"/>
          <w14:textFill>
            <w14:solidFill>
              <w14:schemeClr w14:val="tx1"/>
            </w14:solidFill>
          </w14:textFill>
        </w:rPr>
        <w:t>施工场地（或称工地、施工现场</w:t>
      </w:r>
      <w:r>
        <w:rPr>
          <w:color w:val="000000" w:themeColor="text1"/>
          <w:spacing w:val="-106"/>
          <w:w w:val="100"/>
          <w:sz w:val="24"/>
          <w:szCs w:val="24"/>
          <w:highlight w:val="none"/>
          <w14:textFill>
            <w14:solidFill>
              <w14:schemeClr w14:val="tx1"/>
            </w14:solidFill>
          </w14:textFill>
        </w:rPr>
        <w:t>）</w:t>
      </w:r>
      <w:r>
        <w:rPr>
          <w:color w:val="000000" w:themeColor="text1"/>
          <w:spacing w:val="-3"/>
          <w:w w:val="100"/>
          <w:sz w:val="24"/>
          <w:szCs w:val="24"/>
          <w:highlight w:val="none"/>
          <w14:textFill>
            <w14:solidFill>
              <w14:schemeClr w14:val="tx1"/>
            </w14:solidFill>
          </w14:textFill>
        </w:rPr>
        <w:t>：指专用合同条款中指明的工程所在场所。</w:t>
      </w:r>
    </w:p>
    <w:p w14:paraId="608ED9E2">
      <w:pPr>
        <w:pStyle w:val="22"/>
        <w:numPr>
          <w:ilvl w:val="2"/>
          <w:numId w:val="5"/>
        </w:numPr>
        <w:tabs>
          <w:tab w:val="left" w:pos="1152"/>
        </w:tabs>
        <w:spacing w:before="117" w:after="0" w:line="360" w:lineRule="auto"/>
        <w:ind w:left="100" w:right="211" w:firstLine="420"/>
        <w:jc w:val="both"/>
        <w:rPr>
          <w:color w:val="000000" w:themeColor="text1"/>
          <w:sz w:val="24"/>
          <w:szCs w:val="24"/>
          <w:highlight w:val="none"/>
          <w14:textFill>
            <w14:solidFill>
              <w14:schemeClr w14:val="tx1"/>
            </w14:solidFill>
          </w14:textFill>
        </w:rPr>
      </w:pPr>
      <w:r>
        <w:rPr>
          <w:color w:val="000000" w:themeColor="text1"/>
          <w:spacing w:val="-58"/>
          <w:sz w:val="24"/>
          <w:szCs w:val="24"/>
          <w:highlight w:val="none"/>
          <w14:textFill>
            <w14:solidFill>
              <w14:schemeClr w14:val="tx1"/>
            </w14:solidFill>
          </w14:textFill>
        </w:rPr>
        <w:t>天</w:t>
      </w:r>
      <w:r>
        <w:rPr>
          <w:color w:val="000000" w:themeColor="text1"/>
          <w:spacing w:val="-3"/>
          <w:sz w:val="24"/>
          <w:szCs w:val="24"/>
          <w:highlight w:val="none"/>
          <w14:textFill>
            <w14:solidFill>
              <w14:schemeClr w14:val="tx1"/>
            </w14:solidFill>
          </w14:textFill>
        </w:rPr>
        <w:t>（</w:t>
      </w:r>
      <w:r>
        <w:rPr>
          <w:color w:val="000000" w:themeColor="text1"/>
          <w:spacing w:val="-2"/>
          <w:sz w:val="24"/>
          <w:szCs w:val="24"/>
          <w:highlight w:val="none"/>
          <w14:textFill>
            <w14:solidFill>
              <w14:schemeClr w14:val="tx1"/>
            </w14:solidFill>
          </w14:textFill>
        </w:rPr>
        <w:t>或称日</w:t>
      </w:r>
      <w:r>
        <w:rPr>
          <w:color w:val="000000" w:themeColor="text1"/>
          <w:spacing w:val="-83"/>
          <w:sz w:val="24"/>
          <w:szCs w:val="24"/>
          <w:highlight w:val="none"/>
          <w14:textFill>
            <w14:solidFill>
              <w14:schemeClr w14:val="tx1"/>
            </w14:solidFill>
          </w14:textFill>
        </w:rPr>
        <w:t>）</w:t>
      </w:r>
      <w:r>
        <w:rPr>
          <w:color w:val="000000" w:themeColor="text1"/>
          <w:spacing w:val="-18"/>
          <w:sz w:val="24"/>
          <w:szCs w:val="24"/>
          <w:highlight w:val="none"/>
          <w14:textFill>
            <w14:solidFill>
              <w14:schemeClr w14:val="tx1"/>
            </w14:solidFill>
          </w14:textFill>
        </w:rPr>
        <w:t xml:space="preserve">：除特别指明外，指日历天。合同中按天计算时间的，开始当天不计入， </w:t>
      </w:r>
      <w:r>
        <w:rPr>
          <w:color w:val="000000" w:themeColor="text1"/>
          <w:spacing w:val="-12"/>
          <w:sz w:val="24"/>
          <w:szCs w:val="24"/>
          <w:highlight w:val="none"/>
          <w14:textFill>
            <w14:solidFill>
              <w14:schemeClr w14:val="tx1"/>
            </w14:solidFill>
          </w14:textFill>
        </w:rPr>
        <w:t>从次日开始计算。合同约定的期间的最后一天是星期日或者其他法定休假日的，以休假日的次</w:t>
      </w:r>
      <w:r>
        <w:rPr>
          <w:color w:val="000000" w:themeColor="text1"/>
          <w:spacing w:val="-6"/>
          <w:sz w:val="24"/>
          <w:szCs w:val="24"/>
          <w:highlight w:val="none"/>
          <w14:textFill>
            <w14:solidFill>
              <w14:schemeClr w14:val="tx1"/>
            </w14:solidFill>
          </w14:textFill>
        </w:rPr>
        <w:t>日为期间的最后一天。</w:t>
      </w:r>
    </w:p>
    <w:p w14:paraId="315E73FB">
      <w:pPr>
        <w:pStyle w:val="22"/>
        <w:numPr>
          <w:ilvl w:val="2"/>
          <w:numId w:val="5"/>
        </w:numPr>
        <w:tabs>
          <w:tab w:val="left" w:pos="1152"/>
        </w:tabs>
        <w:spacing w:before="39" w:after="0" w:line="360" w:lineRule="auto"/>
        <w:ind w:left="100" w:right="211" w:firstLine="420"/>
        <w:jc w:val="both"/>
        <w:rPr>
          <w:color w:val="000000" w:themeColor="text1"/>
          <w:sz w:val="24"/>
          <w:szCs w:val="24"/>
          <w:highlight w:val="none"/>
          <w14:textFill>
            <w14:solidFill>
              <w14:schemeClr w14:val="tx1"/>
            </w14:solidFill>
          </w14:textFill>
        </w:rPr>
      </w:pPr>
      <w:r>
        <w:rPr>
          <w:color w:val="000000" w:themeColor="text1"/>
          <w:spacing w:val="-15"/>
          <w:sz w:val="24"/>
          <w:szCs w:val="24"/>
          <w:highlight w:val="none"/>
          <w14:textFill>
            <w14:solidFill>
              <w14:schemeClr w14:val="tx1"/>
            </w14:solidFill>
          </w14:textFill>
        </w:rPr>
        <w:t>月：按照公历月计算。合同中按月计算时间的，开始当天不计入，从次日开始计算。</w:t>
      </w:r>
      <w:r>
        <w:rPr>
          <w:color w:val="000000" w:themeColor="text1"/>
          <w:spacing w:val="-11"/>
          <w:sz w:val="24"/>
          <w:szCs w:val="24"/>
          <w:highlight w:val="none"/>
          <w14:textFill>
            <w14:solidFill>
              <w14:schemeClr w14:val="tx1"/>
            </w14:solidFill>
          </w14:textFill>
        </w:rPr>
        <w:t>合同约定的期间的最后一天是星期日或者其他法定休假日的，以休假日的次日为期间的最后一天。</w:t>
      </w:r>
    </w:p>
    <w:p w14:paraId="2F23A19A">
      <w:pPr>
        <w:pStyle w:val="22"/>
        <w:numPr>
          <w:ilvl w:val="2"/>
          <w:numId w:val="5"/>
        </w:numPr>
        <w:tabs>
          <w:tab w:val="left" w:pos="1154"/>
        </w:tabs>
        <w:spacing w:before="40" w:after="0" w:line="360" w:lineRule="auto"/>
        <w:ind w:left="100" w:right="214" w:firstLine="420"/>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书面形式：指合同文件、信件和数据电文（</w:t>
      </w:r>
      <w:r>
        <w:rPr>
          <w:color w:val="000000" w:themeColor="text1"/>
          <w:spacing w:val="-2"/>
          <w:sz w:val="24"/>
          <w:szCs w:val="24"/>
          <w:highlight w:val="none"/>
          <w14:textFill>
            <w14:solidFill>
              <w14:schemeClr w14:val="tx1"/>
            </w14:solidFill>
          </w14:textFill>
        </w:rPr>
        <w:t>包括电报、电传、传真、电子数据交换</w:t>
      </w:r>
      <w:r>
        <w:rPr>
          <w:color w:val="000000" w:themeColor="text1"/>
          <w:spacing w:val="-3"/>
          <w:sz w:val="24"/>
          <w:szCs w:val="24"/>
          <w:highlight w:val="none"/>
          <w14:textFill>
            <w14:solidFill>
              <w14:schemeClr w14:val="tx1"/>
            </w14:solidFill>
          </w14:textFill>
        </w:rPr>
        <w:t>和电子邮件</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等可以有形地表现所载内容的形式。</w:t>
      </w:r>
    </w:p>
    <w:p w14:paraId="3D38BE10">
      <w:pPr>
        <w:pStyle w:val="4"/>
        <w:numPr>
          <w:ilvl w:val="1"/>
          <w:numId w:val="5"/>
        </w:numPr>
        <w:tabs>
          <w:tab w:val="left" w:pos="727"/>
        </w:tabs>
        <w:spacing w:before="0" w:after="0" w:line="360" w:lineRule="auto"/>
        <w:ind w:left="726" w:right="0" w:hanging="489"/>
        <w:jc w:val="left"/>
        <w:rPr>
          <w:rFonts w:ascii="Times New Roman" w:eastAsia="Times New Roman"/>
          <w:color w:val="000000" w:themeColor="text1"/>
          <w:sz w:val="24"/>
          <w:szCs w:val="24"/>
          <w:highlight w:val="none"/>
          <w14:textFill>
            <w14:solidFill>
              <w14:schemeClr w14:val="tx1"/>
            </w14:solidFill>
          </w14:textFill>
        </w:rPr>
      </w:pPr>
      <w:bookmarkStart w:id="5" w:name="_bookmark107"/>
      <w:bookmarkEnd w:id="5"/>
      <w:bookmarkStart w:id="6" w:name="_bookmark107"/>
      <w:bookmarkEnd w:id="6"/>
      <w:r>
        <w:rPr>
          <w:color w:val="000000" w:themeColor="text1"/>
          <w:sz w:val="24"/>
          <w:szCs w:val="24"/>
          <w:highlight w:val="none"/>
          <w14:textFill>
            <w14:solidFill>
              <w14:schemeClr w14:val="tx1"/>
            </w14:solidFill>
          </w14:textFill>
        </w:rPr>
        <w:t>语言文字</w:t>
      </w:r>
    </w:p>
    <w:p w14:paraId="08E26081">
      <w:pPr>
        <w:pStyle w:val="7"/>
        <w:keepNext w:val="0"/>
        <w:keepLines w:val="0"/>
        <w:pageBreakBefore w:val="0"/>
        <w:widowControl w:val="0"/>
        <w:kinsoku/>
        <w:wordWrap/>
        <w:overflowPunct/>
        <w:topLinePunct w:val="0"/>
        <w:autoSpaceDE/>
        <w:autoSpaceDN/>
        <w:bidi w:val="0"/>
        <w:adjustRightInd/>
        <w:snapToGrid/>
        <w:spacing w:line="360" w:lineRule="auto"/>
        <w:ind w:left="522"/>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合同使用的语言文字为中文。专用术语使用外文的，应附有中文注释。</w:t>
      </w:r>
    </w:p>
    <w:p w14:paraId="45B25783">
      <w:pPr>
        <w:pStyle w:val="4"/>
        <w:numPr>
          <w:ilvl w:val="1"/>
          <w:numId w:val="5"/>
        </w:numPr>
        <w:tabs>
          <w:tab w:val="left" w:pos="658"/>
        </w:tabs>
        <w:spacing w:before="0" w:after="0" w:line="360" w:lineRule="auto"/>
        <w:ind w:left="657" w:right="0" w:hanging="420"/>
        <w:jc w:val="left"/>
        <w:rPr>
          <w:rFonts w:ascii="Times New Roman" w:eastAsia="Times New Roman"/>
          <w:color w:val="000000" w:themeColor="text1"/>
          <w:sz w:val="24"/>
          <w:szCs w:val="24"/>
          <w:highlight w:val="none"/>
          <w14:textFill>
            <w14:solidFill>
              <w14:schemeClr w14:val="tx1"/>
            </w14:solidFill>
          </w14:textFill>
        </w:rPr>
      </w:pPr>
      <w:bookmarkStart w:id="7" w:name="_bookmark108"/>
      <w:bookmarkEnd w:id="7"/>
      <w:bookmarkStart w:id="8" w:name="_bookmark108"/>
      <w:bookmarkEnd w:id="8"/>
      <w:r>
        <w:rPr>
          <w:color w:val="000000" w:themeColor="text1"/>
          <w:spacing w:val="-2"/>
          <w:sz w:val="24"/>
          <w:szCs w:val="24"/>
          <w:highlight w:val="none"/>
          <w14:textFill>
            <w14:solidFill>
              <w14:schemeClr w14:val="tx1"/>
            </w14:solidFill>
          </w14:textFill>
        </w:rPr>
        <w:t>合同文件的优先顺序</w:t>
      </w:r>
    </w:p>
    <w:p w14:paraId="4139741E">
      <w:pPr>
        <w:pStyle w:val="7"/>
        <w:spacing w:before="248" w:line="360" w:lineRule="auto"/>
        <w:ind w:left="100" w:firstLine="419"/>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组成合同的各项文件应互相解释，互为说明。除专用合同条款另有约定外，解释合同文件的优先顺序如下：</w:t>
      </w:r>
    </w:p>
    <w:p w14:paraId="69C50B86">
      <w:pPr>
        <w:pStyle w:val="7"/>
        <w:spacing w:before="32"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1</w:t>
      </w:r>
      <w:r>
        <w:rPr>
          <w:color w:val="000000" w:themeColor="text1"/>
          <w:sz w:val="24"/>
          <w:szCs w:val="24"/>
          <w:highlight w:val="none"/>
          <w14:textFill>
            <w14:solidFill>
              <w14:schemeClr w14:val="tx1"/>
            </w14:solidFill>
          </w14:textFill>
        </w:rPr>
        <w:t>）合同协议书；</w:t>
      </w:r>
    </w:p>
    <w:p w14:paraId="45B6AA46">
      <w:pPr>
        <w:pStyle w:val="7"/>
        <w:spacing w:before="117"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2</w:t>
      </w:r>
      <w:r>
        <w:rPr>
          <w:color w:val="000000" w:themeColor="text1"/>
          <w:sz w:val="24"/>
          <w:szCs w:val="24"/>
          <w:highlight w:val="none"/>
          <w14:textFill>
            <w14:solidFill>
              <w14:schemeClr w14:val="tx1"/>
            </w14:solidFill>
          </w14:textFill>
        </w:rPr>
        <w:t>）中标通知书；</w:t>
      </w:r>
    </w:p>
    <w:p w14:paraId="764EF980">
      <w:pPr>
        <w:pStyle w:val="7"/>
        <w:spacing w:before="117"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3</w:t>
      </w:r>
      <w:r>
        <w:rPr>
          <w:color w:val="000000" w:themeColor="text1"/>
          <w:sz w:val="24"/>
          <w:szCs w:val="24"/>
          <w:highlight w:val="none"/>
          <w14:textFill>
            <w14:solidFill>
              <w14:schemeClr w14:val="tx1"/>
            </w14:solidFill>
          </w14:textFill>
        </w:rPr>
        <w:t>）投标函；</w:t>
      </w:r>
    </w:p>
    <w:p w14:paraId="33B2DD09">
      <w:pPr>
        <w:pStyle w:val="7"/>
        <w:spacing w:before="120"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4</w:t>
      </w:r>
      <w:r>
        <w:rPr>
          <w:color w:val="000000" w:themeColor="text1"/>
          <w:sz w:val="24"/>
          <w:szCs w:val="24"/>
          <w:highlight w:val="none"/>
          <w14:textFill>
            <w14:solidFill>
              <w14:schemeClr w14:val="tx1"/>
            </w14:solidFill>
          </w14:textFill>
        </w:rPr>
        <w:t>）商务和技术偏差表；</w:t>
      </w:r>
    </w:p>
    <w:p w14:paraId="011DC4C2">
      <w:pPr>
        <w:pStyle w:val="7"/>
        <w:spacing w:before="118"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5</w:t>
      </w:r>
      <w:r>
        <w:rPr>
          <w:color w:val="000000" w:themeColor="text1"/>
          <w:sz w:val="24"/>
          <w:szCs w:val="24"/>
          <w:highlight w:val="none"/>
          <w14:textFill>
            <w14:solidFill>
              <w14:schemeClr w14:val="tx1"/>
            </w14:solidFill>
          </w14:textFill>
        </w:rPr>
        <w:t>）专用合同条款；</w:t>
      </w:r>
    </w:p>
    <w:p w14:paraId="76CE6A6E">
      <w:pPr>
        <w:pStyle w:val="7"/>
        <w:spacing w:before="117"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6</w:t>
      </w:r>
      <w:r>
        <w:rPr>
          <w:color w:val="000000" w:themeColor="text1"/>
          <w:sz w:val="24"/>
          <w:szCs w:val="24"/>
          <w:highlight w:val="none"/>
          <w14:textFill>
            <w14:solidFill>
              <w14:schemeClr w14:val="tx1"/>
            </w14:solidFill>
          </w14:textFill>
        </w:rPr>
        <w:t>）通用合同条款；</w:t>
      </w:r>
    </w:p>
    <w:p w14:paraId="2486B801">
      <w:pPr>
        <w:pStyle w:val="7"/>
        <w:spacing w:before="117"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7</w:t>
      </w:r>
      <w:r>
        <w:rPr>
          <w:color w:val="000000" w:themeColor="text1"/>
          <w:sz w:val="24"/>
          <w:szCs w:val="24"/>
          <w:highlight w:val="none"/>
          <w14:textFill>
            <w14:solidFill>
              <w14:schemeClr w14:val="tx1"/>
            </w14:solidFill>
          </w14:textFill>
        </w:rPr>
        <w:t>）供货要求；</w:t>
      </w:r>
    </w:p>
    <w:p w14:paraId="1C5445D1">
      <w:pPr>
        <w:pStyle w:val="7"/>
        <w:spacing w:before="119"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8</w:t>
      </w:r>
      <w:r>
        <w:rPr>
          <w:color w:val="000000" w:themeColor="text1"/>
          <w:sz w:val="24"/>
          <w:szCs w:val="24"/>
          <w:highlight w:val="none"/>
          <w14:textFill>
            <w14:solidFill>
              <w14:schemeClr w14:val="tx1"/>
            </w14:solidFill>
          </w14:textFill>
        </w:rPr>
        <w:t>）分项报价表；</w:t>
      </w:r>
    </w:p>
    <w:p w14:paraId="20FE2A5F">
      <w:pPr>
        <w:pStyle w:val="7"/>
        <w:spacing w:before="116"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9</w:t>
      </w:r>
      <w:r>
        <w:rPr>
          <w:color w:val="000000" w:themeColor="text1"/>
          <w:sz w:val="24"/>
          <w:szCs w:val="24"/>
          <w:highlight w:val="none"/>
          <w14:textFill>
            <w14:solidFill>
              <w14:schemeClr w14:val="tx1"/>
            </w14:solidFill>
          </w14:textFill>
        </w:rPr>
        <w:t>）中标设备技术性能指标的详细描述；</w:t>
      </w:r>
    </w:p>
    <w:p w14:paraId="06080040">
      <w:pPr>
        <w:pStyle w:val="7"/>
        <w:spacing w:before="116"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10</w:t>
      </w:r>
      <w:r>
        <w:rPr>
          <w:color w:val="000000" w:themeColor="text1"/>
          <w:sz w:val="24"/>
          <w:szCs w:val="24"/>
          <w:highlight w:val="none"/>
          <w14:textFill>
            <w14:solidFill>
              <w14:schemeClr w14:val="tx1"/>
            </w14:solidFill>
          </w14:textFill>
        </w:rPr>
        <w:t>）技术服务和质保期服务计划；</w:t>
      </w:r>
    </w:p>
    <w:p w14:paraId="153CB3D2">
      <w:pPr>
        <w:pStyle w:val="7"/>
        <w:spacing w:before="116"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11</w:t>
      </w:r>
      <w:r>
        <w:rPr>
          <w:color w:val="000000" w:themeColor="text1"/>
          <w:sz w:val="24"/>
          <w:szCs w:val="24"/>
          <w:highlight w:val="none"/>
          <w14:textFill>
            <w14:solidFill>
              <w14:schemeClr w14:val="tx1"/>
            </w14:solidFill>
          </w14:textFill>
        </w:rPr>
        <w:t>）其他合同文件。</w:t>
      </w:r>
    </w:p>
    <w:p w14:paraId="4DBF3EA6">
      <w:pPr>
        <w:pStyle w:val="7"/>
        <w:spacing w:before="10" w:line="360" w:lineRule="auto"/>
        <w:rPr>
          <w:color w:val="000000" w:themeColor="text1"/>
          <w:sz w:val="24"/>
          <w:szCs w:val="24"/>
          <w:highlight w:val="none"/>
          <w14:textFill>
            <w14:solidFill>
              <w14:schemeClr w14:val="tx1"/>
            </w14:solidFill>
          </w14:textFill>
        </w:rPr>
      </w:pPr>
    </w:p>
    <w:p w14:paraId="710D7ADA">
      <w:pPr>
        <w:pStyle w:val="4"/>
        <w:numPr>
          <w:ilvl w:val="1"/>
          <w:numId w:val="5"/>
        </w:numPr>
        <w:tabs>
          <w:tab w:val="left" w:pos="727"/>
        </w:tabs>
        <w:spacing w:before="0" w:after="0" w:line="360" w:lineRule="auto"/>
        <w:ind w:left="726" w:right="0" w:hanging="489"/>
        <w:jc w:val="left"/>
        <w:rPr>
          <w:rFonts w:ascii="Times New Roman" w:eastAsia="Times New Roman"/>
          <w:color w:val="000000" w:themeColor="text1"/>
          <w:sz w:val="24"/>
          <w:szCs w:val="24"/>
          <w:highlight w:val="none"/>
          <w14:textFill>
            <w14:solidFill>
              <w14:schemeClr w14:val="tx1"/>
            </w14:solidFill>
          </w14:textFill>
        </w:rPr>
      </w:pPr>
      <w:bookmarkStart w:id="9" w:name="_bookmark109"/>
      <w:bookmarkEnd w:id="9"/>
      <w:bookmarkStart w:id="10" w:name="_bookmark109"/>
      <w:bookmarkEnd w:id="10"/>
      <w:r>
        <w:rPr>
          <w:color w:val="000000" w:themeColor="text1"/>
          <w:spacing w:val="-2"/>
          <w:sz w:val="24"/>
          <w:szCs w:val="24"/>
          <w:highlight w:val="none"/>
          <w14:textFill>
            <w14:solidFill>
              <w14:schemeClr w14:val="tx1"/>
            </w14:solidFill>
          </w14:textFill>
        </w:rPr>
        <w:t>合同的生效及变更</w:t>
      </w:r>
    </w:p>
    <w:p w14:paraId="20D1D85A">
      <w:pPr>
        <w:pStyle w:val="22"/>
        <w:numPr>
          <w:ilvl w:val="2"/>
          <w:numId w:val="6"/>
        </w:numPr>
        <w:tabs>
          <w:tab w:val="left" w:pos="1046"/>
        </w:tabs>
        <w:spacing w:before="247" w:after="0" w:line="360" w:lineRule="auto"/>
        <w:ind w:left="100" w:right="113" w:firstLine="420"/>
        <w:jc w:val="left"/>
        <w:rPr>
          <w:color w:val="000000" w:themeColor="text1"/>
          <w:sz w:val="24"/>
          <w:szCs w:val="24"/>
          <w:highlight w:val="none"/>
          <w14:textFill>
            <w14:solidFill>
              <w14:schemeClr w14:val="tx1"/>
            </w14:solidFill>
          </w14:textFill>
        </w:rPr>
      </w:pPr>
      <w:r>
        <w:rPr>
          <w:color w:val="000000" w:themeColor="text1"/>
          <w:spacing w:val="-6"/>
          <w:sz w:val="24"/>
          <w:szCs w:val="24"/>
          <w:highlight w:val="none"/>
          <w14:textFill>
            <w14:solidFill>
              <w14:schemeClr w14:val="tx1"/>
            </w14:solidFill>
          </w14:textFill>
        </w:rPr>
        <w:t>除专用合同条款另有约定外，买方和卖方的法定代表人</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单位负责人</w:t>
      </w:r>
      <w:r>
        <w:rPr>
          <w:color w:val="000000" w:themeColor="text1"/>
          <w:spacing w:val="-27"/>
          <w:sz w:val="24"/>
          <w:szCs w:val="24"/>
          <w:highlight w:val="none"/>
          <w14:textFill>
            <w14:solidFill>
              <w14:schemeClr w14:val="tx1"/>
            </w14:solidFill>
          </w14:textFill>
        </w:rPr>
        <w:t>）</w:t>
      </w:r>
      <w:r>
        <w:rPr>
          <w:color w:val="000000" w:themeColor="text1"/>
          <w:spacing w:val="-2"/>
          <w:sz w:val="24"/>
          <w:szCs w:val="24"/>
          <w:highlight w:val="none"/>
          <w14:textFill>
            <w14:solidFill>
              <w14:schemeClr w14:val="tx1"/>
            </w14:solidFill>
          </w14:textFill>
        </w:rPr>
        <w:t>或其授权代表</w:t>
      </w:r>
      <w:r>
        <w:rPr>
          <w:color w:val="000000" w:themeColor="text1"/>
          <w:spacing w:val="-3"/>
          <w:sz w:val="24"/>
          <w:szCs w:val="24"/>
          <w:highlight w:val="none"/>
          <w14:textFill>
            <w14:solidFill>
              <w14:schemeClr w14:val="tx1"/>
            </w14:solidFill>
          </w14:textFill>
        </w:rPr>
        <w:t>在合同协议书上签字并加盖单位章后，合同生效。</w:t>
      </w:r>
    </w:p>
    <w:p w14:paraId="3EA0A82E">
      <w:pPr>
        <w:pStyle w:val="22"/>
        <w:numPr>
          <w:ilvl w:val="2"/>
          <w:numId w:val="6"/>
        </w:numPr>
        <w:tabs>
          <w:tab w:val="left" w:pos="1046"/>
        </w:tabs>
        <w:spacing w:before="46" w:after="0" w:line="360" w:lineRule="auto"/>
        <w:ind w:left="100" w:right="113" w:firstLine="420"/>
        <w:jc w:val="left"/>
        <w:rPr>
          <w:color w:val="000000" w:themeColor="text1"/>
          <w:sz w:val="24"/>
          <w:szCs w:val="24"/>
          <w:highlight w:val="none"/>
          <w14:textFill>
            <w14:solidFill>
              <w14:schemeClr w14:val="tx1"/>
            </w14:solidFill>
          </w14:textFill>
        </w:rPr>
      </w:pPr>
      <w:r>
        <w:rPr>
          <w:color w:val="000000" w:themeColor="text1"/>
          <w:spacing w:val="-7"/>
          <w:sz w:val="24"/>
          <w:szCs w:val="24"/>
          <w:highlight w:val="none"/>
          <w14:textFill>
            <w14:solidFill>
              <w14:schemeClr w14:val="tx1"/>
            </w14:solidFill>
          </w14:textFill>
        </w:rPr>
        <w:t>除专用合同条款另有约定外，在合同履行过程中，如需对合同进行变更，双方应签订</w:t>
      </w:r>
      <w:r>
        <w:rPr>
          <w:color w:val="000000" w:themeColor="text1"/>
          <w:spacing w:val="-3"/>
          <w:sz w:val="24"/>
          <w:szCs w:val="24"/>
          <w:highlight w:val="none"/>
          <w14:textFill>
            <w14:solidFill>
              <w14:schemeClr w14:val="tx1"/>
            </w14:solidFill>
          </w14:textFill>
        </w:rPr>
        <w:t>书面协议，并经双方法定代表人</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单位负责人</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或其授权代表签字并加盖单位章后生效。</w:t>
      </w:r>
    </w:p>
    <w:p w14:paraId="571D264C">
      <w:pPr>
        <w:pStyle w:val="4"/>
        <w:numPr>
          <w:ilvl w:val="1"/>
          <w:numId w:val="6"/>
        </w:numPr>
        <w:tabs>
          <w:tab w:val="left" w:pos="658"/>
        </w:tabs>
        <w:spacing w:before="0" w:after="0" w:line="360" w:lineRule="auto"/>
        <w:ind w:left="657" w:right="0" w:hanging="420"/>
        <w:jc w:val="left"/>
        <w:rPr>
          <w:rFonts w:ascii="Times New Roman" w:eastAsia="Times New Roman"/>
          <w:color w:val="000000" w:themeColor="text1"/>
          <w:sz w:val="24"/>
          <w:szCs w:val="24"/>
          <w:highlight w:val="none"/>
          <w14:textFill>
            <w14:solidFill>
              <w14:schemeClr w14:val="tx1"/>
            </w14:solidFill>
          </w14:textFill>
        </w:rPr>
      </w:pPr>
      <w:bookmarkStart w:id="11" w:name="_bookmark110"/>
      <w:bookmarkEnd w:id="11"/>
      <w:bookmarkStart w:id="12" w:name="_bookmark110"/>
      <w:bookmarkEnd w:id="12"/>
      <w:r>
        <w:rPr>
          <w:color w:val="000000" w:themeColor="text1"/>
          <w:sz w:val="24"/>
          <w:szCs w:val="24"/>
          <w:highlight w:val="none"/>
          <w14:textFill>
            <w14:solidFill>
              <w14:schemeClr w14:val="tx1"/>
            </w14:solidFill>
          </w14:textFill>
        </w:rPr>
        <w:t>联络</w:t>
      </w:r>
    </w:p>
    <w:p w14:paraId="6D44B39A">
      <w:pPr>
        <w:pStyle w:val="22"/>
        <w:numPr>
          <w:ilvl w:val="2"/>
          <w:numId w:val="6"/>
        </w:numPr>
        <w:tabs>
          <w:tab w:val="left" w:pos="1046"/>
        </w:tabs>
        <w:spacing w:before="249" w:after="0" w:line="360" w:lineRule="auto"/>
        <w:ind w:left="100" w:right="111" w:firstLine="420"/>
        <w:jc w:val="both"/>
        <w:rPr>
          <w:color w:val="000000" w:themeColor="text1"/>
          <w:sz w:val="24"/>
          <w:szCs w:val="24"/>
          <w:highlight w:val="none"/>
          <w14:textFill>
            <w14:solidFill>
              <w14:schemeClr w14:val="tx1"/>
            </w14:solidFill>
          </w14:textFill>
        </w:rPr>
      </w:pPr>
      <w:r>
        <w:rPr>
          <w:color w:val="000000" w:themeColor="text1"/>
          <w:spacing w:val="-7"/>
          <w:sz w:val="24"/>
          <w:szCs w:val="24"/>
          <w:highlight w:val="none"/>
          <w14:textFill>
            <w14:solidFill>
              <w14:schemeClr w14:val="tx1"/>
            </w14:solidFill>
          </w14:textFill>
        </w:rPr>
        <w:t>买卖双方应就合同履行中有关的事项及时进行联络，重要事项应通过书面形式进行联络或确认。合同履行过程中的任何联络及相关文件的签署，均应通过专用合同条款指定的联系</w:t>
      </w:r>
      <w:r>
        <w:rPr>
          <w:color w:val="000000" w:themeColor="text1"/>
          <w:spacing w:val="-3"/>
          <w:sz w:val="24"/>
          <w:szCs w:val="24"/>
          <w:highlight w:val="none"/>
          <w14:textFill>
            <w14:solidFill>
              <w14:schemeClr w14:val="tx1"/>
            </w14:solidFill>
          </w14:textFill>
        </w:rPr>
        <w:t>人和联系方式进行。合同履行过程中，双方可以书面形式增加或变更指定联系人。</w:t>
      </w:r>
    </w:p>
    <w:p w14:paraId="6BD02901">
      <w:pPr>
        <w:pStyle w:val="22"/>
        <w:numPr>
          <w:ilvl w:val="2"/>
          <w:numId w:val="6"/>
        </w:numPr>
        <w:tabs>
          <w:tab w:val="left" w:pos="1046"/>
        </w:tabs>
        <w:spacing w:before="38" w:after="0" w:line="360" w:lineRule="auto"/>
        <w:ind w:left="1046" w:right="0" w:hanging="526"/>
        <w:jc w:val="left"/>
        <w:rPr>
          <w:color w:val="000000" w:themeColor="text1"/>
          <w:sz w:val="24"/>
          <w:szCs w:val="24"/>
          <w:highlight w:val="none"/>
          <w14:textFill>
            <w14:solidFill>
              <w14:schemeClr w14:val="tx1"/>
            </w14:solidFill>
          </w14:textFill>
        </w:rPr>
      </w:pPr>
      <w:r>
        <w:rPr>
          <w:color w:val="000000" w:themeColor="text1"/>
          <w:spacing w:val="-5"/>
          <w:sz w:val="24"/>
          <w:szCs w:val="24"/>
          <w:highlight w:val="none"/>
          <w14:textFill>
            <w14:solidFill>
              <w14:schemeClr w14:val="tx1"/>
            </w14:solidFill>
          </w14:textFill>
        </w:rPr>
        <w:t xml:space="preserve">合同履行中或与合同有关的任何联络，送达到第 </w:t>
      </w:r>
      <w:r>
        <w:rPr>
          <w:rFonts w:ascii="Times New Roman" w:eastAsia="Times New Roman"/>
          <w:color w:val="000000" w:themeColor="text1"/>
          <w:sz w:val="24"/>
          <w:szCs w:val="24"/>
          <w:highlight w:val="none"/>
          <w14:textFill>
            <w14:solidFill>
              <w14:schemeClr w14:val="tx1"/>
            </w14:solidFill>
          </w14:textFill>
        </w:rPr>
        <w:t>1.5.1</w:t>
      </w:r>
      <w:r>
        <w:rPr>
          <w:rFonts w:ascii="Times New Roman" w:eastAsia="Times New Roman"/>
          <w:color w:val="000000" w:themeColor="text1"/>
          <w:spacing w:val="20"/>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项指定的联系人即视为送达。</w:t>
      </w:r>
    </w:p>
    <w:p w14:paraId="0F2D49F7">
      <w:pPr>
        <w:pStyle w:val="22"/>
        <w:numPr>
          <w:ilvl w:val="2"/>
          <w:numId w:val="6"/>
        </w:numPr>
        <w:tabs>
          <w:tab w:val="left" w:pos="1046"/>
        </w:tabs>
        <w:spacing w:before="116" w:after="0" w:line="360" w:lineRule="auto"/>
        <w:ind w:left="1046" w:right="0" w:hanging="526"/>
        <w:jc w:val="left"/>
        <w:rPr>
          <w:color w:val="000000" w:themeColor="text1"/>
          <w:sz w:val="24"/>
          <w:szCs w:val="24"/>
          <w:highlight w:val="none"/>
          <w14:textFill>
            <w14:solidFill>
              <w14:schemeClr w14:val="tx1"/>
            </w14:solidFill>
          </w14:textFill>
        </w:rPr>
      </w:pPr>
      <w:r>
        <w:rPr>
          <w:color w:val="000000" w:themeColor="text1"/>
          <w:spacing w:val="-7"/>
          <w:sz w:val="24"/>
          <w:szCs w:val="24"/>
          <w:highlight w:val="none"/>
          <w14:textFill>
            <w14:solidFill>
              <w14:schemeClr w14:val="tx1"/>
            </w14:solidFill>
          </w14:textFill>
        </w:rPr>
        <w:t>买方可以安排监理等相关人员作为买方人员，与卖方进行联络或参加合同设备的监造</w:t>
      </w:r>
    </w:p>
    <w:p w14:paraId="15CC1DF9">
      <w:pPr>
        <w:pStyle w:val="7"/>
        <w:spacing w:before="116" w:line="360" w:lineRule="auto"/>
        <w:ind w:left="100" w:right="113"/>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color w:val="000000" w:themeColor="text1"/>
          <w:spacing w:val="-2"/>
          <w:sz w:val="24"/>
          <w:szCs w:val="24"/>
          <w:highlight w:val="none"/>
          <w14:textFill>
            <w14:solidFill>
              <w14:schemeClr w14:val="tx1"/>
            </w14:solidFill>
          </w14:textFill>
        </w:rPr>
        <w:t>如有</w:t>
      </w:r>
      <w:r>
        <w:rPr>
          <w:color w:val="000000" w:themeColor="text1"/>
          <w:spacing w:val="-106"/>
          <w:sz w:val="24"/>
          <w:szCs w:val="24"/>
          <w:highlight w:val="none"/>
          <w14:textFill>
            <w14:solidFill>
              <w14:schemeClr w14:val="tx1"/>
            </w14:solidFill>
          </w14:textFill>
        </w:rPr>
        <w:t>）</w:t>
      </w:r>
      <w:r>
        <w:rPr>
          <w:color w:val="000000" w:themeColor="text1"/>
          <w:spacing w:val="-6"/>
          <w:sz w:val="24"/>
          <w:szCs w:val="24"/>
          <w:highlight w:val="none"/>
          <w14:textFill>
            <w14:solidFill>
              <w14:schemeClr w14:val="tx1"/>
            </w14:solidFill>
          </w14:textFill>
        </w:rPr>
        <w:t>、交货前检验</w:t>
      </w:r>
      <w:r>
        <w:rPr>
          <w:color w:val="000000" w:themeColor="text1"/>
          <w:sz w:val="24"/>
          <w:szCs w:val="24"/>
          <w:highlight w:val="none"/>
          <w14:textFill>
            <w14:solidFill>
              <w14:schemeClr w14:val="tx1"/>
            </w14:solidFill>
          </w14:textFill>
        </w:rPr>
        <w:t>（</w:t>
      </w:r>
      <w:r>
        <w:rPr>
          <w:color w:val="000000" w:themeColor="text1"/>
          <w:spacing w:val="-2"/>
          <w:sz w:val="24"/>
          <w:szCs w:val="24"/>
          <w:highlight w:val="none"/>
          <w14:textFill>
            <w14:solidFill>
              <w14:schemeClr w14:val="tx1"/>
            </w14:solidFill>
          </w14:textFill>
        </w:rPr>
        <w:t>如有</w:t>
      </w:r>
      <w:r>
        <w:rPr>
          <w:color w:val="000000" w:themeColor="text1"/>
          <w:spacing w:val="-106"/>
          <w:sz w:val="24"/>
          <w:szCs w:val="24"/>
          <w:highlight w:val="none"/>
          <w14:textFill>
            <w14:solidFill>
              <w14:schemeClr w14:val="tx1"/>
            </w14:solidFill>
          </w14:textFill>
        </w:rPr>
        <w:t>）</w:t>
      </w:r>
      <w:r>
        <w:rPr>
          <w:color w:val="000000" w:themeColor="text1"/>
          <w:spacing w:val="-11"/>
          <w:sz w:val="24"/>
          <w:szCs w:val="24"/>
          <w:highlight w:val="none"/>
          <w14:textFill>
            <w14:solidFill>
              <w14:schemeClr w14:val="tx1"/>
            </w14:solidFill>
          </w14:textFill>
        </w:rPr>
        <w:t xml:space="preserve">、开箱检验、安装、调试、考核、验收等，但应按照第 </w:t>
      </w:r>
      <w:r>
        <w:rPr>
          <w:rFonts w:ascii="Times New Roman" w:eastAsia="Times New Roman"/>
          <w:color w:val="000000" w:themeColor="text1"/>
          <w:sz w:val="24"/>
          <w:szCs w:val="24"/>
          <w:highlight w:val="none"/>
          <w14:textFill>
            <w14:solidFill>
              <w14:schemeClr w14:val="tx1"/>
            </w14:solidFill>
          </w14:textFill>
        </w:rPr>
        <w:t xml:space="preserve">1.5.1 </w:t>
      </w:r>
      <w:r>
        <w:rPr>
          <w:color w:val="000000" w:themeColor="text1"/>
          <w:spacing w:val="-3"/>
          <w:sz w:val="24"/>
          <w:szCs w:val="24"/>
          <w:highlight w:val="none"/>
          <w14:textFill>
            <w14:solidFill>
              <w14:schemeClr w14:val="tx1"/>
            </w14:solidFill>
          </w14:textFill>
        </w:rPr>
        <w:t>项的约定事先书面通知卖方。</w:t>
      </w:r>
    </w:p>
    <w:p w14:paraId="3E0ED145">
      <w:pPr>
        <w:pStyle w:val="4"/>
        <w:numPr>
          <w:ilvl w:val="1"/>
          <w:numId w:val="6"/>
        </w:numPr>
        <w:tabs>
          <w:tab w:val="left" w:pos="727"/>
        </w:tabs>
        <w:spacing w:before="0" w:after="0" w:line="360" w:lineRule="auto"/>
        <w:ind w:left="726" w:right="0" w:hanging="489"/>
        <w:jc w:val="left"/>
        <w:rPr>
          <w:rFonts w:ascii="Times New Roman" w:eastAsia="Times New Roman"/>
          <w:color w:val="000000" w:themeColor="text1"/>
          <w:sz w:val="24"/>
          <w:szCs w:val="24"/>
          <w:highlight w:val="none"/>
          <w14:textFill>
            <w14:solidFill>
              <w14:schemeClr w14:val="tx1"/>
            </w14:solidFill>
          </w14:textFill>
        </w:rPr>
      </w:pPr>
      <w:bookmarkStart w:id="13" w:name="_bookmark111"/>
      <w:bookmarkEnd w:id="13"/>
      <w:bookmarkStart w:id="14" w:name="_bookmark111"/>
      <w:bookmarkEnd w:id="14"/>
      <w:r>
        <w:rPr>
          <w:color w:val="000000" w:themeColor="text1"/>
          <w:sz w:val="24"/>
          <w:szCs w:val="24"/>
          <w:highlight w:val="none"/>
          <w14:textFill>
            <w14:solidFill>
              <w14:schemeClr w14:val="tx1"/>
            </w14:solidFill>
          </w14:textFill>
        </w:rPr>
        <w:t>联合体</w:t>
      </w:r>
    </w:p>
    <w:p w14:paraId="25478FCB">
      <w:pPr>
        <w:pStyle w:val="22"/>
        <w:numPr>
          <w:ilvl w:val="2"/>
          <w:numId w:val="6"/>
        </w:numPr>
        <w:tabs>
          <w:tab w:val="left" w:pos="1046"/>
        </w:tabs>
        <w:spacing w:before="248" w:after="0" w:line="360" w:lineRule="auto"/>
        <w:ind w:left="100" w:right="111" w:firstLine="420"/>
        <w:jc w:val="left"/>
        <w:rPr>
          <w:color w:val="000000" w:themeColor="text1"/>
          <w:sz w:val="24"/>
          <w:szCs w:val="24"/>
          <w:highlight w:val="none"/>
          <w14:textFill>
            <w14:solidFill>
              <w14:schemeClr w14:val="tx1"/>
            </w14:solidFill>
          </w14:textFill>
        </w:rPr>
      </w:pPr>
      <w:r>
        <w:rPr>
          <w:color w:val="000000" w:themeColor="text1"/>
          <w:spacing w:val="-10"/>
          <w:sz w:val="24"/>
          <w:szCs w:val="24"/>
          <w:highlight w:val="none"/>
          <w14:textFill>
            <w14:solidFill>
              <w14:schemeClr w14:val="tx1"/>
            </w14:solidFill>
          </w14:textFill>
        </w:rPr>
        <w:t>卖方为联合体的，联合体各方应当共同与买方签订合同，并向买方为履行合同承担连</w:t>
      </w:r>
      <w:r>
        <w:rPr>
          <w:color w:val="000000" w:themeColor="text1"/>
          <w:spacing w:val="-6"/>
          <w:sz w:val="24"/>
          <w:szCs w:val="24"/>
          <w:highlight w:val="none"/>
          <w14:textFill>
            <w14:solidFill>
              <w14:schemeClr w14:val="tx1"/>
            </w14:solidFill>
          </w14:textFill>
        </w:rPr>
        <w:t>带责任。</w:t>
      </w:r>
    </w:p>
    <w:p w14:paraId="5FA0B87C">
      <w:pPr>
        <w:pStyle w:val="22"/>
        <w:numPr>
          <w:ilvl w:val="2"/>
          <w:numId w:val="6"/>
        </w:numPr>
        <w:tabs>
          <w:tab w:val="left" w:pos="1046"/>
        </w:tabs>
        <w:spacing w:before="48" w:after="0" w:line="360" w:lineRule="auto"/>
        <w:ind w:left="100" w:right="113" w:firstLine="420"/>
        <w:jc w:val="left"/>
        <w:rPr>
          <w:color w:val="000000" w:themeColor="text1"/>
          <w:sz w:val="24"/>
          <w:szCs w:val="24"/>
          <w:highlight w:val="none"/>
          <w14:textFill>
            <w14:solidFill>
              <w14:schemeClr w14:val="tx1"/>
            </w14:solidFill>
          </w14:textFill>
        </w:rPr>
      </w:pPr>
      <w:r>
        <w:rPr>
          <w:color w:val="000000" w:themeColor="text1"/>
          <w:spacing w:val="-9"/>
          <w:sz w:val="24"/>
          <w:szCs w:val="24"/>
          <w:highlight w:val="none"/>
          <w14:textFill>
            <w14:solidFill>
              <w14:schemeClr w14:val="tx1"/>
            </w14:solidFill>
          </w14:textFill>
        </w:rPr>
        <w:t>在合同履行过程中，未经买方同意，不得修改联合体协议。联合体协议中关于联合体</w:t>
      </w:r>
      <w:r>
        <w:rPr>
          <w:color w:val="000000" w:themeColor="text1"/>
          <w:spacing w:val="-5"/>
          <w:sz w:val="24"/>
          <w:szCs w:val="24"/>
          <w:highlight w:val="none"/>
          <w14:textFill>
            <w14:solidFill>
              <w14:schemeClr w14:val="tx1"/>
            </w14:solidFill>
          </w14:textFill>
        </w:rPr>
        <w:t>成员间权利义务的划分，并不影响或减损联合体各方应就履行合同向买方承担的连带责任。</w:t>
      </w:r>
    </w:p>
    <w:p w14:paraId="7D6C1FAE">
      <w:pPr>
        <w:pStyle w:val="22"/>
        <w:numPr>
          <w:ilvl w:val="2"/>
          <w:numId w:val="6"/>
        </w:numPr>
        <w:tabs>
          <w:tab w:val="left" w:pos="1046"/>
        </w:tabs>
        <w:spacing w:before="48" w:after="0" w:line="360" w:lineRule="auto"/>
        <w:ind w:left="100" w:right="113" w:firstLine="420"/>
        <w:jc w:val="both"/>
        <w:rPr>
          <w:color w:val="000000" w:themeColor="text1"/>
          <w:sz w:val="24"/>
          <w:szCs w:val="24"/>
          <w:highlight w:val="none"/>
          <w14:textFill>
            <w14:solidFill>
              <w14:schemeClr w14:val="tx1"/>
            </w14:solidFill>
          </w14:textFill>
        </w:rPr>
      </w:pPr>
      <w:r>
        <w:rPr>
          <w:color w:val="000000" w:themeColor="text1"/>
          <w:spacing w:val="-8"/>
          <w:sz w:val="24"/>
          <w:szCs w:val="24"/>
          <w:highlight w:val="none"/>
          <w14:textFill>
            <w14:solidFill>
              <w14:schemeClr w14:val="tx1"/>
            </w14:solidFill>
          </w14:textFill>
        </w:rPr>
        <w:t>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w:t>
      </w:r>
      <w:r>
        <w:rPr>
          <w:color w:val="000000" w:themeColor="text1"/>
          <w:spacing w:val="-5"/>
          <w:sz w:val="24"/>
          <w:szCs w:val="24"/>
          <w:highlight w:val="none"/>
          <w14:textFill>
            <w14:solidFill>
              <w14:schemeClr w14:val="tx1"/>
            </w14:solidFill>
          </w14:textFill>
        </w:rPr>
        <w:t>为将构成对合同内容的变更，则牵头人须事先获得联合体各方的特别授权。</w:t>
      </w:r>
    </w:p>
    <w:p w14:paraId="6D64E0DD">
      <w:pPr>
        <w:pStyle w:val="4"/>
        <w:numPr>
          <w:ilvl w:val="1"/>
          <w:numId w:val="6"/>
        </w:numPr>
        <w:tabs>
          <w:tab w:val="left" w:pos="727"/>
        </w:tabs>
        <w:spacing w:before="0" w:after="0" w:line="360" w:lineRule="auto"/>
        <w:ind w:left="726" w:right="0" w:hanging="489"/>
        <w:jc w:val="left"/>
        <w:rPr>
          <w:rFonts w:ascii="Times New Roman" w:eastAsia="Times New Roman"/>
          <w:color w:val="000000" w:themeColor="text1"/>
          <w:sz w:val="24"/>
          <w:szCs w:val="24"/>
          <w:highlight w:val="none"/>
          <w14:textFill>
            <w14:solidFill>
              <w14:schemeClr w14:val="tx1"/>
            </w14:solidFill>
          </w14:textFill>
        </w:rPr>
      </w:pPr>
      <w:bookmarkStart w:id="15" w:name="_bookmark112"/>
      <w:bookmarkEnd w:id="15"/>
      <w:bookmarkStart w:id="16" w:name="_bookmark112"/>
      <w:bookmarkEnd w:id="16"/>
      <w:r>
        <w:rPr>
          <w:color w:val="000000" w:themeColor="text1"/>
          <w:sz w:val="24"/>
          <w:szCs w:val="24"/>
          <w:highlight w:val="none"/>
          <w14:textFill>
            <w14:solidFill>
              <w14:schemeClr w14:val="tx1"/>
            </w14:solidFill>
          </w14:textFill>
        </w:rPr>
        <w:t>转让</w:t>
      </w:r>
    </w:p>
    <w:p w14:paraId="69E589C2">
      <w:pPr>
        <w:pStyle w:val="7"/>
        <w:spacing w:before="248"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未经对方当事人书面同意，合同任何一方均不得转让其在合同项下的权利和（或）义务。</w:t>
      </w:r>
    </w:p>
    <w:p w14:paraId="08B434A1">
      <w:pPr>
        <w:pStyle w:val="3"/>
        <w:numPr>
          <w:ilvl w:val="0"/>
          <w:numId w:val="1"/>
        </w:numPr>
        <w:tabs>
          <w:tab w:val="left" w:pos="502"/>
        </w:tabs>
        <w:spacing w:before="1" w:after="0" w:line="360" w:lineRule="auto"/>
        <w:ind w:left="501" w:right="0" w:hanging="401"/>
        <w:jc w:val="left"/>
        <w:rPr>
          <w:rFonts w:ascii="Microsoft JhengHei"/>
          <w:b/>
          <w:color w:val="000000" w:themeColor="text1"/>
          <w:sz w:val="24"/>
          <w:szCs w:val="24"/>
          <w:highlight w:val="none"/>
          <w14:textFill>
            <w14:solidFill>
              <w14:schemeClr w14:val="tx1"/>
            </w14:solidFill>
          </w14:textFill>
        </w:rPr>
      </w:pPr>
      <w:bookmarkStart w:id="17" w:name="_bookmark113"/>
      <w:bookmarkEnd w:id="17"/>
      <w:bookmarkStart w:id="18" w:name="_bookmark113"/>
      <w:bookmarkEnd w:id="18"/>
      <w:r>
        <w:rPr>
          <w:color w:val="000000" w:themeColor="text1"/>
          <w:sz w:val="24"/>
          <w:szCs w:val="24"/>
          <w:highlight w:val="none"/>
          <w14:textFill>
            <w14:solidFill>
              <w14:schemeClr w14:val="tx1"/>
            </w14:solidFill>
          </w14:textFill>
        </w:rPr>
        <w:t>合同范围</w:t>
      </w:r>
    </w:p>
    <w:p w14:paraId="52875515">
      <w:pPr>
        <w:pStyle w:val="7"/>
        <w:spacing w:line="360" w:lineRule="auto"/>
        <w:ind w:left="100" w:firstLine="419"/>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卖方应根据供货要求、中标设备技术性能指标的详细描述、技术服务和质保期服务计划等合同文件的约定向买方提供合同设备、技术服务和质保期服务。</w:t>
      </w:r>
    </w:p>
    <w:p w14:paraId="4BB478B6">
      <w:pPr>
        <w:pStyle w:val="3"/>
        <w:numPr>
          <w:ilvl w:val="0"/>
          <w:numId w:val="1"/>
        </w:numPr>
        <w:tabs>
          <w:tab w:val="left" w:pos="502"/>
        </w:tabs>
        <w:spacing w:before="171" w:after="0" w:line="360" w:lineRule="auto"/>
        <w:ind w:left="501" w:right="0" w:hanging="401"/>
        <w:jc w:val="left"/>
        <w:rPr>
          <w:rFonts w:ascii="Microsoft JhengHei"/>
          <w:b/>
          <w:color w:val="000000" w:themeColor="text1"/>
          <w:sz w:val="24"/>
          <w:szCs w:val="24"/>
          <w:highlight w:val="none"/>
          <w14:textFill>
            <w14:solidFill>
              <w14:schemeClr w14:val="tx1"/>
            </w14:solidFill>
          </w14:textFill>
        </w:rPr>
      </w:pPr>
      <w:bookmarkStart w:id="19" w:name="_bookmark114"/>
      <w:bookmarkEnd w:id="19"/>
      <w:bookmarkStart w:id="20" w:name="_bookmark114"/>
      <w:bookmarkEnd w:id="20"/>
      <w:r>
        <w:rPr>
          <w:color w:val="000000" w:themeColor="text1"/>
          <w:sz w:val="24"/>
          <w:szCs w:val="24"/>
          <w:highlight w:val="none"/>
          <w14:textFill>
            <w14:solidFill>
              <w14:schemeClr w14:val="tx1"/>
            </w14:solidFill>
          </w14:textFill>
        </w:rPr>
        <w:t>合同价格与支付</w:t>
      </w:r>
    </w:p>
    <w:p w14:paraId="76F4AD17">
      <w:pPr>
        <w:pStyle w:val="4"/>
        <w:numPr>
          <w:ilvl w:val="1"/>
          <w:numId w:val="1"/>
        </w:numPr>
        <w:tabs>
          <w:tab w:val="left" w:pos="727"/>
        </w:tabs>
        <w:spacing w:before="0" w:after="0" w:line="360" w:lineRule="auto"/>
        <w:ind w:left="726" w:right="0" w:hanging="489"/>
        <w:jc w:val="left"/>
        <w:rPr>
          <w:color w:val="000000" w:themeColor="text1"/>
          <w:sz w:val="24"/>
          <w:szCs w:val="24"/>
          <w:highlight w:val="none"/>
          <w14:textFill>
            <w14:solidFill>
              <w14:schemeClr w14:val="tx1"/>
            </w14:solidFill>
          </w14:textFill>
        </w:rPr>
      </w:pPr>
      <w:bookmarkStart w:id="21" w:name="_bookmark115"/>
      <w:bookmarkEnd w:id="21"/>
      <w:bookmarkStart w:id="22" w:name="_bookmark115"/>
      <w:bookmarkEnd w:id="22"/>
      <w:r>
        <w:rPr>
          <w:color w:val="000000" w:themeColor="text1"/>
          <w:sz w:val="24"/>
          <w:szCs w:val="24"/>
          <w:highlight w:val="none"/>
          <w14:textFill>
            <w14:solidFill>
              <w14:schemeClr w14:val="tx1"/>
            </w14:solidFill>
          </w14:textFill>
        </w:rPr>
        <w:t>合同价格</w:t>
      </w:r>
    </w:p>
    <w:p w14:paraId="79F285A1">
      <w:pPr>
        <w:pStyle w:val="22"/>
        <w:numPr>
          <w:ilvl w:val="2"/>
          <w:numId w:val="1"/>
        </w:numPr>
        <w:tabs>
          <w:tab w:val="left" w:pos="1046"/>
        </w:tabs>
        <w:spacing w:before="248" w:after="0" w:line="360" w:lineRule="auto"/>
        <w:ind w:left="100" w:right="111"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5"/>
          <w:sz w:val="24"/>
          <w:szCs w:val="24"/>
          <w:highlight w:val="none"/>
          <w14:textFill>
            <w14:solidFill>
              <w14:schemeClr w14:val="tx1"/>
            </w14:solidFill>
          </w14:textFill>
        </w:rPr>
        <w:t>合同协议书中载明的签约合同价包括卖方为完成合同全部义务应承担的一切成本、费</w:t>
      </w:r>
      <w:r>
        <w:rPr>
          <w:color w:val="000000" w:themeColor="text1"/>
          <w:spacing w:val="-4"/>
          <w:sz w:val="24"/>
          <w:szCs w:val="24"/>
          <w:highlight w:val="none"/>
          <w14:textFill>
            <w14:solidFill>
              <w14:schemeClr w14:val="tx1"/>
            </w14:solidFill>
          </w14:textFill>
        </w:rPr>
        <w:t>用和支出以及卖方的合理利润。</w:t>
      </w:r>
    </w:p>
    <w:p w14:paraId="6ED4AD83">
      <w:pPr>
        <w:pStyle w:val="22"/>
        <w:numPr>
          <w:ilvl w:val="2"/>
          <w:numId w:val="1"/>
        </w:numPr>
        <w:tabs>
          <w:tab w:val="left" w:pos="1046"/>
        </w:tabs>
        <w:spacing w:before="48" w:after="0" w:line="360" w:lineRule="auto"/>
        <w:ind w:left="1046" w:right="0" w:hanging="526"/>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除专用合同条款另有约定外，签约合同价为固定价格。</w:t>
      </w:r>
    </w:p>
    <w:p w14:paraId="79D9DFBB">
      <w:pPr>
        <w:pStyle w:val="4"/>
        <w:numPr>
          <w:ilvl w:val="1"/>
          <w:numId w:val="1"/>
        </w:numPr>
        <w:tabs>
          <w:tab w:val="left" w:pos="658"/>
        </w:tabs>
        <w:spacing w:before="0" w:after="0" w:line="360" w:lineRule="auto"/>
        <w:ind w:left="657" w:right="0" w:hanging="420"/>
        <w:jc w:val="left"/>
        <w:rPr>
          <w:color w:val="000000" w:themeColor="text1"/>
          <w:sz w:val="24"/>
          <w:szCs w:val="24"/>
          <w:highlight w:val="none"/>
          <w14:textFill>
            <w14:solidFill>
              <w14:schemeClr w14:val="tx1"/>
            </w14:solidFill>
          </w14:textFill>
        </w:rPr>
      </w:pPr>
      <w:bookmarkStart w:id="23" w:name="_bookmark116"/>
      <w:bookmarkEnd w:id="23"/>
      <w:bookmarkStart w:id="24" w:name="_bookmark116"/>
      <w:bookmarkEnd w:id="24"/>
      <w:r>
        <w:rPr>
          <w:color w:val="000000" w:themeColor="text1"/>
          <w:spacing w:val="-1"/>
          <w:sz w:val="24"/>
          <w:szCs w:val="24"/>
          <w:highlight w:val="none"/>
          <w14:textFill>
            <w14:solidFill>
              <w14:schemeClr w14:val="tx1"/>
            </w14:solidFill>
          </w14:textFill>
        </w:rPr>
        <w:t>合同价款的支付</w:t>
      </w:r>
    </w:p>
    <w:p w14:paraId="5A8F8C40">
      <w:pPr>
        <w:pStyle w:val="7"/>
        <w:keepNext w:val="0"/>
        <w:keepLines w:val="0"/>
        <w:pageBreakBefore w:val="0"/>
        <w:widowControl w:val="0"/>
        <w:kinsoku/>
        <w:wordWrap/>
        <w:overflowPunct/>
        <w:topLinePunct w:val="0"/>
        <w:autoSpaceDE/>
        <w:autoSpaceDN/>
        <w:bidi w:val="0"/>
        <w:adjustRightInd/>
        <w:snapToGrid/>
        <w:spacing w:line="360" w:lineRule="auto"/>
        <w:ind w:left="522"/>
        <w:textAlignment w:val="auto"/>
        <w:rPr>
          <w:color w:val="000000" w:themeColor="text1"/>
          <w:sz w:val="24"/>
          <w:szCs w:val="24"/>
          <w:highlight w:val="none"/>
          <w14:textFill>
            <w14:solidFill>
              <w14:schemeClr w14:val="tx1"/>
            </w14:solidFill>
          </w14:textFill>
        </w:rPr>
      </w:pPr>
      <w:r>
        <w:rPr>
          <w:rFonts w:hint="eastAsia"/>
          <w:color w:val="000000" w:themeColor="text1"/>
          <w:sz w:val="24"/>
          <w:szCs w:val="24"/>
          <w:highlight w:val="none"/>
          <w:lang w:eastAsia="zh-CN"/>
          <w14:textFill>
            <w14:solidFill>
              <w14:schemeClr w14:val="tx1"/>
            </w14:solidFill>
          </w14:textFill>
        </w:rPr>
        <w:t>按照</w:t>
      </w:r>
      <w:r>
        <w:rPr>
          <w:color w:val="000000" w:themeColor="text1"/>
          <w:sz w:val="24"/>
          <w:szCs w:val="24"/>
          <w:highlight w:val="none"/>
          <w14:textFill>
            <w14:solidFill>
              <w14:schemeClr w14:val="tx1"/>
            </w14:solidFill>
          </w14:textFill>
        </w:rPr>
        <w:t>专用合同条款</w:t>
      </w:r>
      <w:r>
        <w:rPr>
          <w:rFonts w:hint="eastAsia"/>
          <w:color w:val="000000" w:themeColor="text1"/>
          <w:sz w:val="24"/>
          <w:szCs w:val="24"/>
          <w:highlight w:val="none"/>
          <w:lang w:eastAsia="zh-CN"/>
          <w14:textFill>
            <w14:solidFill>
              <w14:schemeClr w14:val="tx1"/>
            </w14:solidFill>
          </w14:textFill>
        </w:rPr>
        <w:t>执行。</w:t>
      </w:r>
    </w:p>
    <w:p w14:paraId="337F7A8E">
      <w:pPr>
        <w:pStyle w:val="4"/>
        <w:numPr>
          <w:ilvl w:val="1"/>
          <w:numId w:val="1"/>
        </w:numPr>
        <w:tabs>
          <w:tab w:val="left" w:pos="727"/>
        </w:tabs>
        <w:spacing w:before="0" w:after="0" w:line="360" w:lineRule="auto"/>
        <w:ind w:left="726" w:right="0" w:hanging="489"/>
        <w:jc w:val="left"/>
        <w:rPr>
          <w:color w:val="000000" w:themeColor="text1"/>
          <w:sz w:val="24"/>
          <w:szCs w:val="24"/>
          <w:highlight w:val="none"/>
          <w14:textFill>
            <w14:solidFill>
              <w14:schemeClr w14:val="tx1"/>
            </w14:solidFill>
          </w14:textFill>
        </w:rPr>
      </w:pPr>
      <w:bookmarkStart w:id="25" w:name="_bookmark117"/>
      <w:bookmarkEnd w:id="25"/>
      <w:bookmarkStart w:id="26" w:name="_bookmark117"/>
      <w:bookmarkEnd w:id="26"/>
      <w:r>
        <w:rPr>
          <w:color w:val="000000" w:themeColor="text1"/>
          <w:spacing w:val="-1"/>
          <w:sz w:val="24"/>
          <w:szCs w:val="24"/>
          <w:highlight w:val="none"/>
          <w14:textFill>
            <w14:solidFill>
              <w14:schemeClr w14:val="tx1"/>
            </w14:solidFill>
          </w14:textFill>
        </w:rPr>
        <w:t>买方扣款的权利</w:t>
      </w:r>
    </w:p>
    <w:p w14:paraId="58B21F2D">
      <w:pPr>
        <w:pStyle w:val="7"/>
        <w:spacing w:before="249" w:line="360" w:lineRule="auto"/>
        <w:ind w:left="100" w:right="208" w:firstLine="419"/>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当卖方应向买方支付合同项下的违约金或赔偿金时，买方有权从任何一笔应付款中予以直接扣除和（或）兑付履约保证金。</w:t>
      </w:r>
    </w:p>
    <w:p w14:paraId="24F3BE77">
      <w:pPr>
        <w:pStyle w:val="3"/>
        <w:numPr>
          <w:ilvl w:val="0"/>
          <w:numId w:val="1"/>
        </w:numPr>
        <w:tabs>
          <w:tab w:val="left" w:pos="638"/>
        </w:tabs>
        <w:spacing w:before="174" w:after="0" w:line="360" w:lineRule="auto"/>
        <w:ind w:left="638" w:right="0" w:hanging="401"/>
        <w:jc w:val="left"/>
        <w:rPr>
          <w:rFonts w:ascii="Microsoft JhengHei"/>
          <w:b/>
          <w:color w:val="000000" w:themeColor="text1"/>
          <w:sz w:val="24"/>
          <w:szCs w:val="24"/>
          <w:highlight w:val="none"/>
          <w14:textFill>
            <w14:solidFill>
              <w14:schemeClr w14:val="tx1"/>
            </w14:solidFill>
          </w14:textFill>
        </w:rPr>
      </w:pPr>
      <w:bookmarkStart w:id="27" w:name="_bookmark118"/>
      <w:bookmarkEnd w:id="27"/>
      <w:bookmarkStart w:id="28" w:name="_bookmark118"/>
      <w:bookmarkEnd w:id="28"/>
      <w:r>
        <w:rPr>
          <w:color w:val="000000" w:themeColor="text1"/>
          <w:sz w:val="24"/>
          <w:szCs w:val="24"/>
          <w:highlight w:val="none"/>
          <w14:textFill>
            <w14:solidFill>
              <w14:schemeClr w14:val="tx1"/>
            </w14:solidFill>
          </w14:textFill>
        </w:rPr>
        <w:t>监造及交货前检验</w:t>
      </w:r>
    </w:p>
    <w:p w14:paraId="1F4B3A0C">
      <w:pPr>
        <w:pStyle w:val="4"/>
        <w:numPr>
          <w:ilvl w:val="1"/>
          <w:numId w:val="1"/>
        </w:numPr>
        <w:tabs>
          <w:tab w:val="left" w:pos="727"/>
        </w:tabs>
        <w:spacing w:before="0" w:after="0" w:line="360" w:lineRule="auto"/>
        <w:ind w:left="726" w:right="0" w:hanging="489"/>
        <w:jc w:val="left"/>
        <w:rPr>
          <w:color w:val="000000" w:themeColor="text1"/>
          <w:sz w:val="24"/>
          <w:szCs w:val="24"/>
          <w:highlight w:val="none"/>
          <w14:textFill>
            <w14:solidFill>
              <w14:schemeClr w14:val="tx1"/>
            </w14:solidFill>
          </w14:textFill>
        </w:rPr>
      </w:pPr>
      <w:bookmarkStart w:id="29" w:name="_bookmark119"/>
      <w:bookmarkEnd w:id="29"/>
      <w:bookmarkStart w:id="30" w:name="_bookmark119"/>
      <w:bookmarkEnd w:id="30"/>
      <w:r>
        <w:rPr>
          <w:color w:val="000000" w:themeColor="text1"/>
          <w:sz w:val="24"/>
          <w:szCs w:val="24"/>
          <w:highlight w:val="none"/>
          <w14:textFill>
            <w14:solidFill>
              <w14:schemeClr w14:val="tx1"/>
            </w14:solidFill>
          </w14:textFill>
        </w:rPr>
        <w:t>监造</w:t>
      </w:r>
    </w:p>
    <w:p w14:paraId="7A0FAC5A">
      <w:pPr>
        <w:pStyle w:val="7"/>
        <w:spacing w:before="248"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专用合同条款约定买方对合同设备进行监造的，双方应按本款及专用合同条款约定履行。</w:t>
      </w:r>
    </w:p>
    <w:p w14:paraId="19EB38CC">
      <w:pPr>
        <w:pStyle w:val="22"/>
        <w:numPr>
          <w:ilvl w:val="2"/>
          <w:numId w:val="1"/>
        </w:numPr>
        <w:tabs>
          <w:tab w:val="left" w:pos="1049"/>
        </w:tabs>
        <w:spacing w:before="133" w:after="0" w:line="360" w:lineRule="auto"/>
        <w:ind w:left="100" w:right="109" w:firstLine="420"/>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在合同设备的制造过程中，买方可派出监造人员，对合同设备的生产制造进行监造，监督合同设备制造、检验等情况。监造的范围、方式等应符合专用合同条款和</w:t>
      </w:r>
      <w:r>
        <w:rPr>
          <w:color w:val="000000" w:themeColor="text1"/>
          <w:sz w:val="24"/>
          <w:szCs w:val="24"/>
          <w:highlight w:val="none"/>
          <w14:textFill>
            <w14:solidFill>
              <w14:schemeClr w14:val="tx1"/>
            </w14:solidFill>
          </w14:textFill>
        </w:rPr>
        <w:t>（或）</w:t>
      </w:r>
      <w:r>
        <w:rPr>
          <w:color w:val="000000" w:themeColor="text1"/>
          <w:spacing w:val="-1"/>
          <w:sz w:val="24"/>
          <w:szCs w:val="24"/>
          <w:highlight w:val="none"/>
          <w14:textFill>
            <w14:solidFill>
              <w14:schemeClr w14:val="tx1"/>
            </w14:solidFill>
          </w14:textFill>
        </w:rPr>
        <w:t>供货要求</w:t>
      </w:r>
      <w:r>
        <w:rPr>
          <w:color w:val="000000" w:themeColor="text1"/>
          <w:sz w:val="24"/>
          <w:szCs w:val="24"/>
          <w:highlight w:val="none"/>
          <w14:textFill>
            <w14:solidFill>
              <w14:schemeClr w14:val="tx1"/>
            </w14:solidFill>
          </w14:textFill>
        </w:rPr>
        <w:t>等合同文件的约定。</w:t>
      </w:r>
    </w:p>
    <w:p w14:paraId="50BD9439">
      <w:pPr>
        <w:pStyle w:val="22"/>
        <w:numPr>
          <w:ilvl w:val="2"/>
          <w:numId w:val="1"/>
        </w:numPr>
        <w:tabs>
          <w:tab w:val="left" w:pos="1046"/>
        </w:tabs>
        <w:spacing w:before="133" w:after="0" w:line="360" w:lineRule="auto"/>
        <w:ind w:left="100" w:right="113"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pacing w:val="-6"/>
          <w:sz w:val="24"/>
          <w:szCs w:val="24"/>
          <w:highlight w:val="none"/>
          <w14:textFill>
            <w14:solidFill>
              <w14:schemeClr w14:val="tx1"/>
            </w14:solidFill>
          </w14:textFill>
        </w:rPr>
        <w:t>除专用合同条款和</w:t>
      </w:r>
      <w:r>
        <w:rPr>
          <w:color w:val="000000" w:themeColor="text1"/>
          <w:spacing w:val="-3"/>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或</w:t>
      </w:r>
      <w:r>
        <w:rPr>
          <w:color w:val="000000" w:themeColor="text1"/>
          <w:spacing w:val="-27"/>
          <w:sz w:val="24"/>
          <w:szCs w:val="24"/>
          <w:highlight w:val="none"/>
          <w14:textFill>
            <w14:solidFill>
              <w14:schemeClr w14:val="tx1"/>
            </w14:solidFill>
          </w14:textFill>
        </w:rPr>
        <w:t>）</w:t>
      </w:r>
      <w:r>
        <w:rPr>
          <w:color w:val="000000" w:themeColor="text1"/>
          <w:spacing w:val="-5"/>
          <w:sz w:val="24"/>
          <w:szCs w:val="24"/>
          <w:highlight w:val="none"/>
          <w14:textFill>
            <w14:solidFill>
              <w14:schemeClr w14:val="tx1"/>
            </w14:solidFill>
          </w14:textFill>
        </w:rPr>
        <w:t>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专用合</w:t>
      </w:r>
      <w:r>
        <w:rPr>
          <w:color w:val="000000" w:themeColor="text1"/>
          <w:spacing w:val="-4"/>
          <w:sz w:val="24"/>
          <w:szCs w:val="24"/>
          <w:highlight w:val="none"/>
          <w14:textFill>
            <w14:solidFill>
              <w14:schemeClr w14:val="tx1"/>
            </w14:solidFill>
          </w14:textFill>
        </w:rPr>
        <w:t>同条款另有约定外，买方监造人员的交通、食宿费用由买方承担。</w:t>
      </w:r>
    </w:p>
    <w:p w14:paraId="155E69DE">
      <w:pPr>
        <w:pStyle w:val="22"/>
        <w:numPr>
          <w:ilvl w:val="2"/>
          <w:numId w:val="1"/>
        </w:numPr>
        <w:tabs>
          <w:tab w:val="left" w:pos="1046"/>
        </w:tabs>
        <w:spacing w:before="36" w:after="0" w:line="360" w:lineRule="auto"/>
        <w:ind w:left="100" w:right="111"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pacing w:val="-7"/>
          <w:sz w:val="24"/>
          <w:szCs w:val="24"/>
          <w:highlight w:val="none"/>
          <w14:textFill>
            <w14:solidFill>
              <w14:schemeClr w14:val="tx1"/>
            </w14:solidFill>
          </w14:textFill>
        </w:rPr>
        <w:t>卖方制订生产制造合同设备的进度计划时，应将买方监造纳入计划安排，并提前通知买方；买方进行监造不应影响合同设备的正常生产。除专用合同条款和</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或</w:t>
      </w:r>
      <w:r>
        <w:rPr>
          <w:color w:val="000000" w:themeColor="text1"/>
          <w:sz w:val="24"/>
          <w:szCs w:val="24"/>
          <w:highlight w:val="none"/>
          <w14:textFill>
            <w14:solidFill>
              <w14:schemeClr w14:val="tx1"/>
            </w14:solidFill>
          </w14:textFill>
        </w:rPr>
        <w:t>）</w:t>
      </w:r>
      <w:r>
        <w:rPr>
          <w:color w:val="000000" w:themeColor="text1"/>
          <w:spacing w:val="-1"/>
          <w:sz w:val="24"/>
          <w:szCs w:val="24"/>
          <w:highlight w:val="none"/>
          <w14:textFill>
            <w14:solidFill>
              <w14:schemeClr w14:val="tx1"/>
            </w14:solidFill>
          </w14:textFill>
        </w:rPr>
        <w:t>供货要求等合同</w:t>
      </w:r>
      <w:r>
        <w:rPr>
          <w:color w:val="000000" w:themeColor="text1"/>
          <w:spacing w:val="-4"/>
          <w:sz w:val="24"/>
          <w:szCs w:val="24"/>
          <w:highlight w:val="none"/>
          <w14:textFill>
            <w14:solidFill>
              <w14:schemeClr w14:val="tx1"/>
            </w14:solidFill>
          </w14:textFill>
        </w:rPr>
        <w:t xml:space="preserve">文件另有约定外，卖方应提前 </w:t>
      </w:r>
      <w:r>
        <w:rPr>
          <w:rFonts w:ascii="Times New Roman" w:eastAsia="Times New Roman"/>
          <w:color w:val="000000" w:themeColor="text1"/>
          <w:sz w:val="24"/>
          <w:szCs w:val="24"/>
          <w:highlight w:val="none"/>
          <w14:textFill>
            <w14:solidFill>
              <w14:schemeClr w14:val="tx1"/>
            </w14:solidFill>
          </w14:textFill>
        </w:rPr>
        <w:t>7</w:t>
      </w:r>
      <w:r>
        <w:rPr>
          <w:rFonts w:ascii="Times New Roman" w:eastAsia="Times New Roman"/>
          <w:color w:val="000000" w:themeColor="text1"/>
          <w:spacing w:val="35"/>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日将需要买方监造人员现场监造事项通知买方；如买方监造人</w:t>
      </w:r>
      <w:r>
        <w:rPr>
          <w:color w:val="000000" w:themeColor="text1"/>
          <w:spacing w:val="-15"/>
          <w:sz w:val="24"/>
          <w:szCs w:val="24"/>
          <w:highlight w:val="none"/>
          <w14:textFill>
            <w14:solidFill>
              <w14:schemeClr w14:val="tx1"/>
            </w14:solidFill>
          </w14:textFill>
        </w:rPr>
        <w:t>员未按通知出席，不影响合同设备及其关键部件的制造或检验，但买方监造人员有权事后了解、</w:t>
      </w:r>
      <w:r>
        <w:rPr>
          <w:color w:val="000000" w:themeColor="text1"/>
          <w:spacing w:val="-7"/>
          <w:sz w:val="24"/>
          <w:szCs w:val="24"/>
          <w:highlight w:val="none"/>
          <w14:textFill>
            <w14:solidFill>
              <w14:schemeClr w14:val="tx1"/>
            </w14:solidFill>
          </w14:textFill>
        </w:rPr>
        <w:t>查阅、复制相关制造或检验记录。</w:t>
      </w:r>
    </w:p>
    <w:p w14:paraId="7210C4AE">
      <w:pPr>
        <w:pStyle w:val="22"/>
        <w:numPr>
          <w:ilvl w:val="2"/>
          <w:numId w:val="1"/>
        </w:numPr>
        <w:tabs>
          <w:tab w:val="left" w:pos="1046"/>
        </w:tabs>
        <w:spacing w:before="38" w:after="0" w:line="360" w:lineRule="auto"/>
        <w:ind w:left="100" w:right="111"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pacing w:val="-6"/>
          <w:sz w:val="24"/>
          <w:szCs w:val="24"/>
          <w:highlight w:val="none"/>
          <w14:textFill>
            <w14:solidFill>
              <w14:schemeClr w14:val="tx1"/>
            </w14:solidFill>
          </w14:textFill>
        </w:rPr>
        <w:t>买方监造人员在监造中如发现合同设备及其关键部件不符合合同约定的标准，则有权提出意见和建议。卖方应采取必要措施消除合同设备的不符，由此增加的费用和</w:t>
      </w:r>
      <w:r>
        <w:rPr>
          <w:color w:val="000000" w:themeColor="text1"/>
          <w:sz w:val="24"/>
          <w:szCs w:val="24"/>
          <w:highlight w:val="none"/>
          <w14:textFill>
            <w14:solidFill>
              <w14:schemeClr w14:val="tx1"/>
            </w14:solidFill>
          </w14:textFill>
        </w:rPr>
        <w:t>（或）</w:t>
      </w:r>
      <w:r>
        <w:rPr>
          <w:color w:val="000000" w:themeColor="text1"/>
          <w:spacing w:val="-2"/>
          <w:sz w:val="24"/>
          <w:szCs w:val="24"/>
          <w:highlight w:val="none"/>
          <w14:textFill>
            <w14:solidFill>
              <w14:schemeClr w14:val="tx1"/>
            </w14:solidFill>
          </w14:textFill>
        </w:rPr>
        <w:t>造成的</w:t>
      </w:r>
      <w:r>
        <w:rPr>
          <w:color w:val="000000" w:themeColor="text1"/>
          <w:spacing w:val="-3"/>
          <w:sz w:val="24"/>
          <w:szCs w:val="24"/>
          <w:highlight w:val="none"/>
          <w14:textFill>
            <w14:solidFill>
              <w14:schemeClr w14:val="tx1"/>
            </w14:solidFill>
          </w14:textFill>
        </w:rPr>
        <w:t>延误由卖方负责。</w:t>
      </w:r>
    </w:p>
    <w:p w14:paraId="375A3345">
      <w:pPr>
        <w:pStyle w:val="22"/>
        <w:numPr>
          <w:ilvl w:val="2"/>
          <w:numId w:val="1"/>
        </w:numPr>
        <w:tabs>
          <w:tab w:val="left" w:pos="1046"/>
        </w:tabs>
        <w:spacing w:before="38" w:after="0" w:line="360" w:lineRule="auto"/>
        <w:ind w:left="100" w:right="113" w:firstLine="420"/>
        <w:jc w:val="both"/>
        <w:rPr>
          <w:color w:val="000000" w:themeColor="text1"/>
          <w:sz w:val="24"/>
          <w:szCs w:val="24"/>
          <w:highlight w:val="none"/>
          <w14:textFill>
            <w14:solidFill>
              <w14:schemeClr w14:val="tx1"/>
            </w14:solidFill>
          </w14:textFill>
        </w:rPr>
      </w:pPr>
      <w:r>
        <w:rPr>
          <w:color w:val="000000" w:themeColor="text1"/>
          <w:spacing w:val="-8"/>
          <w:sz w:val="24"/>
          <w:szCs w:val="24"/>
          <w:highlight w:val="none"/>
          <w14:textFill>
            <w14:solidFill>
              <w14:schemeClr w14:val="tx1"/>
            </w14:solidFill>
          </w14:textFill>
        </w:rPr>
        <w:t>买方监造人员对合同设备的监造，不视为对合同设备质量的确认，不影响卖方交货后买方依照合同约定对合同设备提出质量异议和</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或</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退货的权利，也不免除卖方依照合同约定对合同设备所应承担的任何义务或责任。</w:t>
      </w:r>
    </w:p>
    <w:p w14:paraId="4B5DAA57">
      <w:pPr>
        <w:pStyle w:val="4"/>
        <w:numPr>
          <w:ilvl w:val="1"/>
          <w:numId w:val="1"/>
        </w:numPr>
        <w:tabs>
          <w:tab w:val="left" w:pos="727"/>
        </w:tabs>
        <w:spacing w:before="0" w:after="0" w:line="360" w:lineRule="auto"/>
        <w:ind w:left="726" w:right="0" w:hanging="489"/>
        <w:jc w:val="left"/>
        <w:rPr>
          <w:color w:val="000000" w:themeColor="text1"/>
          <w:sz w:val="24"/>
          <w:szCs w:val="24"/>
          <w:highlight w:val="none"/>
          <w14:textFill>
            <w14:solidFill>
              <w14:schemeClr w14:val="tx1"/>
            </w14:solidFill>
          </w14:textFill>
        </w:rPr>
      </w:pPr>
      <w:bookmarkStart w:id="31" w:name="_bookmark120"/>
      <w:bookmarkEnd w:id="31"/>
      <w:bookmarkStart w:id="32" w:name="_bookmark120"/>
      <w:bookmarkEnd w:id="32"/>
      <w:r>
        <w:rPr>
          <w:color w:val="000000" w:themeColor="text1"/>
          <w:sz w:val="24"/>
          <w:szCs w:val="24"/>
          <w:highlight w:val="none"/>
          <w14:textFill>
            <w14:solidFill>
              <w14:schemeClr w14:val="tx1"/>
            </w14:solidFill>
          </w14:textFill>
        </w:rPr>
        <w:t>交货前检验</w:t>
      </w:r>
    </w:p>
    <w:p w14:paraId="2C1F1853">
      <w:pPr>
        <w:pStyle w:val="7"/>
        <w:keepNext w:val="0"/>
        <w:keepLines w:val="0"/>
        <w:pageBreakBefore w:val="0"/>
        <w:widowControl w:val="0"/>
        <w:kinsoku/>
        <w:wordWrap/>
        <w:overflowPunct/>
        <w:topLinePunct w:val="0"/>
        <w:autoSpaceDE/>
        <w:autoSpaceDN/>
        <w:bidi w:val="0"/>
        <w:adjustRightInd/>
        <w:snapToGrid/>
        <w:spacing w:line="360" w:lineRule="auto"/>
        <w:ind w:left="522"/>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专用合同条款约定买方参与交货前检验的，双方应按本款及专用合同条款约定</w:t>
      </w:r>
    </w:p>
    <w:p w14:paraId="2C7F634A">
      <w:pPr>
        <w:pStyle w:val="7"/>
        <w:keepNext w:val="0"/>
        <w:keepLines w:val="0"/>
        <w:pageBreakBefore w:val="0"/>
        <w:widowControl w:val="0"/>
        <w:kinsoku/>
        <w:wordWrap/>
        <w:overflowPunct/>
        <w:topLinePunct w:val="0"/>
        <w:autoSpaceDE/>
        <w:autoSpaceDN/>
        <w:bidi w:val="0"/>
        <w:adjustRightInd/>
        <w:snapToGrid/>
        <w:spacing w:line="360" w:lineRule="auto"/>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履行。</w:t>
      </w:r>
    </w:p>
    <w:p w14:paraId="213C3189">
      <w:pPr>
        <w:pStyle w:val="22"/>
        <w:numPr>
          <w:ilvl w:val="2"/>
          <w:numId w:val="1"/>
        </w:numPr>
        <w:tabs>
          <w:tab w:val="left" w:pos="1046"/>
        </w:tabs>
        <w:spacing w:before="135" w:after="0" w:line="360" w:lineRule="auto"/>
        <w:ind w:left="100" w:right="111"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pacing w:val="-10"/>
          <w:sz w:val="24"/>
          <w:szCs w:val="24"/>
          <w:highlight w:val="none"/>
          <w14:textFill>
            <w14:solidFill>
              <w14:schemeClr w14:val="tx1"/>
            </w14:solidFill>
          </w14:textFill>
        </w:rPr>
        <w:t>合同设备交货前，卖方应会同买方代表根据合同约定对合同设备进行交货前检验并出</w:t>
      </w:r>
      <w:r>
        <w:rPr>
          <w:color w:val="000000" w:themeColor="text1"/>
          <w:spacing w:val="-9"/>
          <w:sz w:val="24"/>
          <w:szCs w:val="24"/>
          <w:highlight w:val="none"/>
          <w14:textFill>
            <w14:solidFill>
              <w14:schemeClr w14:val="tx1"/>
            </w14:solidFill>
          </w14:textFill>
        </w:rPr>
        <w:t>具交货前检验记录，有关费用由卖方承担。卖方应免费为买方代表提供工作条件及便利，包括</w:t>
      </w:r>
      <w:r>
        <w:rPr>
          <w:color w:val="000000" w:themeColor="text1"/>
          <w:spacing w:val="-8"/>
          <w:sz w:val="24"/>
          <w:szCs w:val="24"/>
          <w:highlight w:val="none"/>
          <w14:textFill>
            <w14:solidFill>
              <w14:schemeClr w14:val="tx1"/>
            </w14:solidFill>
          </w14:textFill>
        </w:rPr>
        <w:t xml:space="preserve">但不限于必要的办公场所、技术资料、检测工具及出入许可等。除专用合同条款另有约定外， </w:t>
      </w:r>
      <w:r>
        <w:rPr>
          <w:color w:val="000000" w:themeColor="text1"/>
          <w:spacing w:val="-5"/>
          <w:sz w:val="24"/>
          <w:szCs w:val="24"/>
          <w:highlight w:val="none"/>
          <w14:textFill>
            <w14:solidFill>
              <w14:schemeClr w14:val="tx1"/>
            </w14:solidFill>
          </w14:textFill>
        </w:rPr>
        <w:t>买方代表的交通、食宿费用由买方承担。</w:t>
      </w:r>
    </w:p>
    <w:p w14:paraId="6B183F9B">
      <w:pPr>
        <w:pStyle w:val="22"/>
        <w:numPr>
          <w:ilvl w:val="2"/>
          <w:numId w:val="1"/>
        </w:numPr>
        <w:tabs>
          <w:tab w:val="left" w:pos="1046"/>
        </w:tabs>
        <w:spacing w:before="36" w:after="0" w:line="360" w:lineRule="auto"/>
        <w:ind w:left="100" w:right="114"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pacing w:val="-6"/>
          <w:sz w:val="24"/>
          <w:szCs w:val="24"/>
          <w:highlight w:val="none"/>
          <w14:textFill>
            <w14:solidFill>
              <w14:schemeClr w14:val="tx1"/>
            </w14:solidFill>
          </w14:textFill>
        </w:rPr>
        <w:t>除专用合同条款和</w:t>
      </w:r>
      <w:r>
        <w:rPr>
          <w:color w:val="000000" w:themeColor="text1"/>
          <w:spacing w:val="-3"/>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或</w:t>
      </w:r>
      <w:r>
        <w:rPr>
          <w:color w:val="000000" w:themeColor="text1"/>
          <w:spacing w:val="-27"/>
          <w:sz w:val="24"/>
          <w:szCs w:val="24"/>
          <w:highlight w:val="none"/>
          <w14:textFill>
            <w14:solidFill>
              <w14:schemeClr w14:val="tx1"/>
            </w14:solidFill>
          </w14:textFill>
        </w:rPr>
        <w:t>）</w:t>
      </w:r>
      <w:r>
        <w:rPr>
          <w:color w:val="000000" w:themeColor="text1"/>
          <w:spacing w:val="-7"/>
          <w:sz w:val="24"/>
          <w:szCs w:val="24"/>
          <w:highlight w:val="none"/>
          <w14:textFill>
            <w14:solidFill>
              <w14:schemeClr w14:val="tx1"/>
            </w14:solidFill>
          </w14:textFill>
        </w:rPr>
        <w:t xml:space="preserve">供货要求等合同文件另有约定外，卖方应提前 </w:t>
      </w:r>
      <w:r>
        <w:rPr>
          <w:rFonts w:ascii="Times New Roman" w:eastAsia="Times New Roman"/>
          <w:color w:val="000000" w:themeColor="text1"/>
          <w:sz w:val="24"/>
          <w:szCs w:val="24"/>
          <w:highlight w:val="none"/>
          <w14:textFill>
            <w14:solidFill>
              <w14:schemeClr w14:val="tx1"/>
            </w14:solidFill>
          </w14:textFill>
        </w:rPr>
        <w:t>7</w:t>
      </w:r>
      <w:r>
        <w:rPr>
          <w:rFonts w:ascii="Times New Roman" w:eastAsia="Times New Roman"/>
          <w:color w:val="000000" w:themeColor="text1"/>
          <w:spacing w:val="19"/>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日将需要买方代表检验事项通知买方；如买方代表未按通知出席，不影响合同设备的检验。若卖方未依照合同约定提前通知买方而自行检验，则买方有权要求卖方暂停发货并重新进行检验，由此增加的费用和（</w:t>
      </w:r>
      <w:r>
        <w:rPr>
          <w:color w:val="000000" w:themeColor="text1"/>
          <w:sz w:val="24"/>
          <w:szCs w:val="24"/>
          <w:highlight w:val="none"/>
          <w14:textFill>
            <w14:solidFill>
              <w14:schemeClr w14:val="tx1"/>
            </w14:solidFill>
          </w14:textFill>
        </w:rPr>
        <w:t>或</w:t>
      </w:r>
      <w:r>
        <w:rPr>
          <w:color w:val="000000" w:themeColor="text1"/>
          <w:spacing w:val="-3"/>
          <w:sz w:val="24"/>
          <w:szCs w:val="24"/>
          <w:highlight w:val="none"/>
          <w14:textFill>
            <w14:solidFill>
              <w14:schemeClr w14:val="tx1"/>
            </w14:solidFill>
          </w14:textFill>
        </w:rPr>
        <w:t>）造成的延误由卖方负责。</w:t>
      </w:r>
    </w:p>
    <w:p w14:paraId="2249EDD8">
      <w:pPr>
        <w:pStyle w:val="22"/>
        <w:numPr>
          <w:ilvl w:val="2"/>
          <w:numId w:val="1"/>
        </w:numPr>
        <w:tabs>
          <w:tab w:val="left" w:pos="1046"/>
        </w:tabs>
        <w:spacing w:before="36" w:after="0" w:line="360" w:lineRule="auto"/>
        <w:ind w:left="100" w:right="113"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pacing w:val="-7"/>
          <w:sz w:val="24"/>
          <w:szCs w:val="24"/>
          <w:highlight w:val="none"/>
          <w14:textFill>
            <w14:solidFill>
              <w14:schemeClr w14:val="tx1"/>
            </w14:solidFill>
          </w14:textFill>
        </w:rPr>
        <w:t>买方代表在检验中如发现合同设备不符合合同约定的标准，则有权提出异议。卖方应</w:t>
      </w:r>
      <w:r>
        <w:rPr>
          <w:color w:val="000000" w:themeColor="text1"/>
          <w:spacing w:val="-5"/>
          <w:sz w:val="24"/>
          <w:szCs w:val="24"/>
          <w:highlight w:val="none"/>
          <w14:textFill>
            <w14:solidFill>
              <w14:schemeClr w14:val="tx1"/>
            </w14:solidFill>
          </w14:textFill>
        </w:rPr>
        <w:t>采取必要措施消除合同设备的不符，由此增加的费用和</w:t>
      </w:r>
      <w:r>
        <w:rPr>
          <w:color w:val="000000" w:themeColor="text1"/>
          <w:spacing w:val="-3"/>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或</w:t>
      </w:r>
      <w:r>
        <w:rPr>
          <w:color w:val="000000" w:themeColor="text1"/>
          <w:spacing w:val="-3"/>
          <w:sz w:val="24"/>
          <w:szCs w:val="24"/>
          <w:highlight w:val="none"/>
          <w14:textFill>
            <w14:solidFill>
              <w14:schemeClr w14:val="tx1"/>
            </w14:solidFill>
          </w14:textFill>
        </w:rPr>
        <w:t>）造成的延误由卖方负责。</w:t>
      </w:r>
    </w:p>
    <w:p w14:paraId="38EFB115">
      <w:pPr>
        <w:pStyle w:val="22"/>
        <w:numPr>
          <w:ilvl w:val="2"/>
          <w:numId w:val="1"/>
        </w:numPr>
        <w:tabs>
          <w:tab w:val="left" w:pos="1046"/>
        </w:tabs>
        <w:spacing w:before="46" w:after="0" w:line="360" w:lineRule="auto"/>
        <w:ind w:left="100" w:right="111" w:firstLine="420"/>
        <w:jc w:val="both"/>
        <w:rPr>
          <w:color w:val="000000" w:themeColor="text1"/>
          <w:sz w:val="24"/>
          <w:szCs w:val="24"/>
          <w:highlight w:val="none"/>
          <w14:textFill>
            <w14:solidFill>
              <w14:schemeClr w14:val="tx1"/>
            </w14:solidFill>
          </w14:textFill>
        </w:rPr>
      </w:pPr>
      <w:r>
        <w:rPr>
          <w:color w:val="000000" w:themeColor="text1"/>
          <w:spacing w:val="-6"/>
          <w:sz w:val="24"/>
          <w:szCs w:val="24"/>
          <w:highlight w:val="none"/>
          <w14:textFill>
            <w14:solidFill>
              <w14:schemeClr w14:val="tx1"/>
            </w14:solidFill>
          </w14:textFill>
        </w:rPr>
        <w:t>买方代表参与交货前检验及签署交货前检验记录的行为，不视为对合同设备质量的确</w:t>
      </w:r>
      <w:r>
        <w:rPr>
          <w:color w:val="000000" w:themeColor="text1"/>
          <w:spacing w:val="-3"/>
          <w:sz w:val="24"/>
          <w:szCs w:val="24"/>
          <w:highlight w:val="none"/>
          <w14:textFill>
            <w14:solidFill>
              <w14:schemeClr w14:val="tx1"/>
            </w14:solidFill>
          </w14:textFill>
        </w:rPr>
        <w:t>认，不影响卖方交货后买方依照合同约定对合同设备提出质量异议和</w:t>
      </w:r>
      <w:r>
        <w:rPr>
          <w:color w:val="000000" w:themeColor="text1"/>
          <w:sz w:val="24"/>
          <w:szCs w:val="24"/>
          <w:highlight w:val="none"/>
          <w14:textFill>
            <w14:solidFill>
              <w14:schemeClr w14:val="tx1"/>
            </w14:solidFill>
          </w14:textFill>
        </w:rPr>
        <w:t>（或</w:t>
      </w:r>
      <w:r>
        <w:rPr>
          <w:color w:val="000000" w:themeColor="text1"/>
          <w:spacing w:val="-3"/>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退货的权利，也不免除卖方依照合同约定对合同设备所应承担的任何义务或责任。</w:t>
      </w:r>
    </w:p>
    <w:p w14:paraId="73D48F55">
      <w:pPr>
        <w:pStyle w:val="3"/>
        <w:spacing w:line="360" w:lineRule="auto"/>
        <w:ind w:left="100" w:firstLine="0"/>
        <w:rPr>
          <w:rFonts w:ascii="Microsoft JhengHei"/>
          <w:b/>
          <w:color w:val="000000" w:themeColor="text1"/>
          <w:sz w:val="24"/>
          <w:szCs w:val="24"/>
          <w:highlight w:val="none"/>
          <w14:textFill>
            <w14:solidFill>
              <w14:schemeClr w14:val="tx1"/>
            </w14:solidFill>
          </w14:textFill>
        </w:rPr>
      </w:pPr>
      <w:bookmarkStart w:id="33" w:name="_bookmark121"/>
      <w:bookmarkEnd w:id="33"/>
      <w:r>
        <w:rPr>
          <w:rFonts w:ascii="Times New Roman" w:eastAsia="Times New Roman"/>
          <w:color w:val="000000" w:themeColor="text1"/>
          <w:sz w:val="24"/>
          <w:szCs w:val="24"/>
          <w:highlight w:val="none"/>
          <w14:textFill>
            <w14:solidFill>
              <w14:schemeClr w14:val="tx1"/>
            </w14:solidFill>
          </w14:textFill>
        </w:rPr>
        <w:t>5.</w:t>
      </w:r>
      <w:r>
        <w:rPr>
          <w:color w:val="000000" w:themeColor="text1"/>
          <w:sz w:val="24"/>
          <w:szCs w:val="24"/>
          <w:highlight w:val="none"/>
          <w14:textFill>
            <w14:solidFill>
              <w14:schemeClr w14:val="tx1"/>
            </w14:solidFill>
          </w14:textFill>
        </w:rPr>
        <w:t>包装、标记、运输和交付</w:t>
      </w:r>
    </w:p>
    <w:p w14:paraId="75F993BA">
      <w:pPr>
        <w:pStyle w:val="4"/>
        <w:numPr>
          <w:ilvl w:val="1"/>
          <w:numId w:val="7"/>
        </w:numPr>
        <w:tabs>
          <w:tab w:val="left" w:pos="727"/>
        </w:tabs>
        <w:spacing w:before="0" w:after="0" w:line="360" w:lineRule="auto"/>
        <w:ind w:left="726" w:right="0" w:hanging="489"/>
        <w:jc w:val="left"/>
        <w:rPr>
          <w:color w:val="000000" w:themeColor="text1"/>
          <w:sz w:val="24"/>
          <w:szCs w:val="24"/>
          <w:highlight w:val="none"/>
          <w14:textFill>
            <w14:solidFill>
              <w14:schemeClr w14:val="tx1"/>
            </w14:solidFill>
          </w14:textFill>
        </w:rPr>
      </w:pPr>
      <w:bookmarkStart w:id="34" w:name="_bookmark122"/>
      <w:bookmarkEnd w:id="34"/>
      <w:bookmarkStart w:id="35" w:name="_bookmark122"/>
      <w:bookmarkEnd w:id="35"/>
      <w:r>
        <w:rPr>
          <w:color w:val="000000" w:themeColor="text1"/>
          <w:sz w:val="24"/>
          <w:szCs w:val="24"/>
          <w:highlight w:val="none"/>
          <w14:textFill>
            <w14:solidFill>
              <w14:schemeClr w14:val="tx1"/>
            </w14:solidFill>
          </w14:textFill>
        </w:rPr>
        <w:t>包装</w:t>
      </w:r>
    </w:p>
    <w:p w14:paraId="46E64E48">
      <w:pPr>
        <w:pStyle w:val="22"/>
        <w:numPr>
          <w:ilvl w:val="2"/>
          <w:numId w:val="7"/>
        </w:numPr>
        <w:tabs>
          <w:tab w:val="left" w:pos="1046"/>
        </w:tabs>
        <w:spacing w:before="245" w:after="0" w:line="360" w:lineRule="auto"/>
        <w:ind w:left="100" w:right="211" w:firstLine="420"/>
        <w:jc w:val="both"/>
        <w:rPr>
          <w:color w:val="000000" w:themeColor="text1"/>
          <w:sz w:val="24"/>
          <w:szCs w:val="24"/>
          <w:highlight w:val="none"/>
          <w14:textFill>
            <w14:solidFill>
              <w14:schemeClr w14:val="tx1"/>
            </w14:solidFill>
          </w14:textFill>
        </w:rPr>
      </w:pPr>
      <w:r>
        <w:rPr>
          <w:color w:val="000000" w:themeColor="text1"/>
          <w:spacing w:val="-8"/>
          <w:sz w:val="24"/>
          <w:szCs w:val="24"/>
          <w:highlight w:val="none"/>
          <w14:textFill>
            <w14:solidFill>
              <w14:schemeClr w14:val="tx1"/>
            </w14:solidFill>
          </w14:textFill>
        </w:rPr>
        <w:t>卖方应对合同设备进行妥善包装，以满足合同设备运至施工场地及在施工场地保管的需要。包装应采取防潮、防晒、防锈、防腐蚀、防震动及防止其它损坏的必要保护措施，从而</w:t>
      </w:r>
      <w:r>
        <w:rPr>
          <w:color w:val="000000" w:themeColor="text1"/>
          <w:spacing w:val="-5"/>
          <w:sz w:val="24"/>
          <w:szCs w:val="24"/>
          <w:highlight w:val="none"/>
          <w14:textFill>
            <w14:solidFill>
              <w14:schemeClr w14:val="tx1"/>
            </w14:solidFill>
          </w14:textFill>
        </w:rPr>
        <w:t>保护合同设备能够经受多次搬运、装卸、长途运输并适宜保管。</w:t>
      </w:r>
    </w:p>
    <w:p w14:paraId="5B31F549">
      <w:pPr>
        <w:pStyle w:val="22"/>
        <w:numPr>
          <w:ilvl w:val="2"/>
          <w:numId w:val="7"/>
        </w:numPr>
        <w:tabs>
          <w:tab w:val="left" w:pos="1046"/>
        </w:tabs>
        <w:spacing w:before="38" w:after="0" w:line="360" w:lineRule="auto"/>
        <w:ind w:left="1046" w:right="0" w:hanging="526"/>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每个独立包装箱内应附装箱清单、质量合格证、装配图、说明书、操作指南等资料。</w:t>
      </w:r>
    </w:p>
    <w:p w14:paraId="4BD436AC">
      <w:pPr>
        <w:pStyle w:val="22"/>
        <w:numPr>
          <w:ilvl w:val="2"/>
          <w:numId w:val="7"/>
        </w:numPr>
        <w:tabs>
          <w:tab w:val="left" w:pos="1046"/>
        </w:tabs>
        <w:spacing w:before="117" w:after="0" w:line="360" w:lineRule="auto"/>
        <w:ind w:left="1046" w:right="0" w:hanging="526"/>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除专用合同条款另有约定外，买方无需将包装物退还给卖方。</w:t>
      </w:r>
    </w:p>
    <w:p w14:paraId="24A982ED">
      <w:pPr>
        <w:pStyle w:val="4"/>
        <w:numPr>
          <w:ilvl w:val="1"/>
          <w:numId w:val="7"/>
        </w:numPr>
        <w:tabs>
          <w:tab w:val="left" w:pos="727"/>
        </w:tabs>
        <w:spacing w:before="1" w:after="0" w:line="360" w:lineRule="auto"/>
        <w:ind w:left="726" w:right="0" w:hanging="489"/>
        <w:jc w:val="left"/>
        <w:rPr>
          <w:color w:val="000000" w:themeColor="text1"/>
          <w:sz w:val="24"/>
          <w:szCs w:val="24"/>
          <w:highlight w:val="none"/>
          <w14:textFill>
            <w14:solidFill>
              <w14:schemeClr w14:val="tx1"/>
            </w14:solidFill>
          </w14:textFill>
        </w:rPr>
      </w:pPr>
      <w:bookmarkStart w:id="36" w:name="_bookmark123"/>
      <w:bookmarkEnd w:id="36"/>
      <w:bookmarkStart w:id="37" w:name="_bookmark123"/>
      <w:bookmarkEnd w:id="37"/>
      <w:r>
        <w:rPr>
          <w:color w:val="000000" w:themeColor="text1"/>
          <w:sz w:val="24"/>
          <w:szCs w:val="24"/>
          <w:highlight w:val="none"/>
          <w14:textFill>
            <w14:solidFill>
              <w14:schemeClr w14:val="tx1"/>
            </w14:solidFill>
          </w14:textFill>
        </w:rPr>
        <w:t>标记</w:t>
      </w:r>
    </w:p>
    <w:p w14:paraId="4D33E9B3">
      <w:pPr>
        <w:pStyle w:val="22"/>
        <w:numPr>
          <w:ilvl w:val="2"/>
          <w:numId w:val="7"/>
        </w:numPr>
        <w:tabs>
          <w:tab w:val="left" w:pos="1046"/>
        </w:tabs>
        <w:spacing w:before="248" w:after="0" w:line="360" w:lineRule="auto"/>
        <w:ind w:left="100" w:right="214" w:firstLine="420"/>
        <w:jc w:val="both"/>
        <w:rPr>
          <w:color w:val="000000" w:themeColor="text1"/>
          <w:sz w:val="24"/>
          <w:szCs w:val="24"/>
          <w:highlight w:val="none"/>
          <w14:textFill>
            <w14:solidFill>
              <w14:schemeClr w14:val="tx1"/>
            </w14:solidFill>
          </w14:textFill>
        </w:rPr>
      </w:pPr>
      <w:r>
        <w:rPr>
          <w:color w:val="000000" w:themeColor="text1"/>
          <w:spacing w:val="-7"/>
          <w:sz w:val="24"/>
          <w:szCs w:val="24"/>
          <w:highlight w:val="none"/>
          <w14:textFill>
            <w14:solidFill>
              <w14:schemeClr w14:val="tx1"/>
            </w14:solidFill>
          </w14:textFill>
        </w:rPr>
        <w:t>除专用合同条款另有约定外，卖方应在每一包装箱相邻的四个侧面以不可擦除的、明</w:t>
      </w:r>
      <w:r>
        <w:rPr>
          <w:color w:val="000000" w:themeColor="text1"/>
          <w:spacing w:val="-3"/>
          <w:sz w:val="24"/>
          <w:szCs w:val="24"/>
          <w:highlight w:val="none"/>
          <w14:textFill>
            <w14:solidFill>
              <w14:schemeClr w14:val="tx1"/>
            </w14:solidFill>
          </w14:textFill>
        </w:rPr>
        <w:t>显的方式标记必要的装运信息和标记，以满足合同设备运输和保管的需要。</w:t>
      </w:r>
    </w:p>
    <w:p w14:paraId="0BF65AB4">
      <w:pPr>
        <w:pStyle w:val="22"/>
        <w:numPr>
          <w:ilvl w:val="2"/>
          <w:numId w:val="7"/>
        </w:numPr>
        <w:tabs>
          <w:tab w:val="left" w:pos="1049"/>
        </w:tabs>
        <w:spacing w:before="46" w:after="0" w:line="360" w:lineRule="auto"/>
        <w:ind w:left="100" w:right="212" w:firstLine="420"/>
        <w:jc w:val="both"/>
        <w:rPr>
          <w:color w:val="000000" w:themeColor="text1"/>
          <w:sz w:val="24"/>
          <w:szCs w:val="24"/>
          <w:highlight w:val="none"/>
          <w14:textFill>
            <w14:solidFill>
              <w14:schemeClr w14:val="tx1"/>
            </w14:solidFill>
          </w14:textFill>
        </w:rPr>
      </w:pPr>
      <w:r>
        <w:rPr>
          <w:color w:val="000000" w:themeColor="text1"/>
          <w:spacing w:val="-1"/>
          <w:sz w:val="24"/>
          <w:szCs w:val="24"/>
          <w:highlight w:val="none"/>
          <w14:textFill>
            <w14:solidFill>
              <w14:schemeClr w14:val="tx1"/>
            </w14:solidFill>
          </w14:textFill>
        </w:rPr>
        <w:t>根据合同设备的特点和运输、保管的不同要求，卖方应在包装箱上清楚地标注</w:t>
      </w:r>
      <w:r>
        <w:rPr>
          <w:rFonts w:ascii="Times New Roman" w:hAnsi="Times New Roman" w:eastAsia="Times New Roman"/>
          <w:i/>
          <w:color w:val="000000" w:themeColor="text1"/>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小心</w:t>
      </w:r>
      <w:r>
        <w:rPr>
          <w:color w:val="000000" w:themeColor="text1"/>
          <w:w w:val="95"/>
          <w:sz w:val="24"/>
          <w:szCs w:val="24"/>
          <w:highlight w:val="none"/>
          <w14:textFill>
            <w14:solidFill>
              <w14:schemeClr w14:val="tx1"/>
            </w14:solidFill>
          </w14:textFill>
        </w:rPr>
        <w:t>轻放</w:t>
      </w:r>
      <w:r>
        <w:rPr>
          <w:rFonts w:ascii="Times New Roman" w:hAnsi="Times New Roman" w:eastAsia="Times New Roman"/>
          <w:i/>
          <w:color w:val="000000" w:themeColor="text1"/>
          <w:w w:val="95"/>
          <w:sz w:val="24"/>
          <w:szCs w:val="24"/>
          <w:highlight w:val="none"/>
          <w14:textFill>
            <w14:solidFill>
              <w14:schemeClr w14:val="tx1"/>
            </w14:solidFill>
          </w14:textFill>
        </w:rPr>
        <w:t>”</w:t>
      </w:r>
      <w:r>
        <w:rPr>
          <w:color w:val="000000" w:themeColor="text1"/>
          <w:spacing w:val="-5"/>
          <w:w w:val="95"/>
          <w:sz w:val="24"/>
          <w:szCs w:val="24"/>
          <w:highlight w:val="none"/>
          <w14:textFill>
            <w14:solidFill>
              <w14:schemeClr w14:val="tx1"/>
            </w14:solidFill>
          </w14:textFill>
        </w:rPr>
        <w:t>、</w:t>
      </w:r>
      <w:r>
        <w:rPr>
          <w:rFonts w:ascii="Times New Roman" w:hAnsi="Times New Roman" w:eastAsia="Times New Roman"/>
          <w:i/>
          <w:color w:val="000000" w:themeColor="text1"/>
          <w:spacing w:val="-3"/>
          <w:w w:val="95"/>
          <w:sz w:val="24"/>
          <w:szCs w:val="24"/>
          <w:highlight w:val="none"/>
          <w14:textFill>
            <w14:solidFill>
              <w14:schemeClr w14:val="tx1"/>
            </w14:solidFill>
          </w14:textFill>
        </w:rPr>
        <w:t>“</w:t>
      </w:r>
      <w:r>
        <w:rPr>
          <w:color w:val="000000" w:themeColor="text1"/>
          <w:spacing w:val="-4"/>
          <w:w w:val="95"/>
          <w:sz w:val="24"/>
          <w:szCs w:val="24"/>
          <w:highlight w:val="none"/>
          <w14:textFill>
            <w14:solidFill>
              <w14:schemeClr w14:val="tx1"/>
            </w14:solidFill>
          </w14:textFill>
        </w:rPr>
        <w:t>此端朝上，请勿倒置</w:t>
      </w:r>
      <w:r>
        <w:rPr>
          <w:rFonts w:ascii="Times New Roman" w:hAnsi="Times New Roman" w:eastAsia="Times New Roman"/>
          <w:i/>
          <w:color w:val="000000" w:themeColor="text1"/>
          <w:w w:val="95"/>
          <w:sz w:val="24"/>
          <w:szCs w:val="24"/>
          <w:highlight w:val="none"/>
          <w14:textFill>
            <w14:solidFill>
              <w14:schemeClr w14:val="tx1"/>
            </w14:solidFill>
          </w14:textFill>
        </w:rPr>
        <w:t>”</w:t>
      </w:r>
      <w:r>
        <w:rPr>
          <w:color w:val="000000" w:themeColor="text1"/>
          <w:spacing w:val="-5"/>
          <w:w w:val="95"/>
          <w:sz w:val="24"/>
          <w:szCs w:val="24"/>
          <w:highlight w:val="none"/>
          <w14:textFill>
            <w14:solidFill>
              <w14:schemeClr w14:val="tx1"/>
            </w14:solidFill>
          </w14:textFill>
        </w:rPr>
        <w:t>、</w:t>
      </w:r>
      <w:r>
        <w:rPr>
          <w:rFonts w:ascii="Times New Roman" w:hAnsi="Times New Roman" w:eastAsia="Times New Roman"/>
          <w:i/>
          <w:color w:val="000000" w:themeColor="text1"/>
          <w:spacing w:val="-3"/>
          <w:w w:val="95"/>
          <w:sz w:val="24"/>
          <w:szCs w:val="24"/>
          <w:highlight w:val="none"/>
          <w14:textFill>
            <w14:solidFill>
              <w14:schemeClr w14:val="tx1"/>
            </w14:solidFill>
          </w14:textFill>
        </w:rPr>
        <w:t>“</w:t>
      </w:r>
      <w:r>
        <w:rPr>
          <w:color w:val="000000" w:themeColor="text1"/>
          <w:spacing w:val="-3"/>
          <w:w w:val="95"/>
          <w:sz w:val="24"/>
          <w:szCs w:val="24"/>
          <w:highlight w:val="none"/>
          <w14:textFill>
            <w14:solidFill>
              <w14:schemeClr w14:val="tx1"/>
            </w14:solidFill>
          </w14:textFill>
        </w:rPr>
        <w:t>保持干燥</w:t>
      </w:r>
      <w:r>
        <w:rPr>
          <w:rFonts w:ascii="Times New Roman" w:hAnsi="Times New Roman" w:eastAsia="Times New Roman"/>
          <w:i/>
          <w:color w:val="000000" w:themeColor="text1"/>
          <w:w w:val="95"/>
          <w:sz w:val="24"/>
          <w:szCs w:val="24"/>
          <w:highlight w:val="none"/>
          <w14:textFill>
            <w14:solidFill>
              <w14:schemeClr w14:val="tx1"/>
            </w14:solidFill>
          </w14:textFill>
        </w:rPr>
        <w:t>”</w:t>
      </w:r>
      <w:r>
        <w:rPr>
          <w:color w:val="000000" w:themeColor="text1"/>
          <w:spacing w:val="-4"/>
          <w:w w:val="95"/>
          <w:sz w:val="24"/>
          <w:szCs w:val="24"/>
          <w:highlight w:val="none"/>
          <w14:textFill>
            <w14:solidFill>
              <w14:schemeClr w14:val="tx1"/>
            </w14:solidFill>
          </w14:textFill>
        </w:rPr>
        <w:t>等字样和其他适当标记。对于专用合同条款约定的超大超重件，卖方应在包装箱两侧标注</w:t>
      </w:r>
      <w:r>
        <w:rPr>
          <w:rFonts w:ascii="Times New Roman" w:hAnsi="Times New Roman" w:eastAsia="Times New Roman"/>
          <w:i/>
          <w:color w:val="000000" w:themeColor="text1"/>
          <w:spacing w:val="-4"/>
          <w:w w:val="95"/>
          <w:sz w:val="24"/>
          <w:szCs w:val="24"/>
          <w:highlight w:val="none"/>
          <w14:textFill>
            <w14:solidFill>
              <w14:schemeClr w14:val="tx1"/>
            </w14:solidFill>
          </w14:textFill>
        </w:rPr>
        <w:t>“</w:t>
      </w:r>
      <w:r>
        <w:rPr>
          <w:color w:val="000000" w:themeColor="text1"/>
          <w:spacing w:val="-4"/>
          <w:w w:val="95"/>
          <w:sz w:val="24"/>
          <w:szCs w:val="24"/>
          <w:highlight w:val="none"/>
          <w14:textFill>
            <w14:solidFill>
              <w14:schemeClr w14:val="tx1"/>
            </w14:solidFill>
          </w14:textFill>
        </w:rPr>
        <w:t>重心</w:t>
      </w:r>
      <w:r>
        <w:rPr>
          <w:rFonts w:ascii="Times New Roman" w:hAnsi="Times New Roman" w:eastAsia="Times New Roman"/>
          <w:i/>
          <w:color w:val="000000" w:themeColor="text1"/>
          <w:spacing w:val="-4"/>
          <w:w w:val="95"/>
          <w:sz w:val="24"/>
          <w:szCs w:val="24"/>
          <w:highlight w:val="none"/>
          <w14:textFill>
            <w14:solidFill>
              <w14:schemeClr w14:val="tx1"/>
            </w14:solidFill>
          </w14:textFill>
        </w:rPr>
        <w:t>”</w:t>
      </w:r>
      <w:r>
        <w:rPr>
          <w:color w:val="000000" w:themeColor="text1"/>
          <w:spacing w:val="-4"/>
          <w:w w:val="95"/>
          <w:sz w:val="24"/>
          <w:szCs w:val="24"/>
          <w:highlight w:val="none"/>
          <w14:textFill>
            <w14:solidFill>
              <w14:schemeClr w14:val="tx1"/>
            </w14:solidFill>
          </w14:textFill>
        </w:rPr>
        <w:t>和</w:t>
      </w:r>
      <w:r>
        <w:rPr>
          <w:rFonts w:ascii="Times New Roman" w:hAnsi="Times New Roman" w:eastAsia="Times New Roman"/>
          <w:i/>
          <w:color w:val="000000" w:themeColor="text1"/>
          <w:spacing w:val="-4"/>
          <w:w w:val="95"/>
          <w:sz w:val="24"/>
          <w:szCs w:val="24"/>
          <w:highlight w:val="none"/>
          <w14:textFill>
            <w14:solidFill>
              <w14:schemeClr w14:val="tx1"/>
            </w14:solidFill>
          </w14:textFill>
        </w:rPr>
        <w:t>“</w:t>
      </w:r>
      <w:r>
        <w:rPr>
          <w:color w:val="000000" w:themeColor="text1"/>
          <w:spacing w:val="-4"/>
          <w:w w:val="95"/>
          <w:sz w:val="24"/>
          <w:szCs w:val="24"/>
          <w:highlight w:val="none"/>
          <w14:textFill>
            <w14:solidFill>
              <w14:schemeClr w14:val="tx1"/>
            </w14:solidFill>
          </w14:textFill>
        </w:rPr>
        <w:t>起吊点</w:t>
      </w:r>
      <w:r>
        <w:rPr>
          <w:rFonts w:ascii="Times New Roman" w:hAnsi="Times New Roman" w:eastAsia="Times New Roman"/>
          <w:i/>
          <w:color w:val="000000" w:themeColor="text1"/>
          <w:spacing w:val="-4"/>
          <w:w w:val="95"/>
          <w:sz w:val="24"/>
          <w:szCs w:val="24"/>
          <w:highlight w:val="none"/>
          <w14:textFill>
            <w14:solidFill>
              <w14:schemeClr w14:val="tx1"/>
            </w14:solidFill>
          </w14:textFill>
        </w:rPr>
        <w:t>”</w:t>
      </w:r>
      <w:r>
        <w:rPr>
          <w:color w:val="000000" w:themeColor="text1"/>
          <w:spacing w:val="-4"/>
          <w:w w:val="95"/>
          <w:sz w:val="24"/>
          <w:szCs w:val="24"/>
          <w:highlight w:val="none"/>
          <w14:textFill>
            <w14:solidFill>
              <w14:schemeClr w14:val="tx1"/>
            </w14:solidFill>
          </w14:textFill>
        </w:rPr>
        <w:t>以便装卸和搬运。如果发运合同设备</w:t>
      </w:r>
      <w:r>
        <w:rPr>
          <w:color w:val="000000" w:themeColor="text1"/>
          <w:spacing w:val="-3"/>
          <w:sz w:val="24"/>
          <w:szCs w:val="24"/>
          <w:highlight w:val="none"/>
          <w14:textFill>
            <w14:solidFill>
              <w14:schemeClr w14:val="tx1"/>
            </w14:solidFill>
          </w14:textFill>
        </w:rPr>
        <w:t>中含有易燃易爆物品、腐蚀物品、放射性物质等危险品，则应在包装箱上标明危险品标志。</w:t>
      </w:r>
    </w:p>
    <w:p w14:paraId="01E66D55">
      <w:pPr>
        <w:pStyle w:val="7"/>
        <w:spacing w:before="10" w:line="360" w:lineRule="auto"/>
        <w:rPr>
          <w:color w:val="000000" w:themeColor="text1"/>
          <w:sz w:val="24"/>
          <w:szCs w:val="24"/>
          <w:highlight w:val="none"/>
          <w14:textFill>
            <w14:solidFill>
              <w14:schemeClr w14:val="tx1"/>
            </w14:solidFill>
          </w14:textFill>
        </w:rPr>
      </w:pPr>
    </w:p>
    <w:p w14:paraId="44705C54">
      <w:pPr>
        <w:pStyle w:val="4"/>
        <w:numPr>
          <w:ilvl w:val="1"/>
          <w:numId w:val="7"/>
        </w:numPr>
        <w:tabs>
          <w:tab w:val="left" w:pos="658"/>
        </w:tabs>
        <w:spacing w:before="0" w:after="0" w:line="360" w:lineRule="auto"/>
        <w:ind w:left="657" w:right="0" w:hanging="420"/>
        <w:jc w:val="left"/>
        <w:rPr>
          <w:color w:val="000000" w:themeColor="text1"/>
          <w:sz w:val="24"/>
          <w:szCs w:val="24"/>
          <w:highlight w:val="none"/>
          <w14:textFill>
            <w14:solidFill>
              <w14:schemeClr w14:val="tx1"/>
            </w14:solidFill>
          </w14:textFill>
        </w:rPr>
      </w:pPr>
      <w:bookmarkStart w:id="38" w:name="_bookmark124"/>
      <w:bookmarkEnd w:id="38"/>
      <w:bookmarkStart w:id="39" w:name="_bookmark124"/>
      <w:bookmarkEnd w:id="39"/>
      <w:r>
        <w:rPr>
          <w:color w:val="000000" w:themeColor="text1"/>
          <w:sz w:val="24"/>
          <w:szCs w:val="24"/>
          <w:highlight w:val="none"/>
          <w14:textFill>
            <w14:solidFill>
              <w14:schemeClr w14:val="tx1"/>
            </w14:solidFill>
          </w14:textFill>
        </w:rPr>
        <w:t>运输</w:t>
      </w:r>
    </w:p>
    <w:p w14:paraId="523FA5AE">
      <w:pPr>
        <w:pStyle w:val="22"/>
        <w:numPr>
          <w:ilvl w:val="2"/>
          <w:numId w:val="7"/>
        </w:numPr>
        <w:tabs>
          <w:tab w:val="left" w:pos="1046"/>
        </w:tabs>
        <w:spacing w:before="248" w:after="0" w:line="360" w:lineRule="auto"/>
        <w:ind w:left="100" w:right="0" w:firstLine="420"/>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卖方应自行选择适宜的运输工具及线路安排合同设备运输。</w:t>
      </w:r>
    </w:p>
    <w:p w14:paraId="5EFA418D">
      <w:pPr>
        <w:pStyle w:val="22"/>
        <w:numPr>
          <w:ilvl w:val="2"/>
          <w:numId w:val="7"/>
        </w:numPr>
        <w:tabs>
          <w:tab w:val="left" w:pos="1046"/>
        </w:tabs>
        <w:spacing w:before="117" w:after="0" w:line="360" w:lineRule="auto"/>
        <w:ind w:left="100" w:right="213" w:firstLine="420"/>
        <w:jc w:val="both"/>
        <w:rPr>
          <w:color w:val="000000" w:themeColor="text1"/>
          <w:sz w:val="24"/>
          <w:szCs w:val="24"/>
          <w:highlight w:val="none"/>
          <w14:textFill>
            <w14:solidFill>
              <w14:schemeClr w14:val="tx1"/>
            </w14:solidFill>
          </w14:textFill>
        </w:rPr>
      </w:pPr>
      <w:r>
        <w:rPr>
          <w:color w:val="000000" w:themeColor="text1"/>
          <w:spacing w:val="-7"/>
          <w:sz w:val="24"/>
          <w:szCs w:val="24"/>
          <w:highlight w:val="none"/>
          <w14:textFill>
            <w14:solidFill>
              <w14:schemeClr w14:val="tx1"/>
            </w14:solidFill>
          </w14:textFill>
        </w:rPr>
        <w:t>除专用合同条款另有约定外，每件能够独立运行的设备应整套装运。该设备安装、调</w:t>
      </w:r>
      <w:r>
        <w:rPr>
          <w:color w:val="000000" w:themeColor="text1"/>
          <w:spacing w:val="-5"/>
          <w:sz w:val="24"/>
          <w:szCs w:val="24"/>
          <w:highlight w:val="none"/>
          <w14:textFill>
            <w14:solidFill>
              <w14:schemeClr w14:val="tx1"/>
            </w14:solidFill>
          </w14:textFill>
        </w:rPr>
        <w:t>试、考核和运行所使用的备品、备件、易损易耗件等应随相关的主机一齐装运。</w:t>
      </w:r>
    </w:p>
    <w:p w14:paraId="5A9AA02F">
      <w:pPr>
        <w:pStyle w:val="22"/>
        <w:numPr>
          <w:ilvl w:val="2"/>
          <w:numId w:val="7"/>
        </w:numPr>
        <w:tabs>
          <w:tab w:val="left" w:pos="1046"/>
        </w:tabs>
        <w:spacing w:before="49" w:after="0" w:line="360" w:lineRule="auto"/>
        <w:ind w:left="100" w:right="108" w:firstLine="420"/>
        <w:jc w:val="left"/>
        <w:rPr>
          <w:color w:val="000000" w:themeColor="text1"/>
          <w:sz w:val="24"/>
          <w:szCs w:val="24"/>
          <w:highlight w:val="none"/>
          <w14:textFill>
            <w14:solidFill>
              <w14:schemeClr w14:val="tx1"/>
            </w14:solidFill>
          </w14:textFill>
        </w:rPr>
      </w:pPr>
      <w:r>
        <w:rPr>
          <w:color w:val="000000" w:themeColor="text1"/>
          <w:spacing w:val="-4"/>
          <w:sz w:val="24"/>
          <w:szCs w:val="24"/>
          <w:highlight w:val="none"/>
          <w14:textFill>
            <w14:solidFill>
              <w14:schemeClr w14:val="tx1"/>
            </w14:solidFill>
          </w14:textFill>
        </w:rPr>
        <w:t xml:space="preserve">除专用合同条款另有约定外，卖方应在合同设备预计启运 </w:t>
      </w:r>
      <w:r>
        <w:rPr>
          <w:rFonts w:ascii="Times New Roman" w:hAnsi="Times New Roman" w:eastAsia="Times New Roman"/>
          <w:color w:val="000000" w:themeColor="text1"/>
          <w:sz w:val="24"/>
          <w:szCs w:val="24"/>
          <w:highlight w:val="none"/>
          <w14:textFill>
            <w14:solidFill>
              <w14:schemeClr w14:val="tx1"/>
            </w14:solidFill>
          </w14:textFill>
        </w:rPr>
        <w:t>7</w:t>
      </w:r>
      <w:r>
        <w:rPr>
          <w:rFonts w:ascii="Times New Roman" w:hAnsi="Times New Roman" w:eastAsia="Times New Roman"/>
          <w:color w:val="000000" w:themeColor="text1"/>
          <w:spacing w:val="31"/>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日前，将合同设备名称、数量、箱数、总毛重、总体积（</w:t>
      </w:r>
      <w:r>
        <w:rPr>
          <w:color w:val="000000" w:themeColor="text1"/>
          <w:spacing w:val="8"/>
          <w:sz w:val="24"/>
          <w:szCs w:val="24"/>
          <w:highlight w:val="none"/>
          <w14:textFill>
            <w14:solidFill>
              <w14:schemeClr w14:val="tx1"/>
            </w14:solidFill>
          </w14:textFill>
        </w:rPr>
        <w:t xml:space="preserve">用 </w:t>
      </w:r>
      <w:r>
        <w:rPr>
          <w:rFonts w:ascii="Times New Roman" w:hAnsi="Times New Roman" w:eastAsia="Times New Roman"/>
          <w:color w:val="000000" w:themeColor="text1"/>
          <w:sz w:val="24"/>
          <w:szCs w:val="24"/>
          <w:highlight w:val="none"/>
          <w14:textFill>
            <w14:solidFill>
              <w14:schemeClr w14:val="tx1"/>
            </w14:solidFill>
          </w14:textFill>
        </w:rPr>
        <w:t>m</w:t>
      </w:r>
      <w:r>
        <w:rPr>
          <w:rFonts w:ascii="Times New Roman" w:hAnsi="Times New Roman" w:eastAsia="Times New Roman"/>
          <w:color w:val="000000" w:themeColor="text1"/>
          <w:position w:val="6"/>
          <w:sz w:val="24"/>
          <w:szCs w:val="24"/>
          <w:highlight w:val="none"/>
          <w14:textFill>
            <w14:solidFill>
              <w14:schemeClr w14:val="tx1"/>
            </w14:solidFill>
          </w14:textFill>
        </w:rPr>
        <w:t>3</w:t>
      </w:r>
      <w:r>
        <w:rPr>
          <w:rFonts w:ascii="Times New Roman" w:hAnsi="Times New Roman" w:eastAsia="Times New Roman"/>
          <w:color w:val="000000" w:themeColor="text1"/>
          <w:spacing w:val="12"/>
          <w:position w:val="6"/>
          <w:sz w:val="24"/>
          <w:szCs w:val="24"/>
          <w:highlight w:val="none"/>
          <w14:textFill>
            <w14:solidFill>
              <w14:schemeClr w14:val="tx1"/>
            </w14:solidFill>
          </w14:textFill>
        </w:rPr>
        <w:t xml:space="preserve"> </w:t>
      </w:r>
      <w:r>
        <w:rPr>
          <w:color w:val="000000" w:themeColor="text1"/>
          <w:sz w:val="24"/>
          <w:szCs w:val="24"/>
          <w:highlight w:val="none"/>
          <w14:textFill>
            <w14:solidFill>
              <w14:schemeClr w14:val="tx1"/>
            </w14:solidFill>
          </w14:textFill>
        </w:rPr>
        <w:t>表示</w:t>
      </w:r>
      <w:r>
        <w:rPr>
          <w:color w:val="000000" w:themeColor="text1"/>
          <w:spacing w:val="-108"/>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、每箱尺寸（</w:t>
      </w:r>
      <w:r>
        <w:rPr>
          <w:color w:val="000000" w:themeColor="text1"/>
          <w:sz w:val="24"/>
          <w:szCs w:val="24"/>
          <w:highlight w:val="none"/>
          <w14:textFill>
            <w14:solidFill>
              <w14:schemeClr w14:val="tx1"/>
            </w14:solidFill>
          </w14:textFill>
        </w:rPr>
        <w:t>长</w:t>
      </w:r>
      <w:r>
        <w:rPr>
          <w:rFonts w:ascii="Times New Roman" w:hAnsi="Times New Roman" w:eastAsia="Times New Roman"/>
          <w:color w:val="000000" w:themeColor="text1"/>
          <w:spacing w:val="-4"/>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宽</w:t>
      </w:r>
      <w:r>
        <w:rPr>
          <w:rFonts w:ascii="Times New Roman" w:hAnsi="Times New Roman" w:eastAsia="Times New Roman"/>
          <w:color w:val="000000" w:themeColor="text1"/>
          <w:spacing w:val="-4"/>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高</w:t>
      </w:r>
      <w:r>
        <w:rPr>
          <w:color w:val="000000" w:themeColor="text1"/>
          <w:spacing w:val="-108"/>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、装运合同设备总金额、运输方式、预计交付日期和合同设备在运输、装卸、保管中的注意事项等预通知买方，并在合</w:t>
      </w:r>
      <w:r>
        <w:rPr>
          <w:color w:val="000000" w:themeColor="text1"/>
          <w:spacing w:val="-9"/>
          <w:sz w:val="24"/>
          <w:szCs w:val="24"/>
          <w:highlight w:val="none"/>
          <w14:textFill>
            <w14:solidFill>
              <w14:schemeClr w14:val="tx1"/>
            </w14:solidFill>
          </w14:textFill>
        </w:rPr>
        <w:t xml:space="preserve">同设备启运后 </w:t>
      </w:r>
      <w:r>
        <w:rPr>
          <w:rFonts w:ascii="Times New Roman" w:hAnsi="Times New Roman" w:eastAsia="Times New Roman"/>
          <w:color w:val="000000" w:themeColor="text1"/>
          <w:sz w:val="24"/>
          <w:szCs w:val="24"/>
          <w:highlight w:val="none"/>
          <w14:textFill>
            <w14:solidFill>
              <w14:schemeClr w14:val="tx1"/>
            </w14:solidFill>
          </w14:textFill>
        </w:rPr>
        <w:t>24</w:t>
      </w:r>
      <w:r>
        <w:rPr>
          <w:rFonts w:ascii="Times New Roman" w:hAnsi="Times New Roman" w:eastAsia="Times New Roman"/>
          <w:color w:val="000000" w:themeColor="text1"/>
          <w:spacing w:val="9"/>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小时之内正式通知买方。</w:t>
      </w:r>
    </w:p>
    <w:p w14:paraId="25B5B649">
      <w:pPr>
        <w:pStyle w:val="22"/>
        <w:numPr>
          <w:ilvl w:val="2"/>
          <w:numId w:val="7"/>
        </w:numPr>
        <w:tabs>
          <w:tab w:val="left" w:pos="1046"/>
        </w:tabs>
        <w:spacing w:before="17" w:after="0" w:line="360" w:lineRule="auto"/>
        <w:ind w:left="100" w:right="211" w:firstLine="420"/>
        <w:jc w:val="both"/>
        <w:rPr>
          <w:color w:val="000000" w:themeColor="text1"/>
          <w:sz w:val="24"/>
          <w:szCs w:val="24"/>
          <w:highlight w:val="none"/>
          <w14:textFill>
            <w14:solidFill>
              <w14:schemeClr w14:val="tx1"/>
            </w14:solidFill>
          </w14:textFill>
        </w:rPr>
      </w:pPr>
      <w:r>
        <w:rPr>
          <w:color w:val="000000" w:themeColor="text1"/>
          <w:spacing w:val="-6"/>
          <w:sz w:val="24"/>
          <w:szCs w:val="24"/>
          <w:highlight w:val="none"/>
          <w14:textFill>
            <w14:solidFill>
              <w14:schemeClr w14:val="tx1"/>
            </w14:solidFill>
          </w14:textFill>
        </w:rPr>
        <w:t xml:space="preserve">卖方在根据第 </w:t>
      </w:r>
      <w:r>
        <w:rPr>
          <w:rFonts w:ascii="Times New Roman" w:eastAsia="Times New Roman"/>
          <w:color w:val="000000" w:themeColor="text1"/>
          <w:sz w:val="24"/>
          <w:szCs w:val="24"/>
          <w:highlight w:val="none"/>
          <w14:textFill>
            <w14:solidFill>
              <w14:schemeClr w14:val="tx1"/>
            </w14:solidFill>
          </w14:textFill>
        </w:rPr>
        <w:t>5.3.3</w:t>
      </w:r>
      <w:r>
        <w:rPr>
          <w:rFonts w:ascii="Times New Roman" w:eastAsia="Times New Roman"/>
          <w:color w:val="000000" w:themeColor="text1"/>
          <w:spacing w:val="29"/>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项进行通知时，如果发运合同设备中包括专用合同条款约定的超大超重包装，则卖方应将超大和</w:t>
      </w:r>
      <w:r>
        <w:rPr>
          <w:color w:val="000000" w:themeColor="text1"/>
          <w:sz w:val="24"/>
          <w:szCs w:val="24"/>
          <w:highlight w:val="none"/>
          <w14:textFill>
            <w14:solidFill>
              <w14:schemeClr w14:val="tx1"/>
            </w14:solidFill>
          </w14:textFill>
        </w:rPr>
        <w:t>（或）</w:t>
      </w:r>
      <w:r>
        <w:rPr>
          <w:color w:val="000000" w:themeColor="text1"/>
          <w:spacing w:val="-3"/>
          <w:sz w:val="24"/>
          <w:szCs w:val="24"/>
          <w:highlight w:val="none"/>
          <w14:textFill>
            <w14:solidFill>
              <w14:schemeClr w14:val="tx1"/>
            </w14:solidFill>
          </w14:textFill>
        </w:rPr>
        <w:t>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14:paraId="76FAFC31">
      <w:pPr>
        <w:pStyle w:val="4"/>
        <w:numPr>
          <w:ilvl w:val="1"/>
          <w:numId w:val="7"/>
        </w:numPr>
        <w:tabs>
          <w:tab w:val="left" w:pos="727"/>
        </w:tabs>
        <w:spacing w:before="0" w:after="0" w:line="360" w:lineRule="auto"/>
        <w:ind w:left="726" w:right="0" w:hanging="489"/>
        <w:jc w:val="left"/>
        <w:rPr>
          <w:color w:val="000000" w:themeColor="text1"/>
          <w:sz w:val="24"/>
          <w:szCs w:val="24"/>
          <w:highlight w:val="none"/>
          <w14:textFill>
            <w14:solidFill>
              <w14:schemeClr w14:val="tx1"/>
            </w14:solidFill>
          </w14:textFill>
        </w:rPr>
      </w:pPr>
      <w:bookmarkStart w:id="40" w:name="_bookmark125"/>
      <w:bookmarkEnd w:id="40"/>
      <w:bookmarkStart w:id="41" w:name="_bookmark125"/>
      <w:bookmarkEnd w:id="41"/>
      <w:r>
        <w:rPr>
          <w:color w:val="000000" w:themeColor="text1"/>
          <w:sz w:val="24"/>
          <w:szCs w:val="24"/>
          <w:highlight w:val="none"/>
          <w14:textFill>
            <w14:solidFill>
              <w14:schemeClr w14:val="tx1"/>
            </w14:solidFill>
          </w14:textFill>
        </w:rPr>
        <w:t>交付</w:t>
      </w:r>
    </w:p>
    <w:p w14:paraId="50D4F21D">
      <w:pPr>
        <w:pStyle w:val="22"/>
        <w:numPr>
          <w:ilvl w:val="2"/>
          <w:numId w:val="7"/>
        </w:numPr>
        <w:tabs>
          <w:tab w:val="left" w:pos="1046"/>
        </w:tabs>
        <w:spacing w:before="248" w:after="0" w:line="360" w:lineRule="auto"/>
        <w:ind w:left="100" w:right="211" w:firstLine="420"/>
        <w:jc w:val="both"/>
        <w:rPr>
          <w:color w:val="000000" w:themeColor="text1"/>
          <w:sz w:val="24"/>
          <w:szCs w:val="24"/>
          <w:highlight w:val="none"/>
          <w14:textFill>
            <w14:solidFill>
              <w14:schemeClr w14:val="tx1"/>
            </w14:solidFill>
          </w14:textFill>
        </w:rPr>
      </w:pPr>
      <w:r>
        <w:rPr>
          <w:color w:val="000000" w:themeColor="text1"/>
          <w:spacing w:val="-9"/>
          <w:sz w:val="24"/>
          <w:szCs w:val="24"/>
          <w:highlight w:val="none"/>
          <w14:textFill>
            <w14:solidFill>
              <w14:schemeClr w14:val="tx1"/>
            </w14:solidFill>
          </w14:textFill>
        </w:rPr>
        <w:t>除专用合同条款另有约定外，卖方应根据合同约定的交付时间和批次在施工场地车面</w:t>
      </w:r>
      <w:r>
        <w:rPr>
          <w:color w:val="000000" w:themeColor="text1"/>
          <w:spacing w:val="-8"/>
          <w:sz w:val="24"/>
          <w:szCs w:val="24"/>
          <w:highlight w:val="none"/>
          <w14:textFill>
            <w14:solidFill>
              <w14:schemeClr w14:val="tx1"/>
            </w14:solidFill>
          </w14:textFill>
        </w:rPr>
        <w:t>上将合同设备交付给买方。买方对卖方交付的包装的合同设备的外观及件数进行清点核验后应签发收货清单，并自负风险和费用进行卸货。买方签发收货清单不代表对合同设备的接受，双</w:t>
      </w:r>
      <w:r>
        <w:rPr>
          <w:color w:val="000000" w:themeColor="text1"/>
          <w:spacing w:val="-5"/>
          <w:sz w:val="24"/>
          <w:szCs w:val="24"/>
          <w:highlight w:val="none"/>
          <w14:textFill>
            <w14:solidFill>
              <w14:schemeClr w14:val="tx1"/>
            </w14:solidFill>
          </w14:textFill>
        </w:rPr>
        <w:t>方还应按合同约定进行后续的检验和验收。</w:t>
      </w:r>
    </w:p>
    <w:p w14:paraId="78E153E0">
      <w:pPr>
        <w:pStyle w:val="22"/>
        <w:numPr>
          <w:ilvl w:val="2"/>
          <w:numId w:val="7"/>
        </w:numPr>
        <w:tabs>
          <w:tab w:val="left" w:pos="1046"/>
        </w:tabs>
        <w:spacing w:before="36" w:after="0" w:line="360" w:lineRule="auto"/>
        <w:ind w:left="100" w:right="211" w:firstLine="420"/>
        <w:jc w:val="left"/>
        <w:rPr>
          <w:color w:val="000000" w:themeColor="text1"/>
          <w:sz w:val="24"/>
          <w:szCs w:val="24"/>
          <w:highlight w:val="none"/>
          <w14:textFill>
            <w14:solidFill>
              <w14:schemeClr w14:val="tx1"/>
            </w14:solidFill>
          </w14:textFill>
        </w:rPr>
      </w:pPr>
      <w:r>
        <w:rPr>
          <w:color w:val="000000" w:themeColor="text1"/>
          <w:spacing w:val="-6"/>
          <w:sz w:val="24"/>
          <w:szCs w:val="24"/>
          <w:highlight w:val="none"/>
          <w14:textFill>
            <w14:solidFill>
              <w14:schemeClr w14:val="tx1"/>
            </w14:solidFill>
          </w14:textFill>
        </w:rPr>
        <w:t>合同设备的所有权和风险自交付时起由卖方转移至买方，合同设备交付给买方之前包</w:t>
      </w:r>
      <w:r>
        <w:rPr>
          <w:color w:val="000000" w:themeColor="text1"/>
          <w:spacing w:val="-4"/>
          <w:sz w:val="24"/>
          <w:szCs w:val="24"/>
          <w:highlight w:val="none"/>
          <w14:textFill>
            <w14:solidFill>
              <w14:schemeClr w14:val="tx1"/>
            </w14:solidFill>
          </w14:textFill>
        </w:rPr>
        <w:t>括运输在内的所有风险均由卖方承担。</w:t>
      </w:r>
    </w:p>
    <w:p w14:paraId="4046DFA0">
      <w:pPr>
        <w:pStyle w:val="22"/>
        <w:numPr>
          <w:ilvl w:val="2"/>
          <w:numId w:val="7"/>
        </w:numPr>
        <w:tabs>
          <w:tab w:val="left" w:pos="1046"/>
        </w:tabs>
        <w:spacing w:before="47" w:after="0" w:line="360" w:lineRule="auto"/>
        <w:ind w:left="100" w:right="108" w:firstLine="420"/>
        <w:jc w:val="left"/>
        <w:rPr>
          <w:color w:val="000000" w:themeColor="text1"/>
          <w:sz w:val="24"/>
          <w:szCs w:val="24"/>
          <w:highlight w:val="none"/>
          <w14:textFill>
            <w14:solidFill>
              <w14:schemeClr w14:val="tx1"/>
            </w14:solidFill>
          </w14:textFill>
        </w:rPr>
      </w:pPr>
      <w:r>
        <w:rPr>
          <w:color w:val="000000" w:themeColor="text1"/>
          <w:spacing w:val="-6"/>
          <w:sz w:val="24"/>
          <w:szCs w:val="24"/>
          <w:highlight w:val="none"/>
          <w14:textFill>
            <w14:solidFill>
              <w14:schemeClr w14:val="tx1"/>
            </w14:solidFill>
          </w14:textFill>
        </w:rPr>
        <w:t>除专用合同条款另有约定外，买方如果发现技术资料存在短缺和</w:t>
      </w:r>
      <w:r>
        <w:rPr>
          <w:color w:val="000000" w:themeColor="text1"/>
          <w:spacing w:val="-3"/>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或</w:t>
      </w:r>
      <w:r>
        <w:rPr>
          <w:color w:val="000000" w:themeColor="text1"/>
          <w:spacing w:val="-22"/>
          <w:sz w:val="24"/>
          <w:szCs w:val="24"/>
          <w:highlight w:val="none"/>
          <w14:textFill>
            <w14:solidFill>
              <w14:schemeClr w14:val="tx1"/>
            </w14:solidFill>
          </w14:textFill>
        </w:rPr>
        <w:t>）</w:t>
      </w:r>
      <w:r>
        <w:rPr>
          <w:color w:val="000000" w:themeColor="text1"/>
          <w:spacing w:val="-5"/>
          <w:sz w:val="24"/>
          <w:szCs w:val="24"/>
          <w:highlight w:val="none"/>
          <w14:textFill>
            <w14:solidFill>
              <w14:schemeClr w14:val="tx1"/>
            </w14:solidFill>
          </w14:textFill>
        </w:rPr>
        <w:t>损坏，卖方应</w:t>
      </w:r>
      <w:r>
        <w:rPr>
          <w:color w:val="000000" w:themeColor="text1"/>
          <w:spacing w:val="-7"/>
          <w:sz w:val="24"/>
          <w:szCs w:val="24"/>
          <w:highlight w:val="none"/>
          <w14:textFill>
            <w14:solidFill>
              <w14:schemeClr w14:val="tx1"/>
            </w14:solidFill>
          </w14:textFill>
        </w:rPr>
        <w:t xml:space="preserve">在收到买方的通知后 </w:t>
      </w:r>
      <w:r>
        <w:rPr>
          <w:rFonts w:ascii="Times New Roman" w:eastAsia="Times New Roman"/>
          <w:color w:val="000000" w:themeColor="text1"/>
          <w:sz w:val="24"/>
          <w:szCs w:val="24"/>
          <w:highlight w:val="none"/>
          <w14:textFill>
            <w14:solidFill>
              <w14:schemeClr w14:val="tx1"/>
            </w14:solidFill>
          </w14:textFill>
        </w:rPr>
        <w:t>7</w:t>
      </w:r>
      <w:r>
        <w:rPr>
          <w:rFonts w:ascii="Times New Roman" w:eastAsia="Times New Roman"/>
          <w:color w:val="000000" w:themeColor="text1"/>
          <w:spacing w:val="24"/>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日内免费补齐短缺和（</w:t>
      </w:r>
      <w:r>
        <w:rPr>
          <w:color w:val="000000" w:themeColor="text1"/>
          <w:sz w:val="24"/>
          <w:szCs w:val="24"/>
          <w:highlight w:val="none"/>
          <w14:textFill>
            <w14:solidFill>
              <w14:schemeClr w14:val="tx1"/>
            </w14:solidFill>
          </w14:textFill>
        </w:rPr>
        <w:t>或</w:t>
      </w:r>
      <w:r>
        <w:rPr>
          <w:color w:val="000000" w:themeColor="text1"/>
          <w:spacing w:val="-3"/>
          <w:sz w:val="24"/>
          <w:szCs w:val="24"/>
          <w:highlight w:val="none"/>
          <w14:textFill>
            <w14:solidFill>
              <w14:schemeClr w14:val="tx1"/>
            </w14:solidFill>
          </w14:textFill>
        </w:rPr>
        <w:t>）损坏的部分。如果买方发现卖方提供的技术</w:t>
      </w:r>
      <w:r>
        <w:rPr>
          <w:color w:val="000000" w:themeColor="text1"/>
          <w:spacing w:val="-14"/>
          <w:sz w:val="24"/>
          <w:szCs w:val="24"/>
          <w:highlight w:val="none"/>
          <w14:textFill>
            <w14:solidFill>
              <w14:schemeClr w14:val="tx1"/>
            </w14:solidFill>
          </w14:textFill>
        </w:rPr>
        <w:t xml:space="preserve">资料有误，卖方应在收到买方通知后 </w:t>
      </w:r>
      <w:r>
        <w:rPr>
          <w:rFonts w:ascii="Times New Roman" w:eastAsia="Times New Roman"/>
          <w:color w:val="000000" w:themeColor="text1"/>
          <w:sz w:val="24"/>
          <w:szCs w:val="24"/>
          <w:highlight w:val="none"/>
          <w14:textFill>
            <w14:solidFill>
              <w14:schemeClr w14:val="tx1"/>
            </w14:solidFill>
          </w14:textFill>
        </w:rPr>
        <w:t>7</w:t>
      </w:r>
      <w:r>
        <w:rPr>
          <w:rFonts w:ascii="Times New Roman" w:eastAsia="Times New Roman"/>
          <w:color w:val="000000" w:themeColor="text1"/>
          <w:spacing w:val="18"/>
          <w:sz w:val="24"/>
          <w:szCs w:val="24"/>
          <w:highlight w:val="none"/>
          <w14:textFill>
            <w14:solidFill>
              <w14:schemeClr w14:val="tx1"/>
            </w14:solidFill>
          </w14:textFill>
        </w:rPr>
        <w:t xml:space="preserve"> </w:t>
      </w:r>
      <w:r>
        <w:rPr>
          <w:color w:val="000000" w:themeColor="text1"/>
          <w:spacing w:val="-16"/>
          <w:sz w:val="24"/>
          <w:szCs w:val="24"/>
          <w:highlight w:val="none"/>
          <w14:textFill>
            <w14:solidFill>
              <w14:schemeClr w14:val="tx1"/>
            </w14:solidFill>
          </w14:textFill>
        </w:rPr>
        <w:t>日内免费替换。如由于买方原因导致技术资料丢失和</w:t>
      </w:r>
      <w:r>
        <w:rPr>
          <w:color w:val="000000" w:themeColor="text1"/>
          <w:sz w:val="24"/>
          <w:szCs w:val="24"/>
          <w:highlight w:val="none"/>
          <w14:textFill>
            <w14:solidFill>
              <w14:schemeClr w14:val="tx1"/>
            </w14:solidFill>
          </w14:textFill>
        </w:rPr>
        <w:t xml:space="preserve">（或） </w:t>
      </w:r>
      <w:r>
        <w:rPr>
          <w:color w:val="000000" w:themeColor="text1"/>
          <w:spacing w:val="-5"/>
          <w:sz w:val="24"/>
          <w:szCs w:val="24"/>
          <w:highlight w:val="none"/>
          <w14:textFill>
            <w14:solidFill>
              <w14:schemeClr w14:val="tx1"/>
            </w14:solidFill>
          </w14:textFill>
        </w:rPr>
        <w:t xml:space="preserve">损坏，卖方应在收到买方的通知后 </w:t>
      </w:r>
      <w:r>
        <w:rPr>
          <w:rFonts w:ascii="Times New Roman" w:eastAsia="Times New Roman"/>
          <w:color w:val="000000" w:themeColor="text1"/>
          <w:sz w:val="24"/>
          <w:szCs w:val="24"/>
          <w:highlight w:val="none"/>
          <w14:textFill>
            <w14:solidFill>
              <w14:schemeClr w14:val="tx1"/>
            </w14:solidFill>
          </w14:textFill>
        </w:rPr>
        <w:t>7</w:t>
      </w:r>
      <w:r>
        <w:rPr>
          <w:rFonts w:ascii="Times New Roman" w:eastAsia="Times New Roman"/>
          <w:color w:val="000000" w:themeColor="text1"/>
          <w:spacing w:val="26"/>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日内补齐丢失和</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或</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损坏的部分，但买方应向卖方支付合理的复制、邮寄费用。</w:t>
      </w:r>
    </w:p>
    <w:p w14:paraId="228A22F7">
      <w:pPr>
        <w:pStyle w:val="3"/>
        <w:numPr>
          <w:ilvl w:val="0"/>
          <w:numId w:val="8"/>
        </w:numPr>
        <w:tabs>
          <w:tab w:val="left" w:pos="502"/>
        </w:tabs>
        <w:spacing w:before="0" w:after="0" w:line="360" w:lineRule="auto"/>
        <w:ind w:left="501" w:right="0" w:hanging="401"/>
        <w:jc w:val="left"/>
        <w:rPr>
          <w:rFonts w:ascii="Microsoft JhengHei"/>
          <w:b/>
          <w:color w:val="000000" w:themeColor="text1"/>
          <w:sz w:val="24"/>
          <w:szCs w:val="24"/>
          <w:highlight w:val="none"/>
          <w14:textFill>
            <w14:solidFill>
              <w14:schemeClr w14:val="tx1"/>
            </w14:solidFill>
          </w14:textFill>
        </w:rPr>
      </w:pPr>
      <w:bookmarkStart w:id="42" w:name="_bookmark126"/>
      <w:bookmarkEnd w:id="42"/>
      <w:bookmarkStart w:id="43" w:name="_bookmark126"/>
      <w:bookmarkEnd w:id="43"/>
      <w:r>
        <w:rPr>
          <w:color w:val="000000" w:themeColor="text1"/>
          <w:sz w:val="24"/>
          <w:szCs w:val="24"/>
          <w:highlight w:val="none"/>
          <w14:textFill>
            <w14:solidFill>
              <w14:schemeClr w14:val="tx1"/>
            </w14:solidFill>
          </w14:textFill>
        </w:rPr>
        <w:t>开箱检验、安装、调试、考核、验收</w:t>
      </w:r>
    </w:p>
    <w:p w14:paraId="0622061F">
      <w:pPr>
        <w:pStyle w:val="4"/>
        <w:numPr>
          <w:ilvl w:val="1"/>
          <w:numId w:val="8"/>
        </w:numPr>
        <w:tabs>
          <w:tab w:val="left" w:pos="727"/>
        </w:tabs>
        <w:spacing w:before="1" w:after="0" w:line="360" w:lineRule="auto"/>
        <w:ind w:left="726" w:right="0" w:hanging="489"/>
        <w:jc w:val="left"/>
        <w:rPr>
          <w:rFonts w:ascii="Times New Roman" w:eastAsia="Times New Roman"/>
          <w:color w:val="000000" w:themeColor="text1"/>
          <w:sz w:val="24"/>
          <w:szCs w:val="24"/>
          <w:highlight w:val="none"/>
          <w14:textFill>
            <w14:solidFill>
              <w14:schemeClr w14:val="tx1"/>
            </w14:solidFill>
          </w14:textFill>
        </w:rPr>
      </w:pPr>
      <w:bookmarkStart w:id="44" w:name="_bookmark127"/>
      <w:bookmarkEnd w:id="44"/>
      <w:bookmarkStart w:id="45" w:name="_bookmark127"/>
      <w:bookmarkEnd w:id="45"/>
      <w:r>
        <w:rPr>
          <w:color w:val="000000" w:themeColor="text1"/>
          <w:sz w:val="24"/>
          <w:szCs w:val="24"/>
          <w:highlight w:val="none"/>
          <w14:textFill>
            <w14:solidFill>
              <w14:schemeClr w14:val="tx1"/>
            </w14:solidFill>
          </w14:textFill>
        </w:rPr>
        <w:t>开箱检验</w:t>
      </w:r>
    </w:p>
    <w:p w14:paraId="23B4FC0C">
      <w:pPr>
        <w:pStyle w:val="22"/>
        <w:numPr>
          <w:ilvl w:val="2"/>
          <w:numId w:val="8"/>
        </w:numPr>
        <w:tabs>
          <w:tab w:val="left" w:pos="1046"/>
        </w:tabs>
        <w:spacing w:before="246" w:after="0" w:line="360" w:lineRule="auto"/>
        <w:ind w:left="100" w:right="213" w:firstLine="420"/>
        <w:jc w:val="left"/>
        <w:rPr>
          <w:color w:val="000000" w:themeColor="text1"/>
          <w:sz w:val="24"/>
          <w:szCs w:val="24"/>
          <w:highlight w:val="none"/>
          <w14:textFill>
            <w14:solidFill>
              <w14:schemeClr w14:val="tx1"/>
            </w14:solidFill>
          </w14:textFill>
        </w:rPr>
      </w:pPr>
      <w:r>
        <w:rPr>
          <w:color w:val="000000" w:themeColor="text1"/>
          <w:spacing w:val="-8"/>
          <w:sz w:val="24"/>
          <w:szCs w:val="24"/>
          <w:highlight w:val="none"/>
          <w14:textFill>
            <w14:solidFill>
              <w14:schemeClr w14:val="tx1"/>
            </w14:solidFill>
          </w14:textFill>
        </w:rPr>
        <w:t>合同设备交付后应进行开箱检验，即合同设备数量及外观检验。开箱检验在专用合同</w:t>
      </w:r>
      <w:r>
        <w:rPr>
          <w:color w:val="000000" w:themeColor="text1"/>
          <w:spacing w:val="-5"/>
          <w:sz w:val="24"/>
          <w:szCs w:val="24"/>
          <w:highlight w:val="none"/>
          <w14:textFill>
            <w14:solidFill>
              <w14:schemeClr w14:val="tx1"/>
            </w14:solidFill>
          </w14:textFill>
        </w:rPr>
        <w:t>条款约定的下列任一种时间进行：</w:t>
      </w:r>
    </w:p>
    <w:p w14:paraId="10C72017">
      <w:pPr>
        <w:pStyle w:val="7"/>
        <w:spacing w:before="51"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1</w:t>
      </w:r>
      <w:r>
        <w:rPr>
          <w:color w:val="000000" w:themeColor="text1"/>
          <w:sz w:val="24"/>
          <w:szCs w:val="24"/>
          <w:highlight w:val="none"/>
          <w14:textFill>
            <w14:solidFill>
              <w14:schemeClr w14:val="tx1"/>
            </w14:solidFill>
          </w14:textFill>
        </w:rPr>
        <w:t>）合同设备交付时；</w:t>
      </w:r>
    </w:p>
    <w:p w14:paraId="4876026D">
      <w:pPr>
        <w:pStyle w:val="7"/>
        <w:spacing w:before="117"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2</w:t>
      </w:r>
      <w:r>
        <w:rPr>
          <w:color w:val="000000" w:themeColor="text1"/>
          <w:sz w:val="24"/>
          <w:szCs w:val="24"/>
          <w:highlight w:val="none"/>
          <w14:textFill>
            <w14:solidFill>
              <w14:schemeClr w14:val="tx1"/>
            </w14:solidFill>
          </w14:textFill>
        </w:rPr>
        <w:t>）合同设备交付后的一定期限内。</w:t>
      </w:r>
    </w:p>
    <w:p w14:paraId="297EBB97">
      <w:pPr>
        <w:pStyle w:val="7"/>
        <w:spacing w:before="117" w:line="360" w:lineRule="auto"/>
        <w:ind w:left="100" w:right="126" w:firstLine="419"/>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 xml:space="preserve">如开箱检验不在合同设备交付时进行，买方应在开箱检验 </w:t>
      </w:r>
      <w:r>
        <w:rPr>
          <w:rFonts w:ascii="Times New Roman" w:eastAsia="Times New Roman"/>
          <w:color w:val="000000" w:themeColor="text1"/>
          <w:sz w:val="24"/>
          <w:szCs w:val="24"/>
          <w:highlight w:val="none"/>
          <w14:textFill>
            <w14:solidFill>
              <w14:schemeClr w14:val="tx1"/>
            </w14:solidFill>
          </w14:textFill>
        </w:rPr>
        <w:t xml:space="preserve">3 </w:t>
      </w:r>
      <w:r>
        <w:rPr>
          <w:color w:val="000000" w:themeColor="text1"/>
          <w:sz w:val="24"/>
          <w:szCs w:val="24"/>
          <w:highlight w:val="none"/>
          <w14:textFill>
            <w14:solidFill>
              <w14:schemeClr w14:val="tx1"/>
            </w14:solidFill>
          </w14:textFill>
        </w:rPr>
        <w:t>日前将开箱检验的时间和地点通知卖方。</w:t>
      </w:r>
    </w:p>
    <w:p w14:paraId="31A5C6F4">
      <w:pPr>
        <w:pStyle w:val="22"/>
        <w:numPr>
          <w:ilvl w:val="2"/>
          <w:numId w:val="8"/>
        </w:numPr>
        <w:tabs>
          <w:tab w:val="left" w:pos="1046"/>
        </w:tabs>
        <w:spacing w:before="46" w:after="0" w:line="360" w:lineRule="auto"/>
        <w:ind w:left="1046" w:right="0" w:hanging="526"/>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除专用合同条款另有约定外，合同设备的开箱检验应在施工场地进行。</w:t>
      </w:r>
    </w:p>
    <w:p w14:paraId="749D83E6">
      <w:pPr>
        <w:pStyle w:val="22"/>
        <w:numPr>
          <w:ilvl w:val="2"/>
          <w:numId w:val="8"/>
        </w:numPr>
        <w:tabs>
          <w:tab w:val="left" w:pos="1046"/>
        </w:tabs>
        <w:spacing w:before="119" w:after="0" w:line="360" w:lineRule="auto"/>
        <w:ind w:left="1046" w:right="0" w:hanging="526"/>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开箱检验由买卖双方共同进行，卖方应自负费用派遣代表到场参加开箱检验。</w:t>
      </w:r>
    </w:p>
    <w:p w14:paraId="1C570130">
      <w:pPr>
        <w:pStyle w:val="22"/>
        <w:numPr>
          <w:ilvl w:val="2"/>
          <w:numId w:val="8"/>
        </w:numPr>
        <w:tabs>
          <w:tab w:val="left" w:pos="1049"/>
        </w:tabs>
        <w:spacing w:before="117" w:after="0" w:line="360" w:lineRule="auto"/>
        <w:ind w:left="100" w:right="109" w:firstLine="420"/>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在开箱检验中，买方和卖方应共同签署数量、外观检验报告，报告应列明检验结果， 包括检验合格或发现的任何短缺、损坏或其它与合同约定不符的情形。</w:t>
      </w:r>
    </w:p>
    <w:p w14:paraId="42DC6719">
      <w:pPr>
        <w:pStyle w:val="22"/>
        <w:numPr>
          <w:ilvl w:val="2"/>
          <w:numId w:val="8"/>
        </w:numPr>
        <w:tabs>
          <w:tab w:val="left" w:pos="1046"/>
        </w:tabs>
        <w:spacing w:before="48" w:after="0" w:line="360" w:lineRule="auto"/>
        <w:ind w:left="100" w:right="211" w:firstLine="420"/>
        <w:jc w:val="both"/>
        <w:rPr>
          <w:color w:val="000000" w:themeColor="text1"/>
          <w:sz w:val="24"/>
          <w:szCs w:val="24"/>
          <w:highlight w:val="none"/>
          <w14:textFill>
            <w14:solidFill>
              <w14:schemeClr w14:val="tx1"/>
            </w14:solidFill>
          </w14:textFill>
        </w:rPr>
      </w:pPr>
      <w:r>
        <w:rPr>
          <w:color w:val="000000" w:themeColor="text1"/>
          <w:spacing w:val="-6"/>
          <w:sz w:val="24"/>
          <w:szCs w:val="24"/>
          <w:highlight w:val="none"/>
          <w14:textFill>
            <w14:solidFill>
              <w14:schemeClr w14:val="tx1"/>
            </w14:solidFill>
          </w14:textFill>
        </w:rPr>
        <w:t>如果卖方代表未能依约或按买方通知到场参加开箱检验，买方有权在卖方代表未在场的情况下进行开箱检验，并签署数量、外观检验报告，对于该检验报告和检验结果，视为卖方</w:t>
      </w:r>
      <w:r>
        <w:rPr>
          <w:color w:val="000000" w:themeColor="text1"/>
          <w:spacing w:val="-4"/>
          <w:sz w:val="24"/>
          <w:szCs w:val="24"/>
          <w:highlight w:val="none"/>
          <w14:textFill>
            <w14:solidFill>
              <w14:schemeClr w14:val="tx1"/>
            </w14:solidFill>
          </w14:textFill>
        </w:rPr>
        <w:t>已接受，但卖方确有合理理由且事先与买方协商推迟开箱检验时间的除外。</w:t>
      </w:r>
    </w:p>
    <w:p w14:paraId="50F3C850">
      <w:pPr>
        <w:pStyle w:val="22"/>
        <w:numPr>
          <w:ilvl w:val="2"/>
          <w:numId w:val="8"/>
        </w:numPr>
        <w:tabs>
          <w:tab w:val="left" w:pos="1046"/>
        </w:tabs>
        <w:spacing w:before="48" w:after="0" w:line="360" w:lineRule="auto"/>
        <w:ind w:left="100" w:right="211" w:firstLine="420"/>
        <w:jc w:val="both"/>
        <w:rPr>
          <w:color w:val="000000" w:themeColor="text1"/>
          <w:spacing w:val="-6"/>
          <w:sz w:val="24"/>
          <w:szCs w:val="24"/>
          <w:highlight w:val="none"/>
          <w14:textFill>
            <w14:solidFill>
              <w14:schemeClr w14:val="tx1"/>
            </w14:solidFill>
          </w14:textFill>
        </w:rPr>
      </w:pPr>
      <w:r>
        <w:rPr>
          <w:color w:val="000000" w:themeColor="text1"/>
          <w:spacing w:val="-6"/>
          <w:sz w:val="24"/>
          <w:szCs w:val="24"/>
          <w:highlight w:val="none"/>
          <w14:textFill>
            <w14:solidFill>
              <w14:schemeClr w14:val="tx1"/>
            </w14:solidFill>
          </w14:textFill>
        </w:rPr>
        <w:t>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14:paraId="0F8F0991">
      <w:pPr>
        <w:pStyle w:val="22"/>
        <w:numPr>
          <w:ilvl w:val="2"/>
          <w:numId w:val="8"/>
        </w:numPr>
        <w:tabs>
          <w:tab w:val="left" w:pos="1046"/>
        </w:tabs>
        <w:spacing w:before="33" w:after="0" w:line="360" w:lineRule="auto"/>
        <w:ind w:left="100" w:right="111" w:firstLine="420"/>
        <w:jc w:val="both"/>
        <w:rPr>
          <w:color w:val="000000" w:themeColor="text1"/>
          <w:sz w:val="24"/>
          <w:szCs w:val="24"/>
          <w:highlight w:val="none"/>
          <w14:textFill>
            <w14:solidFill>
              <w14:schemeClr w14:val="tx1"/>
            </w14:solidFill>
          </w14:textFill>
        </w:rPr>
      </w:pPr>
      <w:r>
        <w:rPr>
          <w:color w:val="000000" w:themeColor="text1"/>
          <w:spacing w:val="-7"/>
          <w:sz w:val="24"/>
          <w:szCs w:val="24"/>
          <w:highlight w:val="none"/>
          <w14:textFill>
            <w14:solidFill>
              <w14:schemeClr w14:val="tx1"/>
            </w14:solidFill>
          </w14:textFill>
        </w:rPr>
        <w:t>如双方在专用合同条款和</w:t>
      </w:r>
      <w:r>
        <w:rPr>
          <w:color w:val="000000" w:themeColor="text1"/>
          <w:spacing w:val="-3"/>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或</w:t>
      </w:r>
      <w:r>
        <w:rPr>
          <w:color w:val="000000" w:themeColor="text1"/>
          <w:spacing w:val="-39"/>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供货要求等合同文件中约定由第三方检测机构对合同设备进行开箱检验或在开箱检验过程中另行约定由第三方检验的，则第三方检测机构的检验结果对双方均具有约束力。</w:t>
      </w:r>
    </w:p>
    <w:p w14:paraId="43CAE7EA">
      <w:pPr>
        <w:pStyle w:val="22"/>
        <w:numPr>
          <w:ilvl w:val="2"/>
          <w:numId w:val="8"/>
        </w:numPr>
        <w:tabs>
          <w:tab w:val="left" w:pos="1046"/>
        </w:tabs>
        <w:spacing w:before="41" w:after="0" w:line="360" w:lineRule="auto"/>
        <w:ind w:left="100" w:right="111" w:firstLine="420"/>
        <w:jc w:val="both"/>
        <w:rPr>
          <w:color w:val="000000" w:themeColor="text1"/>
          <w:sz w:val="24"/>
          <w:szCs w:val="24"/>
          <w:highlight w:val="none"/>
          <w14:textFill>
            <w14:solidFill>
              <w14:schemeClr w14:val="tx1"/>
            </w14:solidFill>
          </w14:textFill>
        </w:rPr>
      </w:pPr>
      <w:r>
        <w:rPr>
          <w:color w:val="000000" w:themeColor="text1"/>
          <w:spacing w:val="-7"/>
          <w:sz w:val="24"/>
          <w:szCs w:val="24"/>
          <w:highlight w:val="none"/>
          <w14:textFill>
            <w14:solidFill>
              <w14:schemeClr w14:val="tx1"/>
            </w14:solidFill>
          </w14:textFill>
        </w:rPr>
        <w:t>开箱检验的检验结果不能对抗在合同设备的安装、调试、考核、验收中及质量保证期内发现的合同设备质量问题，也不能免除或影响卖方依照合同约定对买方负有的包括合同设备</w:t>
      </w:r>
      <w:r>
        <w:rPr>
          <w:color w:val="000000" w:themeColor="text1"/>
          <w:spacing w:val="-5"/>
          <w:sz w:val="24"/>
          <w:szCs w:val="24"/>
          <w:highlight w:val="none"/>
          <w14:textFill>
            <w14:solidFill>
              <w14:schemeClr w14:val="tx1"/>
            </w14:solidFill>
          </w14:textFill>
        </w:rPr>
        <w:t>质量在内的任何义务或责任。</w:t>
      </w:r>
    </w:p>
    <w:p w14:paraId="08ACCE89">
      <w:pPr>
        <w:pStyle w:val="4"/>
        <w:numPr>
          <w:ilvl w:val="1"/>
          <w:numId w:val="8"/>
        </w:numPr>
        <w:tabs>
          <w:tab w:val="left" w:pos="727"/>
        </w:tabs>
        <w:spacing w:before="0" w:after="0" w:line="360" w:lineRule="auto"/>
        <w:ind w:left="726" w:right="0" w:hanging="489"/>
        <w:jc w:val="left"/>
        <w:rPr>
          <w:rFonts w:ascii="Times New Roman" w:eastAsia="Times New Roman"/>
          <w:color w:val="000000" w:themeColor="text1"/>
          <w:sz w:val="24"/>
          <w:szCs w:val="24"/>
          <w:highlight w:val="none"/>
          <w14:textFill>
            <w14:solidFill>
              <w14:schemeClr w14:val="tx1"/>
            </w14:solidFill>
          </w14:textFill>
        </w:rPr>
      </w:pPr>
      <w:bookmarkStart w:id="46" w:name="_bookmark128"/>
      <w:bookmarkEnd w:id="46"/>
      <w:bookmarkStart w:id="47" w:name="_bookmark128"/>
      <w:bookmarkEnd w:id="47"/>
      <w:r>
        <w:rPr>
          <w:color w:val="000000" w:themeColor="text1"/>
          <w:sz w:val="24"/>
          <w:szCs w:val="24"/>
          <w:highlight w:val="none"/>
          <w14:textFill>
            <w14:solidFill>
              <w14:schemeClr w14:val="tx1"/>
            </w14:solidFill>
          </w14:textFill>
        </w:rPr>
        <w:t>安装、调试</w:t>
      </w:r>
    </w:p>
    <w:p w14:paraId="00B20844">
      <w:pPr>
        <w:pStyle w:val="22"/>
        <w:numPr>
          <w:ilvl w:val="2"/>
          <w:numId w:val="8"/>
        </w:numPr>
        <w:tabs>
          <w:tab w:val="left" w:pos="1046"/>
        </w:tabs>
        <w:spacing w:before="249" w:after="0" w:line="360" w:lineRule="auto"/>
        <w:ind w:left="100" w:right="113" w:firstLine="420"/>
        <w:jc w:val="both"/>
        <w:rPr>
          <w:color w:val="000000" w:themeColor="text1"/>
          <w:sz w:val="24"/>
          <w:szCs w:val="24"/>
          <w:highlight w:val="none"/>
          <w14:textFill>
            <w14:solidFill>
              <w14:schemeClr w14:val="tx1"/>
            </w14:solidFill>
          </w14:textFill>
        </w:rPr>
      </w:pPr>
      <w:r>
        <w:rPr>
          <w:color w:val="000000" w:themeColor="text1"/>
          <w:spacing w:val="-19"/>
          <w:sz w:val="24"/>
          <w:szCs w:val="24"/>
          <w:highlight w:val="none"/>
          <w14:textFill>
            <w14:solidFill>
              <w14:schemeClr w14:val="tx1"/>
            </w14:solidFill>
          </w14:textFill>
        </w:rPr>
        <w:t>开箱检验完成后，双方应对合同设备进行安装、调试，以使其具备考核的状态。安装、</w:t>
      </w:r>
      <w:r>
        <w:rPr>
          <w:color w:val="000000" w:themeColor="text1"/>
          <w:spacing w:val="-8"/>
          <w:sz w:val="24"/>
          <w:szCs w:val="24"/>
          <w:highlight w:val="none"/>
          <w14:textFill>
            <w14:solidFill>
              <w14:schemeClr w14:val="tx1"/>
            </w14:solidFill>
          </w14:textFill>
        </w:rPr>
        <w:t>调试应按照专用合同条款约定的下列任一种方式进行：</w:t>
      </w:r>
    </w:p>
    <w:p w14:paraId="0A89F806">
      <w:pPr>
        <w:pStyle w:val="7"/>
        <w:spacing w:before="49"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1</w:t>
      </w:r>
      <w:r>
        <w:rPr>
          <w:color w:val="000000" w:themeColor="text1"/>
          <w:sz w:val="24"/>
          <w:szCs w:val="24"/>
          <w:highlight w:val="none"/>
          <w14:textFill>
            <w14:solidFill>
              <w14:schemeClr w14:val="tx1"/>
            </w14:solidFill>
          </w14:textFill>
        </w:rPr>
        <w:t>）卖方按照合同约定完成合同设备的安装、调试工作；</w:t>
      </w:r>
    </w:p>
    <w:p w14:paraId="3054AA88">
      <w:pPr>
        <w:pStyle w:val="7"/>
        <w:spacing w:before="117"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2</w:t>
      </w:r>
      <w:r>
        <w:rPr>
          <w:color w:val="000000" w:themeColor="text1"/>
          <w:sz w:val="24"/>
          <w:szCs w:val="24"/>
          <w:highlight w:val="none"/>
          <w14:textFill>
            <w14:solidFill>
              <w14:schemeClr w14:val="tx1"/>
            </w14:solidFill>
          </w14:textFill>
        </w:rPr>
        <w:t>）买方或买方安排第三方负责合同设备的安装、调试工作，卖方提供技术服务。</w:t>
      </w:r>
    </w:p>
    <w:p w14:paraId="0DF9AA71">
      <w:pPr>
        <w:pStyle w:val="7"/>
        <w:spacing w:before="119" w:line="360" w:lineRule="auto"/>
        <w:ind w:left="100" w:right="113" w:firstLine="419"/>
        <w:jc w:val="both"/>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14:paraId="0195D338">
      <w:pPr>
        <w:pStyle w:val="22"/>
        <w:numPr>
          <w:ilvl w:val="2"/>
          <w:numId w:val="8"/>
        </w:numPr>
        <w:tabs>
          <w:tab w:val="left" w:pos="1046"/>
        </w:tabs>
        <w:spacing w:before="29" w:after="0" w:line="360" w:lineRule="auto"/>
        <w:ind w:left="100" w:right="114" w:firstLine="420"/>
        <w:jc w:val="both"/>
        <w:rPr>
          <w:color w:val="000000" w:themeColor="text1"/>
          <w:sz w:val="24"/>
          <w:szCs w:val="24"/>
          <w:highlight w:val="none"/>
          <w14:textFill>
            <w14:solidFill>
              <w14:schemeClr w14:val="tx1"/>
            </w14:solidFill>
          </w14:textFill>
        </w:rPr>
      </w:pPr>
      <w:r>
        <w:rPr>
          <w:color w:val="000000" w:themeColor="text1"/>
          <w:spacing w:val="-9"/>
          <w:sz w:val="24"/>
          <w:szCs w:val="24"/>
          <w:highlight w:val="none"/>
          <w14:textFill>
            <w14:solidFill>
              <w14:schemeClr w14:val="tx1"/>
            </w14:solidFill>
          </w14:textFill>
        </w:rPr>
        <w:t>除专用合同条款另有约定外，安装、调试中合同设备运行需要的用水、用电、其他动</w:t>
      </w:r>
      <w:r>
        <w:rPr>
          <w:color w:val="000000" w:themeColor="text1"/>
          <w:spacing w:val="-6"/>
          <w:sz w:val="24"/>
          <w:szCs w:val="24"/>
          <w:highlight w:val="none"/>
          <w14:textFill>
            <w14:solidFill>
              <w14:schemeClr w14:val="tx1"/>
            </w14:solidFill>
          </w14:textFill>
        </w:rPr>
        <w:t>力和原材料</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如需要</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等均由买方承担。</w:t>
      </w:r>
    </w:p>
    <w:p w14:paraId="499E6C89">
      <w:pPr>
        <w:pStyle w:val="22"/>
        <w:numPr>
          <w:ilvl w:val="2"/>
          <w:numId w:val="8"/>
        </w:numPr>
        <w:tabs>
          <w:tab w:val="left" w:pos="1046"/>
        </w:tabs>
        <w:spacing w:before="46" w:after="0" w:line="360" w:lineRule="auto"/>
        <w:ind w:left="1046" w:right="0" w:hanging="526"/>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双方应对合同设备的安装、调试情况共同及时进行记录。</w:t>
      </w:r>
    </w:p>
    <w:p w14:paraId="744E3879">
      <w:pPr>
        <w:pStyle w:val="4"/>
        <w:numPr>
          <w:ilvl w:val="1"/>
          <w:numId w:val="8"/>
        </w:numPr>
        <w:tabs>
          <w:tab w:val="left" w:pos="727"/>
        </w:tabs>
        <w:spacing w:before="0" w:after="0" w:line="360" w:lineRule="auto"/>
        <w:ind w:left="726" w:right="0" w:hanging="489"/>
        <w:jc w:val="left"/>
        <w:rPr>
          <w:rFonts w:ascii="Times New Roman" w:eastAsia="Times New Roman"/>
          <w:color w:val="000000" w:themeColor="text1"/>
          <w:sz w:val="24"/>
          <w:szCs w:val="24"/>
          <w:highlight w:val="none"/>
          <w14:textFill>
            <w14:solidFill>
              <w14:schemeClr w14:val="tx1"/>
            </w14:solidFill>
          </w14:textFill>
        </w:rPr>
      </w:pPr>
      <w:bookmarkStart w:id="48" w:name="_bookmark129"/>
      <w:bookmarkEnd w:id="48"/>
      <w:bookmarkStart w:id="49" w:name="_bookmark129"/>
      <w:bookmarkEnd w:id="49"/>
      <w:r>
        <w:rPr>
          <w:color w:val="000000" w:themeColor="text1"/>
          <w:sz w:val="24"/>
          <w:szCs w:val="24"/>
          <w:highlight w:val="none"/>
          <w14:textFill>
            <w14:solidFill>
              <w14:schemeClr w14:val="tx1"/>
            </w14:solidFill>
          </w14:textFill>
        </w:rPr>
        <w:t>考核</w:t>
      </w:r>
    </w:p>
    <w:p w14:paraId="31EB8D45">
      <w:pPr>
        <w:pStyle w:val="22"/>
        <w:numPr>
          <w:ilvl w:val="2"/>
          <w:numId w:val="8"/>
        </w:numPr>
        <w:tabs>
          <w:tab w:val="left" w:pos="1046"/>
        </w:tabs>
        <w:spacing w:before="248" w:after="0" w:line="360" w:lineRule="auto"/>
        <w:ind w:left="100" w:right="113" w:firstLine="420"/>
        <w:jc w:val="both"/>
        <w:rPr>
          <w:color w:val="000000" w:themeColor="text1"/>
          <w:sz w:val="24"/>
          <w:szCs w:val="24"/>
          <w:highlight w:val="none"/>
          <w14:textFill>
            <w14:solidFill>
              <w14:schemeClr w14:val="tx1"/>
            </w14:solidFill>
          </w14:textFill>
        </w:rPr>
      </w:pPr>
      <w:r>
        <w:rPr>
          <w:color w:val="000000" w:themeColor="text1"/>
          <w:spacing w:val="-10"/>
          <w:sz w:val="24"/>
          <w:szCs w:val="24"/>
          <w:highlight w:val="none"/>
          <w14:textFill>
            <w14:solidFill>
              <w14:schemeClr w14:val="tx1"/>
            </w14:solidFill>
          </w14:textFill>
        </w:rPr>
        <w:t>安装、调试完成后，双方应对合同设备进行考核，以确定合同设备是否达到合同约定</w:t>
      </w:r>
      <w:r>
        <w:rPr>
          <w:color w:val="000000" w:themeColor="text1"/>
          <w:spacing w:val="-9"/>
          <w:sz w:val="24"/>
          <w:szCs w:val="24"/>
          <w:highlight w:val="none"/>
          <w14:textFill>
            <w14:solidFill>
              <w14:schemeClr w14:val="tx1"/>
            </w14:solidFill>
          </w14:textFill>
        </w:rPr>
        <w:t>的技术性能考核指标。除专用合同条款另有约定外，考核中合同设备运行需要的用水、用电、</w:t>
      </w:r>
      <w:r>
        <w:rPr>
          <w:color w:val="000000" w:themeColor="text1"/>
          <w:spacing w:val="-5"/>
          <w:sz w:val="24"/>
          <w:szCs w:val="24"/>
          <w:highlight w:val="none"/>
          <w14:textFill>
            <w14:solidFill>
              <w14:schemeClr w14:val="tx1"/>
            </w14:solidFill>
          </w14:textFill>
        </w:rPr>
        <w:t>其他动力和原材料</w:t>
      </w:r>
      <w:r>
        <w:rPr>
          <w:color w:val="000000" w:themeColor="text1"/>
          <w:spacing w:val="-3"/>
          <w:sz w:val="24"/>
          <w:szCs w:val="24"/>
          <w:highlight w:val="none"/>
          <w14:textFill>
            <w14:solidFill>
              <w14:schemeClr w14:val="tx1"/>
            </w14:solidFill>
          </w14:textFill>
        </w:rPr>
        <w:t>（</w:t>
      </w:r>
      <w:r>
        <w:rPr>
          <w:color w:val="000000" w:themeColor="text1"/>
          <w:spacing w:val="-2"/>
          <w:sz w:val="24"/>
          <w:szCs w:val="24"/>
          <w:highlight w:val="none"/>
          <w14:textFill>
            <w14:solidFill>
              <w14:schemeClr w14:val="tx1"/>
            </w14:solidFill>
          </w14:textFill>
        </w:rPr>
        <w:t>如需要</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等均由买方承担。</w:t>
      </w:r>
    </w:p>
    <w:p w14:paraId="48363B10">
      <w:pPr>
        <w:pStyle w:val="22"/>
        <w:numPr>
          <w:ilvl w:val="2"/>
          <w:numId w:val="8"/>
        </w:numPr>
        <w:tabs>
          <w:tab w:val="left" w:pos="1046"/>
        </w:tabs>
        <w:spacing w:before="26" w:after="0" w:line="360" w:lineRule="auto"/>
        <w:ind w:left="100" w:right="211" w:firstLine="420"/>
        <w:jc w:val="both"/>
        <w:rPr>
          <w:color w:val="000000" w:themeColor="text1"/>
          <w:sz w:val="24"/>
          <w:szCs w:val="24"/>
          <w:highlight w:val="none"/>
          <w14:textFill>
            <w14:solidFill>
              <w14:schemeClr w14:val="tx1"/>
            </w14:solidFill>
          </w14:textFill>
        </w:rPr>
      </w:pPr>
      <w:r>
        <w:rPr>
          <w:color w:val="000000" w:themeColor="text1"/>
          <w:spacing w:val="-6"/>
          <w:sz w:val="24"/>
          <w:szCs w:val="24"/>
          <w:highlight w:val="none"/>
          <w14:textFill>
            <w14:solidFill>
              <w14:schemeClr w14:val="tx1"/>
            </w14:solidFill>
          </w14:textFill>
        </w:rPr>
        <w:t>如由于卖方原因合同设备在考核中未能达到合同约定的技术性能考核指标，则卖方应在双方同意的期限内采取措施消除合同设备中存在的缺陷，并在缺陷消除以后，尽快进行再次</w:t>
      </w:r>
      <w:r>
        <w:rPr>
          <w:color w:val="000000" w:themeColor="text1"/>
          <w:spacing w:val="-1"/>
          <w:sz w:val="24"/>
          <w:szCs w:val="24"/>
          <w:highlight w:val="none"/>
          <w14:textFill>
            <w14:solidFill>
              <w14:schemeClr w14:val="tx1"/>
            </w14:solidFill>
          </w14:textFill>
        </w:rPr>
        <w:t>考核。</w:t>
      </w:r>
    </w:p>
    <w:p w14:paraId="49FB8B53">
      <w:pPr>
        <w:pStyle w:val="22"/>
        <w:numPr>
          <w:ilvl w:val="2"/>
          <w:numId w:val="8"/>
        </w:numPr>
        <w:tabs>
          <w:tab w:val="left" w:pos="994"/>
        </w:tabs>
        <w:spacing w:before="43" w:after="0" w:line="360" w:lineRule="auto"/>
        <w:ind w:left="100" w:right="213" w:firstLine="420"/>
        <w:jc w:val="both"/>
        <w:rPr>
          <w:color w:val="000000" w:themeColor="text1"/>
          <w:sz w:val="24"/>
          <w:szCs w:val="24"/>
          <w:highlight w:val="none"/>
          <w14:textFill>
            <w14:solidFill>
              <w14:schemeClr w14:val="tx1"/>
            </w14:solidFill>
          </w14:textFill>
        </w:rPr>
      </w:pPr>
      <w:r>
        <w:rPr>
          <w:color w:val="000000" w:themeColor="text1"/>
          <w:spacing w:val="-5"/>
          <w:sz w:val="24"/>
          <w:szCs w:val="24"/>
          <w:highlight w:val="none"/>
          <w14:textFill>
            <w14:solidFill>
              <w14:schemeClr w14:val="tx1"/>
            </w14:solidFill>
          </w14:textFill>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w:t>
      </w:r>
      <w:r>
        <w:rPr>
          <w:color w:val="000000" w:themeColor="text1"/>
          <w:spacing w:val="-4"/>
          <w:sz w:val="24"/>
          <w:szCs w:val="24"/>
          <w:highlight w:val="none"/>
          <w14:textFill>
            <w14:solidFill>
              <w14:schemeClr w14:val="tx1"/>
            </w14:solidFill>
          </w14:textFill>
        </w:rPr>
        <w:t>合同条款的约定进行减价或向买方支付补偿金。</w:t>
      </w:r>
    </w:p>
    <w:p w14:paraId="5E503684">
      <w:pPr>
        <w:pStyle w:val="22"/>
        <w:numPr>
          <w:ilvl w:val="2"/>
          <w:numId w:val="8"/>
        </w:numPr>
        <w:tabs>
          <w:tab w:val="left" w:pos="1046"/>
        </w:tabs>
        <w:spacing w:before="34" w:after="0" w:line="360" w:lineRule="auto"/>
        <w:ind w:left="100" w:right="211" w:firstLine="420"/>
        <w:jc w:val="both"/>
        <w:rPr>
          <w:color w:val="000000" w:themeColor="text1"/>
          <w:sz w:val="24"/>
          <w:szCs w:val="24"/>
          <w:highlight w:val="none"/>
          <w14:textFill>
            <w14:solidFill>
              <w14:schemeClr w14:val="tx1"/>
            </w14:solidFill>
          </w14:textFill>
        </w:rPr>
      </w:pPr>
      <w:r>
        <w:rPr>
          <w:color w:val="000000" w:themeColor="text1"/>
          <w:spacing w:val="-6"/>
          <w:sz w:val="24"/>
          <w:szCs w:val="24"/>
          <w:highlight w:val="none"/>
          <w14:textFill>
            <w14:solidFill>
              <w14:schemeClr w14:val="tx1"/>
            </w14:solidFill>
          </w14:textFill>
        </w:rPr>
        <w:t>如由于买方原因合同设备在考核中未能达到合同约定的技术性能考核指标，则卖方应协助买方安排再次考核。由于买方原因未能达到技术性能考核指标时，为买方进行考核的机会</w:t>
      </w:r>
      <w:r>
        <w:rPr>
          <w:color w:val="000000" w:themeColor="text1"/>
          <w:spacing w:val="-4"/>
          <w:sz w:val="24"/>
          <w:szCs w:val="24"/>
          <w:highlight w:val="none"/>
          <w14:textFill>
            <w14:solidFill>
              <w14:schemeClr w14:val="tx1"/>
            </w14:solidFill>
          </w14:textFill>
        </w:rPr>
        <w:t>不超过三次。</w:t>
      </w:r>
    </w:p>
    <w:p w14:paraId="54EC10F3">
      <w:pPr>
        <w:pStyle w:val="22"/>
        <w:numPr>
          <w:ilvl w:val="2"/>
          <w:numId w:val="8"/>
        </w:numPr>
        <w:tabs>
          <w:tab w:val="left" w:pos="1049"/>
        </w:tabs>
        <w:spacing w:before="42" w:after="0" w:line="360" w:lineRule="auto"/>
        <w:ind w:left="100" w:right="109" w:firstLine="420"/>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考核期间，双方应及时共同记录合同设备的用水、用电、其他动力和原材料</w:t>
      </w:r>
      <w:r>
        <w:rPr>
          <w:color w:val="000000" w:themeColor="text1"/>
          <w:sz w:val="24"/>
          <w:szCs w:val="24"/>
          <w:highlight w:val="none"/>
          <w14:textFill>
            <w14:solidFill>
              <w14:schemeClr w14:val="tx1"/>
            </w14:solidFill>
          </w14:textFill>
        </w:rPr>
        <w:t xml:space="preserve">（如有） </w:t>
      </w:r>
      <w:r>
        <w:rPr>
          <w:color w:val="000000" w:themeColor="text1"/>
          <w:spacing w:val="-3"/>
          <w:sz w:val="24"/>
          <w:szCs w:val="24"/>
          <w:highlight w:val="none"/>
          <w14:textFill>
            <w14:solidFill>
              <w14:schemeClr w14:val="tx1"/>
            </w14:solidFill>
          </w14:textFill>
        </w:rPr>
        <w:t>的使用及设备考核情况。对于未达到技术性能考核指标的，应如实记录设备表现、可能原因及处理情况等。</w:t>
      </w:r>
    </w:p>
    <w:p w14:paraId="3C22C0C6">
      <w:pPr>
        <w:pStyle w:val="4"/>
        <w:numPr>
          <w:ilvl w:val="1"/>
          <w:numId w:val="8"/>
        </w:numPr>
        <w:tabs>
          <w:tab w:val="left" w:pos="727"/>
        </w:tabs>
        <w:spacing w:before="1" w:after="0" w:line="360" w:lineRule="auto"/>
        <w:ind w:left="726" w:right="0" w:hanging="489"/>
        <w:jc w:val="left"/>
        <w:rPr>
          <w:rFonts w:ascii="Times New Roman" w:eastAsia="Times New Roman"/>
          <w:color w:val="000000" w:themeColor="text1"/>
          <w:sz w:val="24"/>
          <w:szCs w:val="24"/>
          <w:highlight w:val="none"/>
          <w14:textFill>
            <w14:solidFill>
              <w14:schemeClr w14:val="tx1"/>
            </w14:solidFill>
          </w14:textFill>
        </w:rPr>
      </w:pPr>
      <w:bookmarkStart w:id="50" w:name="_bookmark130"/>
      <w:bookmarkEnd w:id="50"/>
      <w:bookmarkStart w:id="51" w:name="_bookmark130"/>
      <w:bookmarkEnd w:id="51"/>
      <w:r>
        <w:rPr>
          <w:color w:val="000000" w:themeColor="text1"/>
          <w:sz w:val="24"/>
          <w:szCs w:val="24"/>
          <w:highlight w:val="none"/>
          <w14:textFill>
            <w14:solidFill>
              <w14:schemeClr w14:val="tx1"/>
            </w14:solidFill>
          </w14:textFill>
        </w:rPr>
        <w:t>验收</w:t>
      </w:r>
    </w:p>
    <w:p w14:paraId="7B23E27D">
      <w:pPr>
        <w:pStyle w:val="22"/>
        <w:numPr>
          <w:ilvl w:val="2"/>
          <w:numId w:val="8"/>
        </w:numPr>
        <w:tabs>
          <w:tab w:val="left" w:pos="1046"/>
        </w:tabs>
        <w:spacing w:before="248" w:after="0" w:line="360" w:lineRule="auto"/>
        <w:ind w:left="100" w:right="0" w:firstLine="420"/>
        <w:jc w:val="left"/>
        <w:rPr>
          <w:color w:val="000000" w:themeColor="text1"/>
          <w:sz w:val="24"/>
          <w:szCs w:val="24"/>
          <w:highlight w:val="none"/>
          <w14:textFill>
            <w14:solidFill>
              <w14:schemeClr w14:val="tx1"/>
            </w14:solidFill>
          </w14:textFill>
        </w:rPr>
      </w:pPr>
      <w:r>
        <w:rPr>
          <w:color w:val="000000" w:themeColor="text1"/>
          <w:spacing w:val="-6"/>
          <w:sz w:val="24"/>
          <w:szCs w:val="24"/>
          <w:highlight w:val="none"/>
          <w14:textFill>
            <w14:solidFill>
              <w14:schemeClr w14:val="tx1"/>
            </w14:solidFill>
          </w14:textFill>
        </w:rPr>
        <w:t>如合同设备在考核中达到或视为达到技术性能考核指标，则买卖双方应在考核完成后</w:t>
      </w:r>
    </w:p>
    <w:p w14:paraId="5B312BB1">
      <w:pPr>
        <w:pStyle w:val="22"/>
        <w:numPr>
          <w:ilvl w:val="0"/>
          <w:numId w:val="9"/>
        </w:numPr>
        <w:tabs>
          <w:tab w:val="left" w:pos="312"/>
        </w:tabs>
        <w:spacing w:before="116" w:after="0" w:line="360" w:lineRule="auto"/>
        <w:ind w:left="100" w:right="214" w:firstLine="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日内或专用合同条款另行约定的时间内签署合同设备验收证书一式二份，双方各持一份。验收日期应为合同设备达到或视为达到技术性能考核指标的日期。</w:t>
      </w:r>
    </w:p>
    <w:p w14:paraId="588FCAE5">
      <w:pPr>
        <w:pStyle w:val="22"/>
        <w:numPr>
          <w:ilvl w:val="2"/>
          <w:numId w:val="8"/>
        </w:numPr>
        <w:tabs>
          <w:tab w:val="left" w:pos="1046"/>
        </w:tabs>
        <w:spacing w:before="46" w:after="0" w:line="360" w:lineRule="auto"/>
        <w:ind w:left="100" w:right="211" w:firstLine="420"/>
        <w:jc w:val="both"/>
        <w:rPr>
          <w:color w:val="000000" w:themeColor="text1"/>
          <w:sz w:val="24"/>
          <w:szCs w:val="24"/>
          <w:highlight w:val="none"/>
          <w14:textFill>
            <w14:solidFill>
              <w14:schemeClr w14:val="tx1"/>
            </w14:solidFill>
          </w14:textFill>
        </w:rPr>
      </w:pPr>
      <w:r>
        <w:rPr>
          <w:color w:val="000000" w:themeColor="text1"/>
          <w:spacing w:val="-6"/>
          <w:sz w:val="24"/>
          <w:szCs w:val="24"/>
          <w:highlight w:val="none"/>
          <w14:textFill>
            <w14:solidFill>
              <w14:schemeClr w14:val="tx1"/>
            </w14:solidFill>
          </w14:textFill>
        </w:rPr>
        <w:t>如由于买方原因合同设备在三次考核中均未能达到技术性能考核指标，买卖双方应在</w:t>
      </w:r>
      <w:r>
        <w:rPr>
          <w:color w:val="000000" w:themeColor="text1"/>
          <w:spacing w:val="-10"/>
          <w:sz w:val="24"/>
          <w:szCs w:val="24"/>
          <w:highlight w:val="none"/>
          <w14:textFill>
            <w14:solidFill>
              <w14:schemeClr w14:val="tx1"/>
            </w14:solidFill>
          </w14:textFill>
        </w:rPr>
        <w:t xml:space="preserve">考核结束后 </w:t>
      </w:r>
      <w:r>
        <w:rPr>
          <w:rFonts w:ascii="Times New Roman" w:eastAsia="Times New Roman"/>
          <w:color w:val="000000" w:themeColor="text1"/>
          <w:sz w:val="24"/>
          <w:szCs w:val="24"/>
          <w:highlight w:val="none"/>
          <w14:textFill>
            <w14:solidFill>
              <w14:schemeClr w14:val="tx1"/>
            </w14:solidFill>
          </w14:textFill>
        </w:rPr>
        <w:t>7</w:t>
      </w:r>
      <w:r>
        <w:rPr>
          <w:rFonts w:ascii="Times New Roman" w:eastAsia="Times New Roman"/>
          <w:color w:val="000000" w:themeColor="text1"/>
          <w:spacing w:val="18"/>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日内或专用合同条款另行约定的时间内签署验收款支付函。</w:t>
      </w:r>
    </w:p>
    <w:p w14:paraId="23F6E9CB">
      <w:pPr>
        <w:pStyle w:val="7"/>
        <w:spacing w:before="24" w:line="360" w:lineRule="auto"/>
        <w:ind w:left="100" w:right="211" w:firstLine="419"/>
        <w:jc w:val="both"/>
        <w:rPr>
          <w:color w:val="000000" w:themeColor="text1"/>
          <w:sz w:val="24"/>
          <w:szCs w:val="24"/>
          <w:highlight w:val="none"/>
          <w14:textFill>
            <w14:solidFill>
              <w14:schemeClr w14:val="tx1"/>
            </w14:solidFill>
          </w14:textFill>
        </w:rPr>
      </w:pPr>
      <w:r>
        <w:rPr>
          <w:color w:val="000000" w:themeColor="text1"/>
          <w:spacing w:val="-10"/>
          <w:sz w:val="24"/>
          <w:szCs w:val="24"/>
          <w:highlight w:val="none"/>
          <w14:textFill>
            <w14:solidFill>
              <w14:schemeClr w14:val="tx1"/>
            </w14:solidFill>
          </w14:textFill>
        </w:rPr>
        <w:t xml:space="preserve">除专用合同条款另有约定外，卖方有义务在验收款支付函签署后 </w:t>
      </w:r>
      <w:r>
        <w:rPr>
          <w:rFonts w:ascii="Times New Roman" w:eastAsia="Times New Roman"/>
          <w:color w:val="000000" w:themeColor="text1"/>
          <w:sz w:val="24"/>
          <w:szCs w:val="24"/>
          <w:highlight w:val="none"/>
          <w14:textFill>
            <w14:solidFill>
              <w14:schemeClr w14:val="tx1"/>
            </w14:solidFill>
          </w14:textFill>
        </w:rPr>
        <w:t xml:space="preserve">12 </w:t>
      </w:r>
      <w:r>
        <w:rPr>
          <w:color w:val="000000" w:themeColor="text1"/>
          <w:spacing w:val="-3"/>
          <w:sz w:val="24"/>
          <w:szCs w:val="24"/>
          <w:highlight w:val="none"/>
          <w14:textFill>
            <w14:solidFill>
              <w14:schemeClr w14:val="tx1"/>
            </w14:solidFill>
          </w14:textFill>
        </w:rPr>
        <w:t>个月内应买方要求提供相关技术服务，协助买方采取一切必要措施使合同设备达到技术性能考核指标。买方应承担卖方因此产生的全部费用。</w:t>
      </w:r>
    </w:p>
    <w:p w14:paraId="1E063467">
      <w:pPr>
        <w:pStyle w:val="7"/>
        <w:spacing w:before="38" w:line="360" w:lineRule="auto"/>
        <w:ind w:left="100" w:right="211" w:firstLine="419"/>
        <w:jc w:val="both"/>
        <w:rPr>
          <w:color w:val="000000" w:themeColor="text1"/>
          <w:sz w:val="24"/>
          <w:szCs w:val="24"/>
          <w:highlight w:val="none"/>
          <w14:textFill>
            <w14:solidFill>
              <w14:schemeClr w14:val="tx1"/>
            </w14:solidFill>
          </w14:textFill>
        </w:rPr>
      </w:pPr>
      <w:r>
        <w:rPr>
          <w:color w:val="000000" w:themeColor="text1"/>
          <w:spacing w:val="-10"/>
          <w:sz w:val="24"/>
          <w:szCs w:val="24"/>
          <w:highlight w:val="none"/>
          <w14:textFill>
            <w14:solidFill>
              <w14:schemeClr w14:val="tx1"/>
            </w14:solidFill>
          </w14:textFill>
        </w:rPr>
        <w:t xml:space="preserve">在上述 </w:t>
      </w:r>
      <w:r>
        <w:rPr>
          <w:rFonts w:ascii="Times New Roman" w:eastAsia="Times New Roman"/>
          <w:color w:val="000000" w:themeColor="text1"/>
          <w:sz w:val="24"/>
          <w:szCs w:val="24"/>
          <w:highlight w:val="none"/>
          <w14:textFill>
            <w14:solidFill>
              <w14:schemeClr w14:val="tx1"/>
            </w14:solidFill>
          </w14:textFill>
        </w:rPr>
        <w:t xml:space="preserve">12 </w:t>
      </w:r>
      <w:r>
        <w:rPr>
          <w:color w:val="000000" w:themeColor="text1"/>
          <w:spacing w:val="-9"/>
          <w:sz w:val="24"/>
          <w:szCs w:val="24"/>
          <w:highlight w:val="none"/>
          <w14:textFill>
            <w14:solidFill>
              <w14:schemeClr w14:val="tx1"/>
            </w14:solidFill>
          </w14:textFill>
        </w:rPr>
        <w:t>个月的期限内，如合同设备经过考核达到或视为达到技术性能考核指标，则买卖</w:t>
      </w:r>
      <w:r>
        <w:rPr>
          <w:color w:val="000000" w:themeColor="text1"/>
          <w:spacing w:val="-11"/>
          <w:sz w:val="24"/>
          <w:szCs w:val="24"/>
          <w:highlight w:val="none"/>
          <w14:textFill>
            <w14:solidFill>
              <w14:schemeClr w14:val="tx1"/>
            </w14:solidFill>
          </w14:textFill>
        </w:rPr>
        <w:t xml:space="preserve">双方应按照第 </w:t>
      </w:r>
      <w:r>
        <w:rPr>
          <w:rFonts w:ascii="Times New Roman" w:eastAsia="Times New Roman"/>
          <w:color w:val="000000" w:themeColor="text1"/>
          <w:sz w:val="24"/>
          <w:szCs w:val="24"/>
          <w:highlight w:val="none"/>
          <w14:textFill>
            <w14:solidFill>
              <w14:schemeClr w14:val="tx1"/>
            </w14:solidFill>
          </w14:textFill>
        </w:rPr>
        <w:t xml:space="preserve">6.4.1 </w:t>
      </w:r>
      <w:r>
        <w:rPr>
          <w:color w:val="000000" w:themeColor="text1"/>
          <w:spacing w:val="-3"/>
          <w:sz w:val="24"/>
          <w:szCs w:val="24"/>
          <w:highlight w:val="none"/>
          <w14:textFill>
            <w14:solidFill>
              <w14:schemeClr w14:val="tx1"/>
            </w14:solidFill>
          </w14:textFill>
        </w:rPr>
        <w:t>项的约定签署合同设备验收证书。</w:t>
      </w:r>
    </w:p>
    <w:p w14:paraId="343B048E">
      <w:pPr>
        <w:pStyle w:val="22"/>
        <w:numPr>
          <w:ilvl w:val="2"/>
          <w:numId w:val="8"/>
        </w:numPr>
        <w:tabs>
          <w:tab w:val="left" w:pos="1046"/>
        </w:tabs>
        <w:spacing w:before="24" w:after="0" w:line="360" w:lineRule="auto"/>
        <w:ind w:left="100" w:right="211" w:firstLine="420"/>
        <w:jc w:val="both"/>
        <w:rPr>
          <w:color w:val="000000" w:themeColor="text1"/>
          <w:sz w:val="24"/>
          <w:szCs w:val="24"/>
          <w:highlight w:val="none"/>
          <w14:textFill>
            <w14:solidFill>
              <w14:schemeClr w14:val="tx1"/>
            </w14:solidFill>
          </w14:textFill>
        </w:rPr>
      </w:pPr>
      <w:r>
        <w:rPr>
          <w:color w:val="000000" w:themeColor="text1"/>
          <w:spacing w:val="-10"/>
          <w:sz w:val="24"/>
          <w:szCs w:val="24"/>
          <w:highlight w:val="none"/>
          <w14:textFill>
            <w14:solidFill>
              <w14:schemeClr w14:val="tx1"/>
            </w14:solidFill>
          </w14:textFill>
        </w:rPr>
        <w:t xml:space="preserve">除专用合同条款另有约定外，如由于买方原因在最后一批合同设备交货后 </w:t>
      </w:r>
      <w:r>
        <w:rPr>
          <w:rFonts w:ascii="Times New Roman" w:eastAsia="Times New Roman"/>
          <w:color w:val="000000" w:themeColor="text1"/>
          <w:sz w:val="24"/>
          <w:szCs w:val="24"/>
          <w:highlight w:val="none"/>
          <w14:textFill>
            <w14:solidFill>
              <w14:schemeClr w14:val="tx1"/>
            </w14:solidFill>
          </w14:textFill>
        </w:rPr>
        <w:t>6</w:t>
      </w:r>
      <w:r>
        <w:rPr>
          <w:rFonts w:ascii="Times New Roman" w:eastAsia="Times New Roman"/>
          <w:color w:val="000000" w:themeColor="text1"/>
          <w:spacing w:val="19"/>
          <w:sz w:val="24"/>
          <w:szCs w:val="24"/>
          <w:highlight w:val="none"/>
          <w14:textFill>
            <w14:solidFill>
              <w14:schemeClr w14:val="tx1"/>
            </w14:solidFill>
          </w14:textFill>
        </w:rPr>
        <w:t xml:space="preserve"> </w:t>
      </w:r>
      <w:r>
        <w:rPr>
          <w:color w:val="000000" w:themeColor="text1"/>
          <w:spacing w:val="-2"/>
          <w:sz w:val="24"/>
          <w:szCs w:val="24"/>
          <w:highlight w:val="none"/>
          <w14:textFill>
            <w14:solidFill>
              <w14:schemeClr w14:val="tx1"/>
            </w14:solidFill>
          </w14:textFill>
        </w:rPr>
        <w:t>个月内未</w:t>
      </w:r>
      <w:r>
        <w:rPr>
          <w:color w:val="000000" w:themeColor="text1"/>
          <w:spacing w:val="-4"/>
          <w:sz w:val="24"/>
          <w:szCs w:val="24"/>
          <w:highlight w:val="none"/>
          <w14:textFill>
            <w14:solidFill>
              <w14:schemeClr w14:val="tx1"/>
            </w14:solidFill>
          </w14:textFill>
        </w:rPr>
        <w:t xml:space="preserve">能开始考核，则买卖双方应在上述期限届满后 </w:t>
      </w:r>
      <w:r>
        <w:rPr>
          <w:rFonts w:ascii="Times New Roman" w:eastAsia="Times New Roman"/>
          <w:color w:val="000000" w:themeColor="text1"/>
          <w:sz w:val="24"/>
          <w:szCs w:val="24"/>
          <w:highlight w:val="none"/>
          <w14:textFill>
            <w14:solidFill>
              <w14:schemeClr w14:val="tx1"/>
            </w14:solidFill>
          </w14:textFill>
        </w:rPr>
        <w:t>7</w:t>
      </w:r>
      <w:r>
        <w:rPr>
          <w:rFonts w:ascii="Times New Roman" w:eastAsia="Times New Roman"/>
          <w:color w:val="000000" w:themeColor="text1"/>
          <w:spacing w:val="33"/>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日内或专用合同条款另行约定的时间内签署验收款支付函。</w:t>
      </w:r>
    </w:p>
    <w:p w14:paraId="7FCB05D0">
      <w:pPr>
        <w:pStyle w:val="22"/>
        <w:numPr>
          <w:ilvl w:val="2"/>
          <w:numId w:val="8"/>
        </w:numPr>
        <w:tabs>
          <w:tab w:val="left" w:pos="1046"/>
        </w:tabs>
        <w:spacing w:before="24" w:after="0" w:line="360" w:lineRule="auto"/>
        <w:ind w:left="100" w:right="211" w:firstLine="420"/>
        <w:jc w:val="both"/>
        <w:rPr>
          <w:color w:val="000000" w:themeColor="text1"/>
          <w:spacing w:val="-4"/>
          <w:sz w:val="24"/>
          <w:szCs w:val="24"/>
          <w:highlight w:val="none"/>
          <w14:textFill>
            <w14:solidFill>
              <w14:schemeClr w14:val="tx1"/>
            </w14:solidFill>
          </w14:textFill>
        </w:rPr>
      </w:pPr>
      <w:r>
        <w:rPr>
          <w:color w:val="000000" w:themeColor="text1"/>
          <w:spacing w:val="-4"/>
          <w:sz w:val="24"/>
          <w:szCs w:val="24"/>
          <w:highlight w:val="none"/>
          <w14:textFill>
            <w14:solidFill>
              <w14:schemeClr w14:val="tx1"/>
            </w14:solidFill>
          </w14:textFill>
        </w:rPr>
        <w:t>除专用合同条款另有约定外，卖方有义务在验收款支付函签署后 6 个月内应买方要求提供不超出合同范围的技术服务，协助买方采取一切必要措施使合同设备达到技术性能考核指标，且买方无需因此向卖方支付费用。</w:t>
      </w:r>
    </w:p>
    <w:p w14:paraId="1C91ADB1">
      <w:pPr>
        <w:pStyle w:val="22"/>
        <w:numPr>
          <w:ilvl w:val="2"/>
          <w:numId w:val="8"/>
        </w:numPr>
        <w:tabs>
          <w:tab w:val="left" w:pos="1046"/>
        </w:tabs>
        <w:spacing w:before="24" w:after="0" w:line="360" w:lineRule="auto"/>
        <w:ind w:left="100" w:right="211" w:firstLine="420"/>
        <w:jc w:val="both"/>
        <w:rPr>
          <w:color w:val="000000" w:themeColor="text1"/>
          <w:spacing w:val="-4"/>
          <w:sz w:val="24"/>
          <w:szCs w:val="24"/>
          <w:highlight w:val="none"/>
          <w14:textFill>
            <w14:solidFill>
              <w14:schemeClr w14:val="tx1"/>
            </w14:solidFill>
          </w14:textFill>
        </w:rPr>
      </w:pPr>
      <w:r>
        <w:rPr>
          <w:color w:val="000000" w:themeColor="text1"/>
          <w:spacing w:val="-4"/>
          <w:sz w:val="24"/>
          <w:szCs w:val="24"/>
          <w:highlight w:val="none"/>
          <w14:textFill>
            <w14:solidFill>
              <w14:schemeClr w14:val="tx1"/>
            </w14:solidFill>
          </w14:textFill>
        </w:rPr>
        <w:t>在上述 6 个月的期限内，如合同设备经过考核达到或视为达到技术性能考核指标，则买卖双方应按照第 6.4.1 项的约定签署合同设备验收证书。</w:t>
      </w:r>
    </w:p>
    <w:p w14:paraId="60019CB9">
      <w:pPr>
        <w:pStyle w:val="22"/>
        <w:numPr>
          <w:ilvl w:val="2"/>
          <w:numId w:val="8"/>
        </w:numPr>
        <w:tabs>
          <w:tab w:val="left" w:pos="1046"/>
        </w:tabs>
        <w:spacing w:before="22" w:after="0" w:line="360" w:lineRule="auto"/>
        <w:ind w:left="100" w:right="311" w:firstLine="420"/>
        <w:jc w:val="both"/>
        <w:rPr>
          <w:color w:val="000000" w:themeColor="text1"/>
          <w:sz w:val="24"/>
          <w:szCs w:val="24"/>
          <w:highlight w:val="none"/>
          <w14:textFill>
            <w14:solidFill>
              <w14:schemeClr w14:val="tx1"/>
            </w14:solidFill>
          </w14:textFill>
        </w:rPr>
      </w:pPr>
      <w:r>
        <w:rPr>
          <w:color w:val="000000" w:themeColor="text1"/>
          <w:spacing w:val="-16"/>
          <w:sz w:val="24"/>
          <w:szCs w:val="24"/>
          <w:highlight w:val="none"/>
          <w14:textFill>
            <w14:solidFill>
              <w14:schemeClr w14:val="tx1"/>
            </w14:solidFill>
          </w14:textFill>
        </w:rPr>
        <w:t xml:space="preserve">在第 </w:t>
      </w:r>
      <w:r>
        <w:rPr>
          <w:rFonts w:ascii="Times New Roman" w:eastAsia="Times New Roman"/>
          <w:color w:val="000000" w:themeColor="text1"/>
          <w:sz w:val="24"/>
          <w:szCs w:val="24"/>
          <w:highlight w:val="none"/>
          <w14:textFill>
            <w14:solidFill>
              <w14:schemeClr w14:val="tx1"/>
            </w14:solidFill>
          </w14:textFill>
        </w:rPr>
        <w:t>6.4.2</w:t>
      </w:r>
      <w:r>
        <w:rPr>
          <w:rFonts w:ascii="Times New Roman" w:eastAsia="Times New Roman"/>
          <w:color w:val="000000" w:themeColor="text1"/>
          <w:spacing w:val="5"/>
          <w:sz w:val="24"/>
          <w:szCs w:val="24"/>
          <w:highlight w:val="none"/>
          <w14:textFill>
            <w14:solidFill>
              <w14:schemeClr w14:val="tx1"/>
            </w14:solidFill>
          </w14:textFill>
        </w:rPr>
        <w:t xml:space="preserve"> </w:t>
      </w:r>
      <w:r>
        <w:rPr>
          <w:color w:val="000000" w:themeColor="text1"/>
          <w:spacing w:val="-13"/>
          <w:sz w:val="24"/>
          <w:szCs w:val="24"/>
          <w:highlight w:val="none"/>
          <w14:textFill>
            <w14:solidFill>
              <w14:schemeClr w14:val="tx1"/>
            </w14:solidFill>
          </w14:textFill>
        </w:rPr>
        <w:t xml:space="preserve">项和第 </w:t>
      </w:r>
      <w:r>
        <w:rPr>
          <w:rFonts w:ascii="Times New Roman" w:eastAsia="Times New Roman"/>
          <w:color w:val="000000" w:themeColor="text1"/>
          <w:sz w:val="24"/>
          <w:szCs w:val="24"/>
          <w:highlight w:val="none"/>
          <w14:textFill>
            <w14:solidFill>
              <w14:schemeClr w14:val="tx1"/>
            </w14:solidFill>
          </w14:textFill>
        </w:rPr>
        <w:t>6.4.3</w:t>
      </w:r>
      <w:r>
        <w:rPr>
          <w:rFonts w:ascii="Times New Roman" w:eastAsia="Times New Roman"/>
          <w:color w:val="000000" w:themeColor="text1"/>
          <w:spacing w:val="8"/>
          <w:sz w:val="24"/>
          <w:szCs w:val="24"/>
          <w:highlight w:val="none"/>
          <w14:textFill>
            <w14:solidFill>
              <w14:schemeClr w14:val="tx1"/>
            </w14:solidFill>
          </w14:textFill>
        </w:rPr>
        <w:t xml:space="preserve"> </w:t>
      </w:r>
      <w:r>
        <w:rPr>
          <w:color w:val="000000" w:themeColor="text1"/>
          <w:spacing w:val="-10"/>
          <w:sz w:val="24"/>
          <w:szCs w:val="24"/>
          <w:highlight w:val="none"/>
          <w14:textFill>
            <w14:solidFill>
              <w14:schemeClr w14:val="tx1"/>
            </w14:solidFill>
          </w14:textFill>
        </w:rPr>
        <w:t>项情形下，卖方也可单方签署验收款支付函提交买方，如果买</w:t>
      </w:r>
      <w:r>
        <w:rPr>
          <w:color w:val="000000" w:themeColor="text1"/>
          <w:spacing w:val="-7"/>
          <w:sz w:val="24"/>
          <w:szCs w:val="24"/>
          <w:highlight w:val="none"/>
          <w14:textFill>
            <w14:solidFill>
              <w14:schemeClr w14:val="tx1"/>
            </w14:solidFill>
          </w14:textFill>
        </w:rPr>
        <w:t xml:space="preserve">方在收到卖方签署的验收款支付函后 </w:t>
      </w:r>
      <w:r>
        <w:rPr>
          <w:rFonts w:ascii="Times New Roman" w:eastAsia="Times New Roman"/>
          <w:color w:val="000000" w:themeColor="text1"/>
          <w:sz w:val="24"/>
          <w:szCs w:val="24"/>
          <w:highlight w:val="none"/>
          <w14:textFill>
            <w14:solidFill>
              <w14:schemeClr w14:val="tx1"/>
            </w14:solidFill>
          </w14:textFill>
        </w:rPr>
        <w:t>14</w:t>
      </w:r>
      <w:r>
        <w:rPr>
          <w:rFonts w:ascii="Times New Roman" w:eastAsia="Times New Roman"/>
          <w:color w:val="000000" w:themeColor="text1"/>
          <w:spacing w:val="17"/>
          <w:sz w:val="24"/>
          <w:szCs w:val="24"/>
          <w:highlight w:val="none"/>
          <w14:textFill>
            <w14:solidFill>
              <w14:schemeClr w14:val="tx1"/>
            </w14:solidFill>
          </w14:textFill>
        </w:rPr>
        <w:t xml:space="preserve"> </w:t>
      </w:r>
      <w:r>
        <w:rPr>
          <w:color w:val="000000" w:themeColor="text1"/>
          <w:spacing w:val="-9"/>
          <w:sz w:val="24"/>
          <w:szCs w:val="24"/>
          <w:highlight w:val="none"/>
          <w14:textFill>
            <w14:solidFill>
              <w14:schemeClr w14:val="tx1"/>
            </w14:solidFill>
          </w14:textFill>
        </w:rPr>
        <w:t>日内未向卖方提出书面异议，则验收款支付函自签署之</w:t>
      </w:r>
      <w:r>
        <w:rPr>
          <w:color w:val="000000" w:themeColor="text1"/>
          <w:spacing w:val="-5"/>
          <w:sz w:val="24"/>
          <w:szCs w:val="24"/>
          <w:highlight w:val="none"/>
          <w14:textFill>
            <w14:solidFill>
              <w14:schemeClr w14:val="tx1"/>
            </w14:solidFill>
          </w14:textFill>
        </w:rPr>
        <w:t>日起生效。</w:t>
      </w:r>
    </w:p>
    <w:p w14:paraId="76FB46DA">
      <w:pPr>
        <w:pStyle w:val="22"/>
        <w:numPr>
          <w:ilvl w:val="2"/>
          <w:numId w:val="8"/>
        </w:numPr>
        <w:tabs>
          <w:tab w:val="left" w:pos="972"/>
        </w:tabs>
        <w:spacing w:before="52" w:after="0" w:line="360" w:lineRule="auto"/>
        <w:ind w:left="971" w:right="0" w:hanging="451"/>
        <w:jc w:val="left"/>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合同设备验收证书的签署不能免除卖方在质量保证期内对合同设备应承担的保证责任。</w:t>
      </w:r>
    </w:p>
    <w:p w14:paraId="436B21CC">
      <w:pPr>
        <w:pStyle w:val="3"/>
        <w:numPr>
          <w:ilvl w:val="0"/>
          <w:numId w:val="8"/>
        </w:numPr>
        <w:tabs>
          <w:tab w:val="left" w:pos="502"/>
        </w:tabs>
        <w:spacing w:before="0" w:after="0" w:line="360" w:lineRule="auto"/>
        <w:ind w:left="501" w:right="0" w:hanging="401"/>
        <w:jc w:val="left"/>
        <w:rPr>
          <w:rFonts w:ascii="Microsoft JhengHei"/>
          <w:b/>
          <w:color w:val="000000" w:themeColor="text1"/>
          <w:sz w:val="24"/>
          <w:szCs w:val="24"/>
          <w:highlight w:val="none"/>
          <w14:textFill>
            <w14:solidFill>
              <w14:schemeClr w14:val="tx1"/>
            </w14:solidFill>
          </w14:textFill>
        </w:rPr>
      </w:pPr>
      <w:bookmarkStart w:id="52" w:name="_bookmark131"/>
      <w:bookmarkEnd w:id="52"/>
      <w:bookmarkStart w:id="53" w:name="_bookmark131"/>
      <w:bookmarkEnd w:id="53"/>
      <w:r>
        <w:rPr>
          <w:color w:val="000000" w:themeColor="text1"/>
          <w:sz w:val="24"/>
          <w:szCs w:val="24"/>
          <w:highlight w:val="none"/>
          <w14:textFill>
            <w14:solidFill>
              <w14:schemeClr w14:val="tx1"/>
            </w14:solidFill>
          </w14:textFill>
        </w:rPr>
        <w:t>技术服务</w:t>
      </w:r>
    </w:p>
    <w:p w14:paraId="736D022E">
      <w:pPr>
        <w:pStyle w:val="22"/>
        <w:numPr>
          <w:ilvl w:val="1"/>
          <w:numId w:val="8"/>
        </w:numPr>
        <w:tabs>
          <w:tab w:val="left" w:pos="893"/>
        </w:tabs>
        <w:spacing w:before="0" w:after="0" w:line="360" w:lineRule="auto"/>
        <w:ind w:left="100" w:right="317"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卖方应派遣技术熟练、称职的技术人员到施工场地为买方提供技术服务。卖方的技术</w:t>
      </w:r>
      <w:r>
        <w:rPr>
          <w:color w:val="000000" w:themeColor="text1"/>
          <w:spacing w:val="-3"/>
          <w:sz w:val="24"/>
          <w:szCs w:val="24"/>
          <w:highlight w:val="none"/>
          <w14:textFill>
            <w14:solidFill>
              <w14:schemeClr w14:val="tx1"/>
            </w14:solidFill>
          </w14:textFill>
        </w:rPr>
        <w:t>服务应符合合同的约定。</w:t>
      </w:r>
    </w:p>
    <w:p w14:paraId="39B499BA">
      <w:pPr>
        <w:pStyle w:val="22"/>
        <w:numPr>
          <w:ilvl w:val="1"/>
          <w:numId w:val="8"/>
        </w:numPr>
        <w:tabs>
          <w:tab w:val="left" w:pos="893"/>
        </w:tabs>
        <w:spacing w:before="51" w:after="0" w:line="360" w:lineRule="auto"/>
        <w:ind w:left="100" w:right="314"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买方应免费为卖方技术人员提供工作条件及便利，包括但不限于必要的办公场所、技</w:t>
      </w:r>
      <w:r>
        <w:rPr>
          <w:color w:val="000000" w:themeColor="text1"/>
          <w:spacing w:val="-3"/>
          <w:sz w:val="24"/>
          <w:szCs w:val="24"/>
          <w:highlight w:val="none"/>
          <w14:textFill>
            <w14:solidFill>
              <w14:schemeClr w14:val="tx1"/>
            </w14:solidFill>
          </w14:textFill>
        </w:rPr>
        <w:t>术资料及出入许可等。除专用合同条款另有约定外，卖方技术人员的交通、食宿费用由卖方承担。</w:t>
      </w:r>
    </w:p>
    <w:p w14:paraId="13A695C1">
      <w:pPr>
        <w:pStyle w:val="22"/>
        <w:numPr>
          <w:ilvl w:val="1"/>
          <w:numId w:val="8"/>
        </w:numPr>
        <w:tabs>
          <w:tab w:val="left" w:pos="893"/>
        </w:tabs>
        <w:spacing w:before="40" w:after="0" w:line="360" w:lineRule="auto"/>
        <w:ind w:left="100" w:right="317"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卖方技术人员应遵守买方施工现场的各项规章制度和安全操作规程，并服从买方的现</w:t>
      </w:r>
      <w:r>
        <w:rPr>
          <w:color w:val="000000" w:themeColor="text1"/>
          <w:spacing w:val="-1"/>
          <w:sz w:val="24"/>
          <w:szCs w:val="24"/>
          <w:highlight w:val="none"/>
          <w14:textFill>
            <w14:solidFill>
              <w14:schemeClr w14:val="tx1"/>
            </w14:solidFill>
          </w14:textFill>
        </w:rPr>
        <w:t>场管理。</w:t>
      </w:r>
    </w:p>
    <w:p w14:paraId="249054D8">
      <w:pPr>
        <w:pStyle w:val="22"/>
        <w:numPr>
          <w:ilvl w:val="1"/>
          <w:numId w:val="8"/>
        </w:numPr>
        <w:tabs>
          <w:tab w:val="left" w:pos="893"/>
        </w:tabs>
        <w:spacing w:before="47" w:after="0" w:line="360" w:lineRule="auto"/>
        <w:ind w:left="100" w:right="317" w:firstLine="420"/>
        <w:jc w:val="both"/>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如果任何技术人员不合格，买方有权要求卖方撤换，因撤换而产生的费用应由卖方承</w:t>
      </w:r>
      <w:r>
        <w:rPr>
          <w:color w:val="000000" w:themeColor="text1"/>
          <w:spacing w:val="-3"/>
          <w:sz w:val="24"/>
          <w:szCs w:val="24"/>
          <w:highlight w:val="none"/>
          <w14:textFill>
            <w14:solidFill>
              <w14:schemeClr w14:val="tx1"/>
            </w14:solidFill>
          </w14:textFill>
        </w:rPr>
        <w:t>担。在不影响技术服务并且征得买方同意的条件下，卖方也可自负费用更换其技术人员。</w:t>
      </w:r>
    </w:p>
    <w:p w14:paraId="5E8A00AC">
      <w:pPr>
        <w:pStyle w:val="3"/>
        <w:numPr>
          <w:ilvl w:val="0"/>
          <w:numId w:val="8"/>
        </w:numPr>
        <w:tabs>
          <w:tab w:val="left" w:pos="502"/>
        </w:tabs>
        <w:spacing w:before="0" w:after="0" w:line="360" w:lineRule="auto"/>
        <w:ind w:left="501" w:right="0" w:hanging="401"/>
        <w:jc w:val="left"/>
        <w:rPr>
          <w:rFonts w:ascii="Microsoft JhengHei"/>
          <w:b/>
          <w:color w:val="000000" w:themeColor="text1"/>
          <w:sz w:val="24"/>
          <w:szCs w:val="24"/>
          <w:highlight w:val="none"/>
          <w14:textFill>
            <w14:solidFill>
              <w14:schemeClr w14:val="tx1"/>
            </w14:solidFill>
          </w14:textFill>
        </w:rPr>
      </w:pPr>
      <w:bookmarkStart w:id="54" w:name="_bookmark132"/>
      <w:bookmarkEnd w:id="54"/>
      <w:bookmarkStart w:id="55" w:name="_bookmark132"/>
      <w:bookmarkEnd w:id="55"/>
      <w:r>
        <w:rPr>
          <w:color w:val="000000" w:themeColor="text1"/>
          <w:sz w:val="24"/>
          <w:szCs w:val="24"/>
          <w:highlight w:val="none"/>
          <w14:textFill>
            <w14:solidFill>
              <w14:schemeClr w14:val="tx1"/>
            </w14:solidFill>
          </w14:textFill>
        </w:rPr>
        <w:t>质量保证期</w:t>
      </w:r>
    </w:p>
    <w:p w14:paraId="11BD2CE4">
      <w:pPr>
        <w:pStyle w:val="22"/>
        <w:numPr>
          <w:ilvl w:val="1"/>
          <w:numId w:val="8"/>
        </w:numPr>
        <w:tabs>
          <w:tab w:val="left" w:pos="893"/>
        </w:tabs>
        <w:spacing w:before="0" w:after="0" w:line="360" w:lineRule="auto"/>
        <w:ind w:left="100" w:right="311"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除专用合同条款和（或）供货要求等合同文件另有约定外，合同设备整体质量保证期</w:t>
      </w:r>
      <w:r>
        <w:rPr>
          <w:color w:val="000000" w:themeColor="text1"/>
          <w:spacing w:val="-7"/>
          <w:sz w:val="24"/>
          <w:szCs w:val="24"/>
          <w:highlight w:val="none"/>
          <w14:textFill>
            <w14:solidFill>
              <w14:schemeClr w14:val="tx1"/>
            </w14:solidFill>
          </w14:textFill>
        </w:rPr>
        <w:t xml:space="preserve">为验收之日起 </w:t>
      </w:r>
      <w:r>
        <w:rPr>
          <w:rFonts w:ascii="Times New Roman" w:eastAsia="Times New Roman"/>
          <w:color w:val="000000" w:themeColor="text1"/>
          <w:sz w:val="24"/>
          <w:szCs w:val="24"/>
          <w:highlight w:val="none"/>
          <w14:textFill>
            <w14:solidFill>
              <w14:schemeClr w14:val="tx1"/>
            </w14:solidFill>
          </w14:textFill>
        </w:rPr>
        <w:t>12</w:t>
      </w:r>
      <w:r>
        <w:rPr>
          <w:rFonts w:ascii="Times New Roman" w:eastAsia="Times New Roman"/>
          <w:color w:val="000000" w:themeColor="text1"/>
          <w:spacing w:val="20"/>
          <w:sz w:val="24"/>
          <w:szCs w:val="24"/>
          <w:highlight w:val="none"/>
          <w14:textFill>
            <w14:solidFill>
              <w14:schemeClr w14:val="tx1"/>
            </w14:solidFill>
          </w14:textFill>
        </w:rPr>
        <w:t xml:space="preserve"> </w:t>
      </w:r>
      <w:r>
        <w:rPr>
          <w:color w:val="000000" w:themeColor="text1"/>
          <w:spacing w:val="-10"/>
          <w:sz w:val="24"/>
          <w:szCs w:val="24"/>
          <w:highlight w:val="none"/>
          <w14:textFill>
            <w14:solidFill>
              <w14:schemeClr w14:val="tx1"/>
            </w14:solidFill>
          </w14:textFill>
        </w:rPr>
        <w:t xml:space="preserve">个月。如对合同设备中关键部件的质量保证期有特殊要求的，买卖双方可在专用合同条款中约定。在合同第 </w:t>
      </w:r>
      <w:r>
        <w:rPr>
          <w:rFonts w:ascii="Times New Roman" w:eastAsia="Times New Roman"/>
          <w:color w:val="000000" w:themeColor="text1"/>
          <w:sz w:val="24"/>
          <w:szCs w:val="24"/>
          <w:highlight w:val="none"/>
          <w14:textFill>
            <w14:solidFill>
              <w14:schemeClr w14:val="tx1"/>
            </w14:solidFill>
          </w14:textFill>
        </w:rPr>
        <w:t>6.4.2</w:t>
      </w:r>
      <w:r>
        <w:rPr>
          <w:rFonts w:ascii="Times New Roman" w:eastAsia="Times New Roman"/>
          <w:color w:val="000000" w:themeColor="text1"/>
          <w:spacing w:val="15"/>
          <w:sz w:val="24"/>
          <w:szCs w:val="24"/>
          <w:highlight w:val="none"/>
          <w14:textFill>
            <w14:solidFill>
              <w14:schemeClr w14:val="tx1"/>
            </w14:solidFill>
          </w14:textFill>
        </w:rPr>
        <w:t xml:space="preserve"> </w:t>
      </w:r>
      <w:r>
        <w:rPr>
          <w:color w:val="000000" w:themeColor="text1"/>
          <w:spacing w:val="-9"/>
          <w:sz w:val="24"/>
          <w:szCs w:val="24"/>
          <w:highlight w:val="none"/>
          <w14:textFill>
            <w14:solidFill>
              <w14:schemeClr w14:val="tx1"/>
            </w14:solidFill>
          </w14:textFill>
        </w:rPr>
        <w:t xml:space="preserve">项情形下，无论合同设备何时验收，其质量保证期最长为签署验收款支付函后 </w:t>
      </w:r>
      <w:r>
        <w:rPr>
          <w:rFonts w:ascii="Times New Roman" w:eastAsia="Times New Roman"/>
          <w:color w:val="000000" w:themeColor="text1"/>
          <w:sz w:val="24"/>
          <w:szCs w:val="24"/>
          <w:highlight w:val="none"/>
          <w14:textFill>
            <w14:solidFill>
              <w14:schemeClr w14:val="tx1"/>
            </w14:solidFill>
          </w14:textFill>
        </w:rPr>
        <w:t>12</w:t>
      </w:r>
      <w:r>
        <w:rPr>
          <w:rFonts w:ascii="Times New Roman" w:eastAsia="Times New Roman"/>
          <w:color w:val="000000" w:themeColor="text1"/>
          <w:spacing w:val="16"/>
          <w:sz w:val="24"/>
          <w:szCs w:val="24"/>
          <w:highlight w:val="none"/>
          <w14:textFill>
            <w14:solidFill>
              <w14:schemeClr w14:val="tx1"/>
            </w14:solidFill>
          </w14:textFill>
        </w:rPr>
        <w:t xml:space="preserve"> </w:t>
      </w:r>
      <w:r>
        <w:rPr>
          <w:color w:val="000000" w:themeColor="text1"/>
          <w:spacing w:val="-8"/>
          <w:sz w:val="24"/>
          <w:szCs w:val="24"/>
          <w:highlight w:val="none"/>
          <w14:textFill>
            <w14:solidFill>
              <w14:schemeClr w14:val="tx1"/>
            </w14:solidFill>
          </w14:textFill>
        </w:rPr>
        <w:t xml:space="preserve">个月。在合同第 </w:t>
      </w:r>
      <w:r>
        <w:rPr>
          <w:rFonts w:ascii="Times New Roman" w:eastAsia="Times New Roman"/>
          <w:color w:val="000000" w:themeColor="text1"/>
          <w:sz w:val="24"/>
          <w:szCs w:val="24"/>
          <w:highlight w:val="none"/>
          <w14:textFill>
            <w14:solidFill>
              <w14:schemeClr w14:val="tx1"/>
            </w14:solidFill>
          </w14:textFill>
        </w:rPr>
        <w:t>6.4.3</w:t>
      </w:r>
      <w:r>
        <w:rPr>
          <w:rFonts w:ascii="Times New Roman" w:eastAsia="Times New Roman"/>
          <w:color w:val="000000" w:themeColor="text1"/>
          <w:spacing w:val="16"/>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项情形下，无论合同设备何时验收，其质量保证期</w:t>
      </w:r>
      <w:r>
        <w:rPr>
          <w:color w:val="000000" w:themeColor="text1"/>
          <w:spacing w:val="-7"/>
          <w:sz w:val="24"/>
          <w:szCs w:val="24"/>
          <w:highlight w:val="none"/>
          <w14:textFill>
            <w14:solidFill>
              <w14:schemeClr w14:val="tx1"/>
            </w14:solidFill>
          </w14:textFill>
        </w:rPr>
        <w:t xml:space="preserve">最长为签署验收款支付函后 </w:t>
      </w:r>
      <w:r>
        <w:rPr>
          <w:rFonts w:ascii="Times New Roman" w:eastAsia="Times New Roman"/>
          <w:color w:val="000000" w:themeColor="text1"/>
          <w:sz w:val="24"/>
          <w:szCs w:val="24"/>
          <w:highlight w:val="none"/>
          <w14:textFill>
            <w14:solidFill>
              <w14:schemeClr w14:val="tx1"/>
            </w14:solidFill>
          </w14:textFill>
        </w:rPr>
        <w:t>6</w:t>
      </w:r>
      <w:r>
        <w:rPr>
          <w:rFonts w:ascii="Times New Roman" w:eastAsia="Times New Roman"/>
          <w:color w:val="000000" w:themeColor="text1"/>
          <w:spacing w:val="9"/>
          <w:sz w:val="24"/>
          <w:szCs w:val="24"/>
          <w:highlight w:val="none"/>
          <w14:textFill>
            <w14:solidFill>
              <w14:schemeClr w14:val="tx1"/>
            </w14:solidFill>
          </w14:textFill>
        </w:rPr>
        <w:t xml:space="preserve"> </w:t>
      </w:r>
      <w:r>
        <w:rPr>
          <w:color w:val="000000" w:themeColor="text1"/>
          <w:spacing w:val="-2"/>
          <w:sz w:val="24"/>
          <w:szCs w:val="24"/>
          <w:highlight w:val="none"/>
          <w14:textFill>
            <w14:solidFill>
              <w14:schemeClr w14:val="tx1"/>
            </w14:solidFill>
          </w14:textFill>
        </w:rPr>
        <w:t>个月。</w:t>
      </w:r>
    </w:p>
    <w:p w14:paraId="16F47D74">
      <w:pPr>
        <w:pStyle w:val="22"/>
        <w:numPr>
          <w:ilvl w:val="1"/>
          <w:numId w:val="8"/>
        </w:numPr>
        <w:tabs>
          <w:tab w:val="left" w:pos="893"/>
        </w:tabs>
        <w:spacing w:before="21" w:after="0" w:line="360" w:lineRule="auto"/>
        <w:ind w:left="100" w:right="314"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在质量保证期内如果合同设备出现故障，卖方应自负费用提供质保期服务，对相关合</w:t>
      </w:r>
      <w:r>
        <w:rPr>
          <w:color w:val="000000" w:themeColor="text1"/>
          <w:spacing w:val="-3"/>
          <w:sz w:val="24"/>
          <w:szCs w:val="24"/>
          <w:highlight w:val="none"/>
          <w14:textFill>
            <w14:solidFill>
              <w14:schemeClr w14:val="tx1"/>
            </w14:solidFill>
          </w14:textFill>
        </w:rPr>
        <w:t>同设备进行修理或更换以消除故障。更换的合同设备和</w:t>
      </w:r>
      <w:r>
        <w:rPr>
          <w:color w:val="000000" w:themeColor="text1"/>
          <w:sz w:val="24"/>
          <w:szCs w:val="24"/>
          <w:highlight w:val="none"/>
          <w14:textFill>
            <w14:solidFill>
              <w14:schemeClr w14:val="tx1"/>
            </w14:solidFill>
          </w14:textFill>
        </w:rPr>
        <w:t>（或）</w:t>
      </w:r>
      <w:r>
        <w:rPr>
          <w:color w:val="000000" w:themeColor="text1"/>
          <w:spacing w:val="-3"/>
          <w:sz w:val="24"/>
          <w:szCs w:val="24"/>
          <w:highlight w:val="none"/>
          <w14:textFill>
            <w14:solidFill>
              <w14:schemeClr w14:val="tx1"/>
            </w14:solidFill>
          </w14:textFill>
        </w:rPr>
        <w:t>关键部件的质量保证期应重新计算。但如果合同设备的故障是由于买方原因造成的，则对合同设备进行修理和更换的费用应由买方承担。</w:t>
      </w:r>
    </w:p>
    <w:p w14:paraId="525C39C8">
      <w:pPr>
        <w:pStyle w:val="22"/>
        <w:numPr>
          <w:ilvl w:val="1"/>
          <w:numId w:val="8"/>
        </w:numPr>
        <w:tabs>
          <w:tab w:val="left" w:pos="890"/>
        </w:tabs>
        <w:spacing w:before="26" w:after="0" w:line="360" w:lineRule="auto"/>
        <w:ind w:left="100" w:right="111"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 xml:space="preserve">质量保证期届满后，买方应在 </w:t>
      </w:r>
      <w:r>
        <w:rPr>
          <w:rFonts w:ascii="Times New Roman" w:eastAsia="Times New Roman"/>
          <w:color w:val="000000" w:themeColor="text1"/>
          <w:sz w:val="24"/>
          <w:szCs w:val="24"/>
          <w:highlight w:val="none"/>
          <w14:textFill>
            <w14:solidFill>
              <w14:schemeClr w14:val="tx1"/>
            </w14:solidFill>
          </w14:textFill>
        </w:rPr>
        <w:t>7</w:t>
      </w:r>
      <w:r>
        <w:rPr>
          <w:rFonts w:ascii="Times New Roman" w:eastAsia="Times New Roman"/>
          <w:color w:val="000000" w:themeColor="text1"/>
          <w:spacing w:val="6"/>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日内或专用合同条款另行约定的时间内向卖方出具合同设备的质量保证期届满证书。</w:t>
      </w:r>
    </w:p>
    <w:p w14:paraId="35CAF8CE">
      <w:pPr>
        <w:pStyle w:val="22"/>
        <w:numPr>
          <w:ilvl w:val="1"/>
          <w:numId w:val="8"/>
        </w:numPr>
        <w:tabs>
          <w:tab w:val="left" w:pos="890"/>
        </w:tabs>
        <w:spacing w:before="49" w:after="0" w:line="360" w:lineRule="auto"/>
        <w:ind w:left="100" w:right="111"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pacing w:val="-7"/>
          <w:sz w:val="24"/>
          <w:szCs w:val="24"/>
          <w:highlight w:val="none"/>
          <w14:textFill>
            <w14:solidFill>
              <w14:schemeClr w14:val="tx1"/>
            </w14:solidFill>
          </w14:textFill>
        </w:rPr>
        <w:t xml:space="preserve">在合同第 </w:t>
      </w:r>
      <w:r>
        <w:rPr>
          <w:rFonts w:ascii="Times New Roman" w:eastAsia="Times New Roman"/>
          <w:color w:val="000000" w:themeColor="text1"/>
          <w:sz w:val="24"/>
          <w:szCs w:val="24"/>
          <w:highlight w:val="none"/>
          <w14:textFill>
            <w14:solidFill>
              <w14:schemeClr w14:val="tx1"/>
            </w14:solidFill>
          </w14:textFill>
        </w:rPr>
        <w:t>6.4.2</w:t>
      </w:r>
      <w:r>
        <w:rPr>
          <w:rFonts w:ascii="Times New Roman" w:eastAsia="Times New Roman"/>
          <w:color w:val="000000" w:themeColor="text1"/>
          <w:spacing w:val="29"/>
          <w:sz w:val="24"/>
          <w:szCs w:val="24"/>
          <w:highlight w:val="none"/>
          <w14:textFill>
            <w14:solidFill>
              <w14:schemeClr w14:val="tx1"/>
            </w14:solidFill>
          </w14:textFill>
        </w:rPr>
        <w:t xml:space="preserve"> </w:t>
      </w:r>
      <w:r>
        <w:rPr>
          <w:color w:val="000000" w:themeColor="text1"/>
          <w:spacing w:val="-5"/>
          <w:sz w:val="24"/>
          <w:szCs w:val="24"/>
          <w:highlight w:val="none"/>
          <w14:textFill>
            <w14:solidFill>
              <w14:schemeClr w14:val="tx1"/>
            </w14:solidFill>
          </w14:textFill>
        </w:rPr>
        <w:t xml:space="preserve">项情形下，如在验收款支付函签署后 </w:t>
      </w:r>
      <w:r>
        <w:rPr>
          <w:rFonts w:ascii="Times New Roman" w:eastAsia="Times New Roman"/>
          <w:color w:val="000000" w:themeColor="text1"/>
          <w:sz w:val="24"/>
          <w:szCs w:val="24"/>
          <w:highlight w:val="none"/>
          <w14:textFill>
            <w14:solidFill>
              <w14:schemeClr w14:val="tx1"/>
            </w14:solidFill>
          </w14:textFill>
        </w:rPr>
        <w:t>12</w:t>
      </w:r>
      <w:r>
        <w:rPr>
          <w:rFonts w:ascii="Times New Roman" w:eastAsia="Times New Roman"/>
          <w:color w:val="000000" w:themeColor="text1"/>
          <w:spacing w:val="29"/>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个月内由于买方原因合同设备</w:t>
      </w:r>
      <w:r>
        <w:rPr>
          <w:color w:val="000000" w:themeColor="text1"/>
          <w:spacing w:val="-11"/>
          <w:sz w:val="24"/>
          <w:szCs w:val="24"/>
          <w:highlight w:val="none"/>
          <w14:textFill>
            <w14:solidFill>
              <w14:schemeClr w14:val="tx1"/>
            </w14:solidFill>
          </w14:textFill>
        </w:rPr>
        <w:t xml:space="preserve">仍未能达到技术性能考核指标，则买卖双方应在该 </w:t>
      </w:r>
      <w:r>
        <w:rPr>
          <w:rFonts w:ascii="Times New Roman" w:eastAsia="Times New Roman"/>
          <w:color w:val="000000" w:themeColor="text1"/>
          <w:sz w:val="24"/>
          <w:szCs w:val="24"/>
          <w:highlight w:val="none"/>
          <w14:textFill>
            <w14:solidFill>
              <w14:schemeClr w14:val="tx1"/>
            </w14:solidFill>
          </w14:textFill>
        </w:rPr>
        <w:t>12</w:t>
      </w:r>
      <w:r>
        <w:rPr>
          <w:rFonts w:ascii="Times New Roman" w:eastAsia="Times New Roman"/>
          <w:color w:val="000000" w:themeColor="text1"/>
          <w:spacing w:val="10"/>
          <w:sz w:val="24"/>
          <w:szCs w:val="24"/>
          <w:highlight w:val="none"/>
          <w14:textFill>
            <w14:solidFill>
              <w14:schemeClr w14:val="tx1"/>
            </w14:solidFill>
          </w14:textFill>
        </w:rPr>
        <w:t xml:space="preserve"> </w:t>
      </w:r>
      <w:r>
        <w:rPr>
          <w:color w:val="000000" w:themeColor="text1"/>
          <w:spacing w:val="-10"/>
          <w:sz w:val="24"/>
          <w:szCs w:val="24"/>
          <w:highlight w:val="none"/>
          <w14:textFill>
            <w14:solidFill>
              <w14:schemeClr w14:val="tx1"/>
            </w14:solidFill>
          </w14:textFill>
        </w:rPr>
        <w:t xml:space="preserve">个月届满后 </w:t>
      </w:r>
      <w:r>
        <w:rPr>
          <w:rFonts w:ascii="Times New Roman" w:eastAsia="Times New Roman"/>
          <w:color w:val="000000" w:themeColor="text1"/>
          <w:sz w:val="24"/>
          <w:szCs w:val="24"/>
          <w:highlight w:val="none"/>
          <w14:textFill>
            <w14:solidFill>
              <w14:schemeClr w14:val="tx1"/>
            </w14:solidFill>
          </w14:textFill>
        </w:rPr>
        <w:t>7</w:t>
      </w:r>
      <w:r>
        <w:rPr>
          <w:rFonts w:ascii="Times New Roman" w:eastAsia="Times New Roman"/>
          <w:color w:val="000000" w:themeColor="text1"/>
          <w:spacing w:val="7"/>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日内或专用合同条款另行约定的时间内签署结清款支付函。</w:t>
      </w:r>
    </w:p>
    <w:p w14:paraId="078D81D2">
      <w:pPr>
        <w:pStyle w:val="22"/>
        <w:numPr>
          <w:ilvl w:val="1"/>
          <w:numId w:val="8"/>
        </w:numPr>
        <w:tabs>
          <w:tab w:val="left" w:pos="890"/>
        </w:tabs>
        <w:spacing w:before="47" w:after="0" w:line="360" w:lineRule="auto"/>
        <w:ind w:left="100" w:right="111"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pacing w:val="-12"/>
          <w:sz w:val="24"/>
          <w:szCs w:val="24"/>
          <w:highlight w:val="none"/>
          <w14:textFill>
            <w14:solidFill>
              <w14:schemeClr w14:val="tx1"/>
            </w14:solidFill>
          </w14:textFill>
        </w:rPr>
        <w:t xml:space="preserve">在合同第 </w:t>
      </w:r>
      <w:r>
        <w:rPr>
          <w:rFonts w:ascii="Times New Roman" w:eastAsia="Times New Roman"/>
          <w:color w:val="000000" w:themeColor="text1"/>
          <w:sz w:val="24"/>
          <w:szCs w:val="24"/>
          <w:highlight w:val="none"/>
          <w14:textFill>
            <w14:solidFill>
              <w14:schemeClr w14:val="tx1"/>
            </w14:solidFill>
          </w14:textFill>
        </w:rPr>
        <w:t>6.4.3</w:t>
      </w:r>
      <w:r>
        <w:rPr>
          <w:rFonts w:ascii="Times New Roman" w:eastAsia="Times New Roman"/>
          <w:color w:val="000000" w:themeColor="text1"/>
          <w:spacing w:val="5"/>
          <w:sz w:val="24"/>
          <w:szCs w:val="24"/>
          <w:highlight w:val="none"/>
          <w14:textFill>
            <w14:solidFill>
              <w14:schemeClr w14:val="tx1"/>
            </w14:solidFill>
          </w14:textFill>
        </w:rPr>
        <w:t xml:space="preserve"> </w:t>
      </w:r>
      <w:r>
        <w:rPr>
          <w:color w:val="000000" w:themeColor="text1"/>
          <w:spacing w:val="-9"/>
          <w:sz w:val="24"/>
          <w:szCs w:val="24"/>
          <w:highlight w:val="none"/>
          <w14:textFill>
            <w14:solidFill>
              <w14:schemeClr w14:val="tx1"/>
            </w14:solidFill>
          </w14:textFill>
        </w:rPr>
        <w:t xml:space="preserve">项情形下，如在验收款支付函签署后 </w:t>
      </w:r>
      <w:r>
        <w:rPr>
          <w:rFonts w:ascii="Times New Roman" w:eastAsia="Times New Roman"/>
          <w:color w:val="000000" w:themeColor="text1"/>
          <w:sz w:val="24"/>
          <w:szCs w:val="24"/>
          <w:highlight w:val="none"/>
          <w14:textFill>
            <w14:solidFill>
              <w14:schemeClr w14:val="tx1"/>
            </w14:solidFill>
          </w14:textFill>
        </w:rPr>
        <w:t>6</w:t>
      </w:r>
      <w:r>
        <w:rPr>
          <w:rFonts w:ascii="Times New Roman" w:eastAsia="Times New Roman"/>
          <w:color w:val="000000" w:themeColor="text1"/>
          <w:spacing w:val="5"/>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个月内由于买方原因合同设备仍</w:t>
      </w:r>
      <w:r>
        <w:rPr>
          <w:color w:val="000000" w:themeColor="text1"/>
          <w:spacing w:val="-5"/>
          <w:sz w:val="24"/>
          <w:szCs w:val="24"/>
          <w:highlight w:val="none"/>
          <w14:textFill>
            <w14:solidFill>
              <w14:schemeClr w14:val="tx1"/>
            </w14:solidFill>
          </w14:textFill>
        </w:rPr>
        <w:t xml:space="preserve">未进行考核或仍未达到技术性能考核指标，则买卖双方应在该 </w:t>
      </w:r>
      <w:r>
        <w:rPr>
          <w:rFonts w:ascii="Times New Roman" w:eastAsia="Times New Roman"/>
          <w:color w:val="000000" w:themeColor="text1"/>
          <w:sz w:val="24"/>
          <w:szCs w:val="24"/>
          <w:highlight w:val="none"/>
          <w14:textFill>
            <w14:solidFill>
              <w14:schemeClr w14:val="tx1"/>
            </w14:solidFill>
          </w14:textFill>
        </w:rPr>
        <w:t>6</w:t>
      </w:r>
      <w:r>
        <w:rPr>
          <w:rFonts w:ascii="Times New Roman" w:eastAsia="Times New Roman"/>
          <w:color w:val="000000" w:themeColor="text1"/>
          <w:spacing w:val="18"/>
          <w:sz w:val="24"/>
          <w:szCs w:val="24"/>
          <w:highlight w:val="none"/>
          <w14:textFill>
            <w14:solidFill>
              <w14:schemeClr w14:val="tx1"/>
            </w14:solidFill>
          </w14:textFill>
        </w:rPr>
        <w:t xml:space="preserve"> </w:t>
      </w:r>
      <w:r>
        <w:rPr>
          <w:color w:val="000000" w:themeColor="text1"/>
          <w:spacing w:val="-9"/>
          <w:sz w:val="24"/>
          <w:szCs w:val="24"/>
          <w:highlight w:val="none"/>
          <w14:textFill>
            <w14:solidFill>
              <w14:schemeClr w14:val="tx1"/>
            </w14:solidFill>
          </w14:textFill>
        </w:rPr>
        <w:t xml:space="preserve">个月届满后 </w:t>
      </w:r>
      <w:r>
        <w:rPr>
          <w:rFonts w:ascii="Times New Roman" w:eastAsia="Times New Roman"/>
          <w:color w:val="000000" w:themeColor="text1"/>
          <w:sz w:val="24"/>
          <w:szCs w:val="24"/>
          <w:highlight w:val="none"/>
          <w14:textFill>
            <w14:solidFill>
              <w14:schemeClr w14:val="tx1"/>
            </w14:solidFill>
          </w14:textFill>
        </w:rPr>
        <w:t>7</w:t>
      </w:r>
      <w:r>
        <w:rPr>
          <w:rFonts w:ascii="Times New Roman" w:eastAsia="Times New Roman"/>
          <w:color w:val="000000" w:themeColor="text1"/>
          <w:spacing w:val="18"/>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日内或专用合同条款另行约定的时间内签署结清款支付函。</w:t>
      </w:r>
    </w:p>
    <w:p w14:paraId="73F05D0F">
      <w:pPr>
        <w:pStyle w:val="22"/>
        <w:numPr>
          <w:ilvl w:val="1"/>
          <w:numId w:val="8"/>
        </w:numPr>
        <w:tabs>
          <w:tab w:val="left" w:pos="890"/>
        </w:tabs>
        <w:spacing w:before="47" w:after="0" w:line="360" w:lineRule="auto"/>
        <w:ind w:left="100" w:right="111" w:firstLine="420"/>
        <w:jc w:val="both"/>
        <w:rPr>
          <w:color w:val="000000" w:themeColor="text1"/>
          <w:sz w:val="24"/>
          <w:szCs w:val="24"/>
          <w:highlight w:val="none"/>
          <w14:textFill>
            <w14:solidFill>
              <w14:schemeClr w14:val="tx1"/>
            </w14:solidFill>
          </w14:textFill>
        </w:rPr>
      </w:pPr>
      <w:r>
        <w:rPr>
          <w:color w:val="000000" w:themeColor="text1"/>
          <w:spacing w:val="-16"/>
          <w:sz w:val="24"/>
          <w:szCs w:val="24"/>
          <w:highlight w:val="none"/>
          <w14:textFill>
            <w14:solidFill>
              <w14:schemeClr w14:val="tx1"/>
            </w14:solidFill>
          </w14:textFill>
        </w:rPr>
        <w:t xml:space="preserve">在第 </w:t>
      </w:r>
      <w:r>
        <w:rPr>
          <w:rFonts w:ascii="Times New Roman" w:eastAsia="Times New Roman"/>
          <w:color w:val="000000" w:themeColor="text1"/>
          <w:sz w:val="24"/>
          <w:szCs w:val="24"/>
          <w:highlight w:val="none"/>
          <w14:textFill>
            <w14:solidFill>
              <w14:schemeClr w14:val="tx1"/>
            </w14:solidFill>
          </w14:textFill>
        </w:rPr>
        <w:t>8.4</w:t>
      </w:r>
      <w:r>
        <w:rPr>
          <w:rFonts w:ascii="Times New Roman" w:eastAsia="Times New Roman"/>
          <w:color w:val="000000" w:themeColor="text1"/>
          <w:spacing w:val="9"/>
          <w:sz w:val="24"/>
          <w:szCs w:val="24"/>
          <w:highlight w:val="none"/>
          <w14:textFill>
            <w14:solidFill>
              <w14:schemeClr w14:val="tx1"/>
            </w14:solidFill>
          </w14:textFill>
        </w:rPr>
        <w:t xml:space="preserve"> </w:t>
      </w:r>
      <w:r>
        <w:rPr>
          <w:color w:val="000000" w:themeColor="text1"/>
          <w:spacing w:val="-14"/>
          <w:sz w:val="24"/>
          <w:szCs w:val="24"/>
          <w:highlight w:val="none"/>
          <w14:textFill>
            <w14:solidFill>
              <w14:schemeClr w14:val="tx1"/>
            </w14:solidFill>
          </w14:textFill>
        </w:rPr>
        <w:t xml:space="preserve">款和第 </w:t>
      </w:r>
      <w:r>
        <w:rPr>
          <w:rFonts w:ascii="Times New Roman" w:eastAsia="Times New Roman"/>
          <w:color w:val="000000" w:themeColor="text1"/>
          <w:sz w:val="24"/>
          <w:szCs w:val="24"/>
          <w:highlight w:val="none"/>
          <w14:textFill>
            <w14:solidFill>
              <w14:schemeClr w14:val="tx1"/>
            </w14:solidFill>
          </w14:textFill>
        </w:rPr>
        <w:t>8.5</w:t>
      </w:r>
      <w:r>
        <w:rPr>
          <w:rFonts w:ascii="Times New Roman" w:eastAsia="Times New Roman"/>
          <w:color w:val="000000" w:themeColor="text1"/>
          <w:spacing w:val="7"/>
          <w:sz w:val="24"/>
          <w:szCs w:val="24"/>
          <w:highlight w:val="none"/>
          <w14:textFill>
            <w14:solidFill>
              <w14:schemeClr w14:val="tx1"/>
            </w14:solidFill>
          </w14:textFill>
        </w:rPr>
        <w:t xml:space="preserve"> </w:t>
      </w:r>
      <w:r>
        <w:rPr>
          <w:color w:val="000000" w:themeColor="text1"/>
          <w:spacing w:val="-6"/>
          <w:sz w:val="24"/>
          <w:szCs w:val="24"/>
          <w:highlight w:val="none"/>
          <w14:textFill>
            <w14:solidFill>
              <w14:schemeClr w14:val="tx1"/>
            </w14:solidFill>
          </w14:textFill>
        </w:rPr>
        <w:t xml:space="preserve">款情形下，卖方也可单方签署结清款支付函提交买方，如果买方在收到卖方签署的结清款支付函后 </w:t>
      </w:r>
      <w:r>
        <w:rPr>
          <w:rFonts w:ascii="Times New Roman" w:eastAsia="Times New Roman"/>
          <w:color w:val="000000" w:themeColor="text1"/>
          <w:sz w:val="24"/>
          <w:szCs w:val="24"/>
          <w:highlight w:val="none"/>
          <w14:textFill>
            <w14:solidFill>
              <w14:schemeClr w14:val="tx1"/>
            </w14:solidFill>
          </w14:textFill>
        </w:rPr>
        <w:t>14</w:t>
      </w:r>
      <w:r>
        <w:rPr>
          <w:rFonts w:ascii="Times New Roman" w:eastAsia="Times New Roman"/>
          <w:color w:val="000000" w:themeColor="text1"/>
          <w:spacing w:val="17"/>
          <w:sz w:val="24"/>
          <w:szCs w:val="24"/>
          <w:highlight w:val="none"/>
          <w14:textFill>
            <w14:solidFill>
              <w14:schemeClr w14:val="tx1"/>
            </w14:solidFill>
          </w14:textFill>
        </w:rPr>
        <w:t xml:space="preserve"> </w:t>
      </w:r>
      <w:r>
        <w:rPr>
          <w:color w:val="000000" w:themeColor="text1"/>
          <w:spacing w:val="-9"/>
          <w:sz w:val="24"/>
          <w:szCs w:val="24"/>
          <w:highlight w:val="none"/>
          <w14:textFill>
            <w14:solidFill>
              <w14:schemeClr w14:val="tx1"/>
            </w14:solidFill>
          </w14:textFill>
        </w:rPr>
        <w:t>日内未向卖方提出书面异议，则结清款支付函自签署之日起生效。</w:t>
      </w:r>
    </w:p>
    <w:p w14:paraId="3FA6B1FE">
      <w:pPr>
        <w:pStyle w:val="3"/>
        <w:numPr>
          <w:ilvl w:val="0"/>
          <w:numId w:val="8"/>
        </w:numPr>
        <w:tabs>
          <w:tab w:val="left" w:pos="502"/>
        </w:tabs>
        <w:spacing w:before="0" w:after="0" w:line="360" w:lineRule="auto"/>
        <w:ind w:left="501" w:right="0" w:hanging="401"/>
        <w:jc w:val="left"/>
        <w:rPr>
          <w:rFonts w:ascii="Microsoft JhengHei"/>
          <w:b/>
          <w:color w:val="000000" w:themeColor="text1"/>
          <w:sz w:val="24"/>
          <w:szCs w:val="24"/>
          <w:highlight w:val="none"/>
          <w14:textFill>
            <w14:solidFill>
              <w14:schemeClr w14:val="tx1"/>
            </w14:solidFill>
          </w14:textFill>
        </w:rPr>
      </w:pPr>
      <w:bookmarkStart w:id="56" w:name="_bookmark133"/>
      <w:bookmarkEnd w:id="56"/>
      <w:bookmarkStart w:id="57" w:name="_bookmark133"/>
      <w:bookmarkEnd w:id="57"/>
      <w:r>
        <w:rPr>
          <w:color w:val="000000" w:themeColor="text1"/>
          <w:sz w:val="24"/>
          <w:szCs w:val="24"/>
          <w:highlight w:val="none"/>
          <w14:textFill>
            <w14:solidFill>
              <w14:schemeClr w14:val="tx1"/>
            </w14:solidFill>
          </w14:textFill>
        </w:rPr>
        <w:t>质保期服务</w:t>
      </w:r>
    </w:p>
    <w:p w14:paraId="723D8A6D">
      <w:pPr>
        <w:pStyle w:val="22"/>
        <w:numPr>
          <w:ilvl w:val="1"/>
          <w:numId w:val="8"/>
        </w:numPr>
        <w:tabs>
          <w:tab w:val="left" w:pos="893"/>
        </w:tabs>
        <w:spacing w:before="0" w:after="0" w:line="360" w:lineRule="auto"/>
        <w:ind w:left="100" w:right="111"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卖方应为质保期服务配备充足的技术人员、工具和备件并保证提供的联系方式畅通。</w:t>
      </w:r>
      <w:r>
        <w:rPr>
          <w:color w:val="000000" w:themeColor="text1"/>
          <w:spacing w:val="-6"/>
          <w:sz w:val="24"/>
          <w:szCs w:val="24"/>
          <w:highlight w:val="none"/>
          <w14:textFill>
            <w14:solidFill>
              <w14:schemeClr w14:val="tx1"/>
            </w14:solidFill>
          </w14:textFill>
        </w:rPr>
        <w:t>除专用合同条款和</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或</w:t>
      </w:r>
      <w:r>
        <w:rPr>
          <w:color w:val="000000" w:themeColor="text1"/>
          <w:spacing w:val="-27"/>
          <w:sz w:val="24"/>
          <w:szCs w:val="24"/>
          <w:highlight w:val="none"/>
          <w14:textFill>
            <w14:solidFill>
              <w14:schemeClr w14:val="tx1"/>
            </w14:solidFill>
          </w14:textFill>
        </w:rPr>
        <w:t>）</w:t>
      </w:r>
      <w:r>
        <w:rPr>
          <w:color w:val="000000" w:themeColor="text1"/>
          <w:spacing w:val="-7"/>
          <w:sz w:val="24"/>
          <w:szCs w:val="24"/>
          <w:highlight w:val="none"/>
          <w14:textFill>
            <w14:solidFill>
              <w14:schemeClr w14:val="tx1"/>
            </w14:solidFill>
          </w14:textFill>
        </w:rPr>
        <w:t xml:space="preserve">供货要求等合同文件另有约定外，卖方应在收到买方通知后 </w:t>
      </w:r>
      <w:r>
        <w:rPr>
          <w:rFonts w:ascii="Times New Roman" w:eastAsia="Times New Roman"/>
          <w:color w:val="000000" w:themeColor="text1"/>
          <w:sz w:val="24"/>
          <w:szCs w:val="24"/>
          <w:highlight w:val="none"/>
          <w14:textFill>
            <w14:solidFill>
              <w14:schemeClr w14:val="tx1"/>
            </w14:solidFill>
          </w14:textFill>
        </w:rPr>
        <w:t>24</w:t>
      </w:r>
      <w:r>
        <w:rPr>
          <w:rFonts w:ascii="Times New Roman" w:eastAsia="Times New Roman"/>
          <w:color w:val="000000" w:themeColor="text1"/>
          <w:spacing w:val="20"/>
          <w:sz w:val="24"/>
          <w:szCs w:val="24"/>
          <w:highlight w:val="none"/>
          <w14:textFill>
            <w14:solidFill>
              <w14:schemeClr w14:val="tx1"/>
            </w14:solidFill>
          </w14:textFill>
        </w:rPr>
        <w:t xml:space="preserve"> </w:t>
      </w:r>
      <w:r>
        <w:rPr>
          <w:color w:val="000000" w:themeColor="text1"/>
          <w:spacing w:val="-2"/>
          <w:sz w:val="24"/>
          <w:szCs w:val="24"/>
          <w:highlight w:val="none"/>
          <w14:textFill>
            <w14:solidFill>
              <w14:schemeClr w14:val="tx1"/>
            </w14:solidFill>
          </w14:textFill>
        </w:rPr>
        <w:t>小时内</w:t>
      </w:r>
      <w:r>
        <w:rPr>
          <w:color w:val="000000" w:themeColor="text1"/>
          <w:spacing w:val="-7"/>
          <w:sz w:val="24"/>
          <w:szCs w:val="24"/>
          <w:highlight w:val="none"/>
          <w14:textFill>
            <w14:solidFill>
              <w14:schemeClr w14:val="tx1"/>
            </w14:solidFill>
          </w14:textFill>
        </w:rPr>
        <w:t xml:space="preserve">做出响应，如需卖方到合同设备现场，卖方应在收到买方通知后 </w:t>
      </w:r>
      <w:r>
        <w:rPr>
          <w:rFonts w:ascii="Times New Roman" w:eastAsia="Times New Roman"/>
          <w:color w:val="000000" w:themeColor="text1"/>
          <w:sz w:val="24"/>
          <w:szCs w:val="24"/>
          <w:highlight w:val="none"/>
          <w14:textFill>
            <w14:solidFill>
              <w14:schemeClr w14:val="tx1"/>
            </w14:solidFill>
          </w14:textFill>
        </w:rPr>
        <w:t>48</w:t>
      </w:r>
      <w:r>
        <w:rPr>
          <w:rFonts w:ascii="Times New Roman" w:eastAsia="Times New Roman"/>
          <w:color w:val="000000" w:themeColor="text1"/>
          <w:spacing w:val="13"/>
          <w:sz w:val="24"/>
          <w:szCs w:val="24"/>
          <w:highlight w:val="none"/>
          <w14:textFill>
            <w14:solidFill>
              <w14:schemeClr w14:val="tx1"/>
            </w14:solidFill>
          </w14:textFill>
        </w:rPr>
        <w:t xml:space="preserve"> </w:t>
      </w:r>
      <w:r>
        <w:rPr>
          <w:color w:val="000000" w:themeColor="text1"/>
          <w:spacing w:val="-8"/>
          <w:sz w:val="24"/>
          <w:szCs w:val="24"/>
          <w:highlight w:val="none"/>
          <w14:textFill>
            <w14:solidFill>
              <w14:schemeClr w14:val="tx1"/>
            </w14:solidFill>
          </w14:textFill>
        </w:rPr>
        <w:t xml:space="preserve">小时内到达，并在到达后 </w:t>
      </w:r>
      <w:r>
        <w:rPr>
          <w:rFonts w:ascii="Times New Roman" w:eastAsia="Times New Roman"/>
          <w:color w:val="000000" w:themeColor="text1"/>
          <w:sz w:val="24"/>
          <w:szCs w:val="24"/>
          <w:highlight w:val="none"/>
          <w14:textFill>
            <w14:solidFill>
              <w14:schemeClr w14:val="tx1"/>
            </w14:solidFill>
          </w14:textFill>
        </w:rPr>
        <w:t xml:space="preserve">7 </w:t>
      </w:r>
      <w:r>
        <w:rPr>
          <w:color w:val="000000" w:themeColor="text1"/>
          <w:spacing w:val="-6"/>
          <w:sz w:val="24"/>
          <w:szCs w:val="24"/>
          <w:highlight w:val="none"/>
          <w14:textFill>
            <w14:solidFill>
              <w14:schemeClr w14:val="tx1"/>
            </w14:solidFill>
          </w14:textFill>
        </w:rPr>
        <w:t>日内解决合同设备的故障</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重大故障除外</w:t>
      </w:r>
      <w:r>
        <w:rPr>
          <w:color w:val="000000" w:themeColor="text1"/>
          <w:spacing w:val="-108"/>
          <w:sz w:val="24"/>
          <w:szCs w:val="24"/>
          <w:highlight w:val="none"/>
          <w14:textFill>
            <w14:solidFill>
              <w14:schemeClr w14:val="tx1"/>
            </w14:solidFill>
          </w14:textFill>
        </w:rPr>
        <w:t>）</w:t>
      </w:r>
      <w:r>
        <w:rPr>
          <w:color w:val="000000" w:themeColor="text1"/>
          <w:spacing w:val="-9"/>
          <w:sz w:val="24"/>
          <w:szCs w:val="24"/>
          <w:highlight w:val="none"/>
          <w14:textFill>
            <w14:solidFill>
              <w14:schemeClr w14:val="tx1"/>
            </w14:solidFill>
          </w14:textFill>
        </w:rPr>
        <w:t>。如果卖方未在上述时间内作出响应，则买方有权自</w:t>
      </w:r>
      <w:r>
        <w:rPr>
          <w:color w:val="000000" w:themeColor="text1"/>
          <w:spacing w:val="-5"/>
          <w:sz w:val="24"/>
          <w:szCs w:val="24"/>
          <w:highlight w:val="none"/>
          <w14:textFill>
            <w14:solidFill>
              <w14:schemeClr w14:val="tx1"/>
            </w14:solidFill>
          </w14:textFill>
        </w:rPr>
        <w:t>行或委托他人解决相关问题或查找和解决合同设备的故障，卖方应承担由此发生的全部费用。</w:t>
      </w:r>
    </w:p>
    <w:p w14:paraId="37BC84C6">
      <w:pPr>
        <w:pStyle w:val="22"/>
        <w:numPr>
          <w:ilvl w:val="1"/>
          <w:numId w:val="8"/>
        </w:numPr>
        <w:tabs>
          <w:tab w:val="left" w:pos="893"/>
        </w:tabs>
        <w:spacing w:before="42" w:after="0" w:line="360" w:lineRule="auto"/>
        <w:ind w:left="100" w:right="114"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如卖方技术人员需到合同设备现场进行质保期服务，则买方应免费为卖方技术人员提</w:t>
      </w:r>
      <w:r>
        <w:rPr>
          <w:color w:val="000000" w:themeColor="text1"/>
          <w:spacing w:val="-3"/>
          <w:sz w:val="24"/>
          <w:szCs w:val="24"/>
          <w:highlight w:val="none"/>
          <w14:textFill>
            <w14:solidFill>
              <w14:schemeClr w14:val="tx1"/>
            </w14:solidFill>
          </w14:textFill>
        </w:rPr>
        <w:t>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14:paraId="762A19A8">
      <w:pPr>
        <w:pStyle w:val="22"/>
        <w:numPr>
          <w:ilvl w:val="1"/>
          <w:numId w:val="8"/>
        </w:numPr>
        <w:tabs>
          <w:tab w:val="left" w:pos="893"/>
        </w:tabs>
        <w:spacing w:before="36" w:after="0" w:line="360" w:lineRule="auto"/>
        <w:ind w:left="100" w:right="117"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如果任何技术人员不合格，买方有权要求卖方撤换，因撤换而产生的费用应由卖方承</w:t>
      </w:r>
      <w:r>
        <w:rPr>
          <w:color w:val="000000" w:themeColor="text1"/>
          <w:spacing w:val="-3"/>
          <w:sz w:val="24"/>
          <w:szCs w:val="24"/>
          <w:highlight w:val="none"/>
          <w14:textFill>
            <w14:solidFill>
              <w14:schemeClr w14:val="tx1"/>
            </w14:solidFill>
          </w14:textFill>
        </w:rPr>
        <w:t>担。在不影响质保期服务并且征得买方同意的条件下，卖方也可自负费用更换其技术人员。</w:t>
      </w:r>
    </w:p>
    <w:p w14:paraId="5CFFE899">
      <w:pPr>
        <w:pStyle w:val="22"/>
        <w:numPr>
          <w:ilvl w:val="1"/>
          <w:numId w:val="8"/>
        </w:numPr>
        <w:tabs>
          <w:tab w:val="left" w:pos="893"/>
        </w:tabs>
        <w:spacing w:before="48" w:after="0" w:line="360" w:lineRule="auto"/>
        <w:ind w:left="100" w:right="114"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除专用合同条款另有约定外，卖方应就在施工现场进行质保期服务的情况进行记录，</w:t>
      </w:r>
      <w:r>
        <w:rPr>
          <w:color w:val="000000" w:themeColor="text1"/>
          <w:spacing w:val="-3"/>
          <w:sz w:val="24"/>
          <w:szCs w:val="24"/>
          <w:highlight w:val="none"/>
          <w14:textFill>
            <w14:solidFill>
              <w14:schemeClr w14:val="tx1"/>
            </w14:solidFill>
          </w14:textFill>
        </w:rPr>
        <w:t>记载合同设备故障发生的时间、原因及解决情况等，由买方签字确认，并在质量保证期结束后提交给买方。</w:t>
      </w:r>
    </w:p>
    <w:p w14:paraId="309B502A">
      <w:pPr>
        <w:pStyle w:val="3"/>
        <w:numPr>
          <w:ilvl w:val="0"/>
          <w:numId w:val="8"/>
        </w:numPr>
        <w:tabs>
          <w:tab w:val="left" w:pos="660"/>
        </w:tabs>
        <w:spacing w:before="177" w:after="0" w:line="360" w:lineRule="auto"/>
        <w:ind w:left="659" w:right="0" w:hanging="559"/>
        <w:jc w:val="left"/>
        <w:rPr>
          <w:rFonts w:ascii="Microsoft JhengHei"/>
          <w:b/>
          <w:color w:val="000000" w:themeColor="text1"/>
          <w:sz w:val="24"/>
          <w:szCs w:val="24"/>
          <w:highlight w:val="none"/>
          <w14:textFill>
            <w14:solidFill>
              <w14:schemeClr w14:val="tx1"/>
            </w14:solidFill>
          </w14:textFill>
        </w:rPr>
      </w:pPr>
      <w:bookmarkStart w:id="58" w:name="_bookmark134"/>
      <w:bookmarkEnd w:id="58"/>
      <w:bookmarkStart w:id="59" w:name="_bookmark134"/>
      <w:bookmarkEnd w:id="59"/>
      <w:r>
        <w:rPr>
          <w:color w:val="000000" w:themeColor="text1"/>
          <w:sz w:val="24"/>
          <w:szCs w:val="24"/>
          <w:highlight w:val="none"/>
          <w14:textFill>
            <w14:solidFill>
              <w14:schemeClr w14:val="tx1"/>
            </w14:solidFill>
          </w14:textFill>
        </w:rPr>
        <w:t>履约保证金</w:t>
      </w:r>
    </w:p>
    <w:p w14:paraId="0D16D943">
      <w:pPr>
        <w:pStyle w:val="22"/>
        <w:numPr>
          <w:ilvl w:val="0"/>
          <w:numId w:val="0"/>
        </w:numPr>
        <w:tabs>
          <w:tab w:val="left" w:pos="893"/>
        </w:tabs>
        <w:spacing w:before="48" w:after="0" w:line="360" w:lineRule="auto"/>
        <w:ind w:right="114" w:rightChars="0" w:firstLine="468" w:firstLineChars="200"/>
        <w:jc w:val="both"/>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 xml:space="preserve">除专用合同条款另有约定外，履约保证金自合同生效之日起生效，在合同设备验收证书或验收款支付函签署之日起 </w:t>
      </w:r>
      <w:r>
        <w:rPr>
          <w:rFonts w:hint="eastAsia"/>
          <w:color w:val="000000" w:themeColor="text1"/>
          <w:spacing w:val="-3"/>
          <w:sz w:val="24"/>
          <w:szCs w:val="24"/>
          <w:highlight w:val="none"/>
          <w:lang w:val="en-US" w:eastAsia="zh-CN"/>
          <w14:textFill>
            <w14:solidFill>
              <w14:schemeClr w14:val="tx1"/>
            </w14:solidFill>
          </w14:textFill>
        </w:rPr>
        <w:t>30</w:t>
      </w:r>
      <w:r>
        <w:rPr>
          <w:color w:val="000000" w:themeColor="text1"/>
          <w:spacing w:val="-3"/>
          <w:sz w:val="24"/>
          <w:szCs w:val="24"/>
          <w:highlight w:val="none"/>
          <w14:textFill>
            <w14:solidFill>
              <w14:schemeClr w14:val="tx1"/>
            </w14:solidFill>
          </w14:textFill>
        </w:rPr>
        <w:t xml:space="preserve"> 日后失效。如果卖方不履行合同约定的义务或其履行不符合合同的约定，买方有权扣划相应金额的履约保证金。</w:t>
      </w:r>
    </w:p>
    <w:p w14:paraId="28F1F043">
      <w:pPr>
        <w:pStyle w:val="3"/>
        <w:numPr>
          <w:ilvl w:val="0"/>
          <w:numId w:val="8"/>
        </w:numPr>
        <w:tabs>
          <w:tab w:val="left" w:pos="643"/>
        </w:tabs>
        <w:spacing w:before="1" w:after="0" w:line="360" w:lineRule="auto"/>
        <w:ind w:left="642" w:right="0" w:hanging="542"/>
        <w:jc w:val="left"/>
        <w:rPr>
          <w:rFonts w:ascii="Microsoft JhengHei"/>
          <w:b/>
          <w:color w:val="000000" w:themeColor="text1"/>
          <w:sz w:val="24"/>
          <w:szCs w:val="24"/>
          <w:highlight w:val="none"/>
          <w14:textFill>
            <w14:solidFill>
              <w14:schemeClr w14:val="tx1"/>
            </w14:solidFill>
          </w14:textFill>
        </w:rPr>
      </w:pPr>
      <w:bookmarkStart w:id="60" w:name="_bookmark135"/>
      <w:bookmarkEnd w:id="60"/>
      <w:bookmarkStart w:id="61" w:name="_bookmark135"/>
      <w:bookmarkEnd w:id="61"/>
      <w:r>
        <w:rPr>
          <w:color w:val="000000" w:themeColor="text1"/>
          <w:sz w:val="24"/>
          <w:szCs w:val="24"/>
          <w:highlight w:val="none"/>
          <w14:textFill>
            <w14:solidFill>
              <w14:schemeClr w14:val="tx1"/>
            </w14:solidFill>
          </w14:textFill>
        </w:rPr>
        <w:t>保证</w:t>
      </w:r>
    </w:p>
    <w:p w14:paraId="752F2B7B">
      <w:pPr>
        <w:pStyle w:val="22"/>
        <w:numPr>
          <w:ilvl w:val="1"/>
          <w:numId w:val="8"/>
        </w:numPr>
        <w:tabs>
          <w:tab w:val="left" w:pos="986"/>
        </w:tabs>
        <w:spacing w:before="0" w:after="0" w:line="360" w:lineRule="auto"/>
        <w:ind w:left="100" w:right="0"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卖方保证其具有完全的能力履行本合同项下的全部义务。</w:t>
      </w:r>
    </w:p>
    <w:p w14:paraId="049B8C63">
      <w:pPr>
        <w:pStyle w:val="22"/>
        <w:numPr>
          <w:ilvl w:val="1"/>
          <w:numId w:val="8"/>
        </w:numPr>
        <w:tabs>
          <w:tab w:val="left" w:pos="972"/>
        </w:tabs>
        <w:spacing w:before="117" w:after="0" w:line="360" w:lineRule="auto"/>
        <w:ind w:left="100" w:right="211"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卖方保证其所提供的合同设备及对合同的履行符合所有应适用的法律、行政法规、地方性法规、自治条例和单行条例、规章及其他规范性文件的强制性规定。</w:t>
      </w:r>
    </w:p>
    <w:p w14:paraId="3073D159">
      <w:pPr>
        <w:pStyle w:val="22"/>
        <w:numPr>
          <w:ilvl w:val="1"/>
          <w:numId w:val="8"/>
        </w:numPr>
        <w:tabs>
          <w:tab w:val="left" w:pos="986"/>
        </w:tabs>
        <w:spacing w:before="49" w:after="0" w:line="360" w:lineRule="auto"/>
        <w:ind w:left="100" w:right="211"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pacing w:val="-4"/>
          <w:sz w:val="24"/>
          <w:szCs w:val="24"/>
          <w:highlight w:val="none"/>
          <w14:textFill>
            <w14:solidFill>
              <w14:schemeClr w14:val="tx1"/>
            </w14:solidFill>
          </w14:textFill>
        </w:rPr>
        <w:t>卖方保证其对合同设备的销售不损害任何第三方的合法权益和社会公众利益。任何第三方不会因卖方原因而基于所有权、抵押权、留置权或其他任何权利或事由对合同设备主张权利。</w:t>
      </w:r>
    </w:p>
    <w:p w14:paraId="63642913">
      <w:pPr>
        <w:pStyle w:val="22"/>
        <w:numPr>
          <w:ilvl w:val="1"/>
          <w:numId w:val="8"/>
        </w:numPr>
        <w:tabs>
          <w:tab w:val="left" w:pos="986"/>
        </w:tabs>
        <w:spacing w:before="40" w:after="0" w:line="360" w:lineRule="auto"/>
        <w:ind w:left="100" w:right="215"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pacing w:val="-6"/>
          <w:sz w:val="24"/>
          <w:szCs w:val="24"/>
          <w:highlight w:val="none"/>
          <w14:textFill>
            <w14:solidFill>
              <w14:schemeClr w14:val="tx1"/>
            </w14:solidFill>
          </w14:textFill>
        </w:rPr>
        <w:t>卖方保证合同设备符合合同约定的规格、标准、技术性能考核指标等，能够安全和稳定地运行，且合同设备</w:t>
      </w:r>
      <w:r>
        <w:rPr>
          <w:color w:val="000000" w:themeColor="text1"/>
          <w:spacing w:val="-3"/>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包括全部部件）</w:t>
      </w:r>
      <w:r>
        <w:rPr>
          <w:color w:val="000000" w:themeColor="text1"/>
          <w:spacing w:val="-3"/>
          <w:sz w:val="24"/>
          <w:szCs w:val="24"/>
          <w:highlight w:val="none"/>
          <w14:textFill>
            <w14:solidFill>
              <w14:schemeClr w14:val="tx1"/>
            </w14:solidFill>
          </w14:textFill>
        </w:rPr>
        <w:t>全新、完整、未使用过，除非专用合同条款和</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或</w:t>
      </w:r>
      <w:r>
        <w:rPr>
          <w:color w:val="000000" w:themeColor="text1"/>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供货要求等合同文件另有约定。</w:t>
      </w:r>
    </w:p>
    <w:p w14:paraId="55339602">
      <w:pPr>
        <w:pStyle w:val="22"/>
        <w:numPr>
          <w:ilvl w:val="1"/>
          <w:numId w:val="8"/>
        </w:numPr>
        <w:tabs>
          <w:tab w:val="left" w:pos="986"/>
        </w:tabs>
        <w:spacing w:before="38" w:after="0" w:line="360" w:lineRule="auto"/>
        <w:ind w:left="100" w:right="211"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pacing w:val="-6"/>
          <w:sz w:val="24"/>
          <w:szCs w:val="24"/>
          <w:highlight w:val="none"/>
          <w14:textFill>
            <w14:solidFill>
              <w14:schemeClr w14:val="tx1"/>
            </w14:solidFill>
          </w14:textFill>
        </w:rPr>
        <w:t>卖方保证，卖方所提供的技术资料完整、清晰、准确，符合合同约定并且能够满足合</w:t>
      </w:r>
      <w:r>
        <w:rPr>
          <w:color w:val="000000" w:themeColor="text1"/>
          <w:spacing w:val="-4"/>
          <w:sz w:val="24"/>
          <w:szCs w:val="24"/>
          <w:highlight w:val="none"/>
          <w14:textFill>
            <w14:solidFill>
              <w14:schemeClr w14:val="tx1"/>
            </w14:solidFill>
          </w14:textFill>
        </w:rPr>
        <w:t>同设备的安装、调试、考核、操作以及维修和保养的需要。</w:t>
      </w:r>
    </w:p>
    <w:p w14:paraId="4070D1DF">
      <w:pPr>
        <w:pStyle w:val="22"/>
        <w:numPr>
          <w:ilvl w:val="1"/>
          <w:numId w:val="8"/>
        </w:numPr>
        <w:tabs>
          <w:tab w:val="left" w:pos="994"/>
        </w:tabs>
        <w:spacing w:before="49" w:after="0" w:line="360" w:lineRule="auto"/>
        <w:ind w:left="100" w:right="214"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卖方保证合同范围内提供的备品备件能够满足合同设备在质量保证期结束前正常运</w:t>
      </w:r>
      <w:r>
        <w:rPr>
          <w:color w:val="000000" w:themeColor="text1"/>
          <w:spacing w:val="-3"/>
          <w:sz w:val="24"/>
          <w:szCs w:val="24"/>
          <w:highlight w:val="none"/>
          <w14:textFill>
            <w14:solidFill>
              <w14:schemeClr w14:val="tx1"/>
            </w14:solidFill>
          </w14:textFill>
        </w:rPr>
        <w:t>行及维修的需要，如在质量保证期结束前因卖方原因出现备品备件短缺影响合同设备正常运行的，卖方应免费提供。</w:t>
      </w:r>
    </w:p>
    <w:p w14:paraId="5B87D65D">
      <w:pPr>
        <w:pStyle w:val="22"/>
        <w:numPr>
          <w:ilvl w:val="1"/>
          <w:numId w:val="8"/>
        </w:numPr>
        <w:tabs>
          <w:tab w:val="left" w:pos="986"/>
        </w:tabs>
        <w:spacing w:before="38" w:after="0" w:line="360" w:lineRule="auto"/>
        <w:ind w:left="100" w:right="211"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pacing w:val="-4"/>
          <w:sz w:val="24"/>
          <w:szCs w:val="24"/>
          <w:highlight w:val="none"/>
          <w14:textFill>
            <w14:solidFill>
              <w14:schemeClr w14:val="tx1"/>
            </w14:solidFill>
          </w14:textFill>
        </w:rPr>
        <w:t>除专用合同条款和</w:t>
      </w:r>
      <w:r>
        <w:rPr>
          <w:color w:val="000000" w:themeColor="text1"/>
          <w:spacing w:val="-3"/>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或</w:t>
      </w:r>
      <w:r>
        <w:rPr>
          <w:color w:val="000000" w:themeColor="text1"/>
          <w:spacing w:val="-8"/>
          <w:sz w:val="24"/>
          <w:szCs w:val="24"/>
          <w:highlight w:val="none"/>
          <w14:textFill>
            <w14:solidFill>
              <w14:schemeClr w14:val="tx1"/>
            </w14:solidFill>
          </w14:textFill>
        </w:rPr>
        <w:t>）</w:t>
      </w:r>
      <w:r>
        <w:rPr>
          <w:color w:val="000000" w:themeColor="text1"/>
          <w:spacing w:val="-4"/>
          <w:sz w:val="24"/>
          <w:szCs w:val="24"/>
          <w:highlight w:val="none"/>
          <w14:textFill>
            <w14:solidFill>
              <w14:schemeClr w14:val="tx1"/>
            </w14:solidFill>
          </w14:textFill>
        </w:rPr>
        <w:t xml:space="preserve">供货要求等合同文件另有约定外，如果在合同设备设计使用寿命期内发生合同项下备品备件停止生产的情况，卖方应事先将拟停止生产的计划通知买方， </w:t>
      </w:r>
      <w:r>
        <w:rPr>
          <w:color w:val="000000" w:themeColor="text1"/>
          <w:spacing w:val="-3"/>
          <w:sz w:val="24"/>
          <w:szCs w:val="24"/>
          <w:highlight w:val="none"/>
          <w14:textFill>
            <w14:solidFill>
              <w14:schemeClr w14:val="tx1"/>
            </w14:solidFill>
          </w14:textFill>
        </w:rPr>
        <w:t>使买方有足够的时间考虑备品备件的需求量。根据买方要求，卖方应：</w:t>
      </w:r>
    </w:p>
    <w:p w14:paraId="21119747">
      <w:pPr>
        <w:pStyle w:val="7"/>
        <w:spacing w:before="43" w:line="360" w:lineRule="auto"/>
        <w:ind w:left="100" w:right="211" w:firstLine="419"/>
        <w:jc w:val="both"/>
        <w:rPr>
          <w:color w:val="000000" w:themeColor="text1"/>
          <w:sz w:val="24"/>
          <w:szCs w:val="24"/>
          <w:highlight w:val="none"/>
          <w14:textFill>
            <w14:solidFill>
              <w14:schemeClr w14:val="tx1"/>
            </w14:solidFill>
          </w14:textFill>
        </w:rPr>
      </w:pPr>
      <w:r>
        <w:rPr>
          <w:color w:val="000000" w:themeColor="text1"/>
          <w:spacing w:val="-26"/>
          <w:sz w:val="24"/>
          <w:szCs w:val="24"/>
          <w:highlight w:val="none"/>
          <w14:textFill>
            <w14:solidFill>
              <w14:schemeClr w14:val="tx1"/>
            </w14:solidFill>
          </w14:textFill>
        </w:rPr>
        <w:t>（</w:t>
      </w:r>
      <w:r>
        <w:rPr>
          <w:rFonts w:ascii="Times New Roman" w:eastAsia="Times New Roman"/>
          <w:color w:val="000000" w:themeColor="text1"/>
          <w:spacing w:val="-26"/>
          <w:sz w:val="24"/>
          <w:szCs w:val="24"/>
          <w:highlight w:val="none"/>
          <w14:textFill>
            <w14:solidFill>
              <w14:schemeClr w14:val="tx1"/>
            </w14:solidFill>
          </w14:textFill>
        </w:rPr>
        <w:t>1</w:t>
      </w:r>
      <w:r>
        <w:rPr>
          <w:color w:val="000000" w:themeColor="text1"/>
          <w:spacing w:val="-26"/>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以不高于同期市场价格或其向任何第三方销售同类产品的价格提供合同设备正常运行所需的全部备品备件。</w:t>
      </w:r>
    </w:p>
    <w:p w14:paraId="6BB54D6D">
      <w:pPr>
        <w:pStyle w:val="7"/>
        <w:spacing w:before="49" w:line="360" w:lineRule="auto"/>
        <w:ind w:left="100" w:right="211" w:firstLine="419"/>
        <w:jc w:val="both"/>
        <w:rPr>
          <w:color w:val="000000" w:themeColor="text1"/>
          <w:sz w:val="24"/>
          <w:szCs w:val="24"/>
          <w:highlight w:val="none"/>
          <w14:textFill>
            <w14:solidFill>
              <w14:schemeClr w14:val="tx1"/>
            </w14:solidFill>
          </w14:textFill>
        </w:rPr>
      </w:pPr>
      <w:r>
        <w:rPr>
          <w:color w:val="000000" w:themeColor="text1"/>
          <w:spacing w:val="-13"/>
          <w:sz w:val="24"/>
          <w:szCs w:val="24"/>
          <w:highlight w:val="none"/>
          <w14:textFill>
            <w14:solidFill>
              <w14:schemeClr w14:val="tx1"/>
            </w14:solidFill>
          </w14:textFill>
        </w:rPr>
        <w:t>（</w:t>
      </w:r>
      <w:r>
        <w:rPr>
          <w:rFonts w:ascii="Times New Roman" w:eastAsia="Times New Roman"/>
          <w:color w:val="000000" w:themeColor="text1"/>
          <w:spacing w:val="-13"/>
          <w:sz w:val="24"/>
          <w:szCs w:val="24"/>
          <w:highlight w:val="none"/>
          <w14:textFill>
            <w14:solidFill>
              <w14:schemeClr w14:val="tx1"/>
            </w14:solidFill>
          </w14:textFill>
        </w:rPr>
        <w:t>2</w:t>
      </w:r>
      <w:r>
        <w:rPr>
          <w:color w:val="000000" w:themeColor="text1"/>
          <w:spacing w:val="-13"/>
          <w:sz w:val="24"/>
          <w:szCs w:val="24"/>
          <w:highlight w:val="none"/>
          <w14:textFill>
            <w14:solidFill>
              <w14:schemeClr w14:val="tx1"/>
            </w14:solidFill>
          </w14:textFill>
        </w:rPr>
        <w:t>）</w:t>
      </w:r>
      <w:r>
        <w:rPr>
          <w:color w:val="000000" w:themeColor="text1"/>
          <w:spacing w:val="-5"/>
          <w:sz w:val="24"/>
          <w:szCs w:val="24"/>
          <w:highlight w:val="none"/>
          <w14:textFill>
            <w14:solidFill>
              <w14:schemeClr w14:val="tx1"/>
            </w14:solidFill>
          </w14:textFill>
        </w:rPr>
        <w:t>免费提供可供买方或第三方制造停产备品备件所需的全部技术资料，以便买方持续获得上述备品备件以满足合同设备在寿命期内正常运行的需要。卖方保证买方或买方委托的第三</w:t>
      </w:r>
      <w:r>
        <w:rPr>
          <w:color w:val="000000" w:themeColor="text1"/>
          <w:spacing w:val="-4"/>
          <w:sz w:val="24"/>
          <w:szCs w:val="24"/>
          <w:highlight w:val="none"/>
          <w14:textFill>
            <w14:solidFill>
              <w14:schemeClr w14:val="tx1"/>
            </w14:solidFill>
          </w14:textFill>
        </w:rPr>
        <w:t>方制造及买方使用这些备品备件不侵犯任何人的知识产权。</w:t>
      </w:r>
    </w:p>
    <w:p w14:paraId="76AE9A39">
      <w:pPr>
        <w:pStyle w:val="22"/>
        <w:numPr>
          <w:ilvl w:val="1"/>
          <w:numId w:val="8"/>
        </w:numPr>
        <w:tabs>
          <w:tab w:val="left" w:pos="989"/>
        </w:tabs>
        <w:spacing w:before="43" w:after="0" w:line="360" w:lineRule="auto"/>
        <w:ind w:left="100" w:right="115"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卖方保证，在合同设备设计使用寿命期内，如果卖方发现合同设备由于设计、制造、</w:t>
      </w:r>
      <w:r>
        <w:rPr>
          <w:color w:val="000000" w:themeColor="text1"/>
          <w:spacing w:val="-3"/>
          <w:sz w:val="24"/>
          <w:szCs w:val="24"/>
          <w:highlight w:val="none"/>
          <w14:textFill>
            <w14:solidFill>
              <w14:schemeClr w14:val="tx1"/>
            </w14:solidFill>
          </w14:textFill>
        </w:rPr>
        <w:t>标识等原因存在足以危及人身、财产安全的缺陷，卖方将及时通知买方并及时采取修正或者补充标识、修理、更换等措施消除缺陷。</w:t>
      </w:r>
    </w:p>
    <w:p w14:paraId="40F778D3">
      <w:pPr>
        <w:pStyle w:val="3"/>
        <w:numPr>
          <w:ilvl w:val="0"/>
          <w:numId w:val="8"/>
        </w:numPr>
        <w:tabs>
          <w:tab w:val="left" w:pos="660"/>
        </w:tabs>
        <w:spacing w:before="0" w:after="0" w:line="360" w:lineRule="auto"/>
        <w:ind w:left="659" w:right="0" w:hanging="559"/>
        <w:jc w:val="left"/>
        <w:rPr>
          <w:rFonts w:ascii="Microsoft JhengHei"/>
          <w:b/>
          <w:color w:val="000000" w:themeColor="text1"/>
          <w:sz w:val="24"/>
          <w:szCs w:val="24"/>
          <w:highlight w:val="none"/>
          <w14:textFill>
            <w14:solidFill>
              <w14:schemeClr w14:val="tx1"/>
            </w14:solidFill>
          </w14:textFill>
        </w:rPr>
      </w:pPr>
      <w:bookmarkStart w:id="62" w:name="_bookmark136"/>
      <w:bookmarkEnd w:id="62"/>
      <w:bookmarkStart w:id="63" w:name="_bookmark136"/>
      <w:bookmarkEnd w:id="63"/>
      <w:r>
        <w:rPr>
          <w:color w:val="000000" w:themeColor="text1"/>
          <w:sz w:val="24"/>
          <w:szCs w:val="24"/>
          <w:highlight w:val="none"/>
          <w14:textFill>
            <w14:solidFill>
              <w14:schemeClr w14:val="tx1"/>
            </w14:solidFill>
          </w14:textFill>
        </w:rPr>
        <w:t>知识产权</w:t>
      </w:r>
    </w:p>
    <w:p w14:paraId="4BF54E4A">
      <w:pPr>
        <w:pStyle w:val="22"/>
        <w:numPr>
          <w:ilvl w:val="1"/>
          <w:numId w:val="8"/>
        </w:numPr>
        <w:tabs>
          <w:tab w:val="left" w:pos="996"/>
        </w:tabs>
        <w:spacing w:before="0" w:after="0" w:line="360" w:lineRule="auto"/>
        <w:ind w:left="100" w:right="112"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 xml:space="preserve">买方在履行合同过程中提供给卖方的全部图纸、文件和其他含有数据和信息的资料， </w:t>
      </w:r>
      <w:r>
        <w:rPr>
          <w:color w:val="000000" w:themeColor="text1"/>
          <w:spacing w:val="-3"/>
          <w:sz w:val="24"/>
          <w:szCs w:val="24"/>
          <w:highlight w:val="none"/>
          <w14:textFill>
            <w14:solidFill>
              <w14:schemeClr w14:val="tx1"/>
            </w14:solidFill>
          </w14:textFill>
        </w:rPr>
        <w:t>其知识产权属于买方。</w:t>
      </w:r>
    </w:p>
    <w:p w14:paraId="3B5A30E8">
      <w:pPr>
        <w:pStyle w:val="22"/>
        <w:numPr>
          <w:ilvl w:val="1"/>
          <w:numId w:val="8"/>
        </w:numPr>
        <w:tabs>
          <w:tab w:val="left" w:pos="994"/>
        </w:tabs>
        <w:spacing w:before="51" w:after="0" w:line="360" w:lineRule="auto"/>
        <w:ind w:left="100" w:right="213"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5"/>
          <w:sz w:val="24"/>
          <w:szCs w:val="24"/>
          <w:highlight w:val="none"/>
          <w14:textFill>
            <w14:solidFill>
              <w14:schemeClr w14:val="tx1"/>
            </w14:solidFill>
          </w14:textFill>
        </w:rPr>
        <w:t>除专用合同条款另有约定外，买方不因签署和履行合同而享有卖方在履行合同过程中</w:t>
      </w:r>
      <w:r>
        <w:rPr>
          <w:color w:val="000000" w:themeColor="text1"/>
          <w:spacing w:val="-16"/>
          <w:sz w:val="24"/>
          <w:szCs w:val="24"/>
          <w:highlight w:val="none"/>
          <w14:textFill>
            <w14:solidFill>
              <w14:schemeClr w14:val="tx1"/>
            </w14:solidFill>
          </w14:textFill>
        </w:rPr>
        <w:t>提供给买方的图纸、文件、配套软件、电子辅助程序和其他含有数据和信息的资料的知识产权。</w:t>
      </w:r>
    </w:p>
    <w:p w14:paraId="09B2AD84">
      <w:pPr>
        <w:pStyle w:val="22"/>
        <w:numPr>
          <w:ilvl w:val="1"/>
          <w:numId w:val="8"/>
        </w:numPr>
        <w:tabs>
          <w:tab w:val="left" w:pos="994"/>
        </w:tabs>
        <w:spacing w:before="49" w:after="0" w:line="360" w:lineRule="auto"/>
        <w:ind w:left="100" w:right="213"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5"/>
          <w:sz w:val="24"/>
          <w:szCs w:val="24"/>
          <w:highlight w:val="none"/>
          <w14:textFill>
            <w14:solidFill>
              <w14:schemeClr w14:val="tx1"/>
            </w14:solidFill>
          </w14:textFill>
        </w:rPr>
        <w:t>如合同设备涉及知识产权，则卖方保证买方在使用合同设备过程中免于受到第三方提</w:t>
      </w:r>
      <w:r>
        <w:rPr>
          <w:color w:val="000000" w:themeColor="text1"/>
          <w:spacing w:val="-4"/>
          <w:sz w:val="24"/>
          <w:szCs w:val="24"/>
          <w:highlight w:val="none"/>
          <w14:textFill>
            <w14:solidFill>
              <w14:schemeClr w14:val="tx1"/>
            </w14:solidFill>
          </w14:textFill>
        </w:rPr>
        <w:t>出的有关知识产权侵权的主张、索赔或诉讼的伤害。</w:t>
      </w:r>
    </w:p>
    <w:p w14:paraId="074153A5">
      <w:pPr>
        <w:pStyle w:val="22"/>
        <w:numPr>
          <w:ilvl w:val="1"/>
          <w:numId w:val="8"/>
        </w:numPr>
        <w:tabs>
          <w:tab w:val="left" w:pos="994"/>
        </w:tabs>
        <w:spacing w:before="46" w:after="0" w:line="360" w:lineRule="auto"/>
        <w:ind w:left="100" w:right="108"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9"/>
          <w:sz w:val="24"/>
          <w:szCs w:val="24"/>
          <w:highlight w:val="none"/>
          <w14:textFill>
            <w14:solidFill>
              <w14:schemeClr w14:val="tx1"/>
            </w14:solidFill>
          </w14:textFill>
        </w:rPr>
        <w:t xml:space="preserve">如果买方收到任何第三方有关知识产权的主张、索赔或诉讼，卖方在收到买方通知后， </w:t>
      </w:r>
      <w:r>
        <w:rPr>
          <w:color w:val="000000" w:themeColor="text1"/>
          <w:spacing w:val="-8"/>
          <w:sz w:val="24"/>
          <w:szCs w:val="24"/>
          <w:highlight w:val="none"/>
          <w14:textFill>
            <w14:solidFill>
              <w14:schemeClr w14:val="tx1"/>
            </w14:solidFill>
          </w14:textFill>
        </w:rPr>
        <w:t>应以买方名义并在买方的协助下，自负费用处理与第三方的索赔或诉讼，并赔偿买方因此发生的费用和遭受的损失。除专用合同条款另有约定外，如果卖方拒绝处理前述索赔或诉讼或在收</w:t>
      </w:r>
      <w:r>
        <w:rPr>
          <w:color w:val="000000" w:themeColor="text1"/>
          <w:spacing w:val="-11"/>
          <w:sz w:val="24"/>
          <w:szCs w:val="24"/>
          <w:highlight w:val="none"/>
          <w14:textFill>
            <w14:solidFill>
              <w14:schemeClr w14:val="tx1"/>
            </w14:solidFill>
          </w14:textFill>
        </w:rPr>
        <w:t xml:space="preserve">到买方通知后 </w:t>
      </w:r>
      <w:r>
        <w:rPr>
          <w:rFonts w:ascii="Times New Roman" w:eastAsia="Times New Roman"/>
          <w:color w:val="000000" w:themeColor="text1"/>
          <w:sz w:val="24"/>
          <w:szCs w:val="24"/>
          <w:highlight w:val="none"/>
          <w14:textFill>
            <w14:solidFill>
              <w14:schemeClr w14:val="tx1"/>
            </w14:solidFill>
          </w14:textFill>
        </w:rPr>
        <w:t>28</w:t>
      </w:r>
      <w:r>
        <w:rPr>
          <w:rFonts w:ascii="Times New Roman" w:eastAsia="Times New Roman"/>
          <w:color w:val="000000" w:themeColor="text1"/>
          <w:spacing w:val="10"/>
          <w:sz w:val="24"/>
          <w:szCs w:val="24"/>
          <w:highlight w:val="none"/>
          <w14:textFill>
            <w14:solidFill>
              <w14:schemeClr w14:val="tx1"/>
            </w14:solidFill>
          </w14:textFill>
        </w:rPr>
        <w:t xml:space="preserve"> </w:t>
      </w:r>
      <w:r>
        <w:rPr>
          <w:color w:val="000000" w:themeColor="text1"/>
          <w:spacing w:val="-10"/>
          <w:sz w:val="24"/>
          <w:szCs w:val="24"/>
          <w:highlight w:val="none"/>
          <w14:textFill>
            <w14:solidFill>
              <w14:schemeClr w14:val="tx1"/>
            </w14:solidFill>
          </w14:textFill>
        </w:rPr>
        <w:t>日内未作表示，买方可以自己的名义进行这些索赔或诉讼，因此发生的费用和</w:t>
      </w:r>
      <w:r>
        <w:rPr>
          <w:color w:val="000000" w:themeColor="text1"/>
          <w:spacing w:val="-5"/>
          <w:sz w:val="24"/>
          <w:szCs w:val="24"/>
          <w:highlight w:val="none"/>
          <w14:textFill>
            <w14:solidFill>
              <w14:schemeClr w14:val="tx1"/>
            </w14:solidFill>
          </w14:textFill>
        </w:rPr>
        <w:t>遭受的损失均应由卖方承担。</w:t>
      </w:r>
    </w:p>
    <w:p w14:paraId="1CCFA367">
      <w:pPr>
        <w:pStyle w:val="3"/>
        <w:keepNext w:val="0"/>
        <w:keepLines w:val="0"/>
        <w:pageBreakBefore w:val="0"/>
        <w:widowControl w:val="0"/>
        <w:numPr>
          <w:ilvl w:val="0"/>
          <w:numId w:val="8"/>
        </w:numPr>
        <w:tabs>
          <w:tab w:val="left" w:pos="660"/>
        </w:tabs>
        <w:kinsoku/>
        <w:wordWrap/>
        <w:overflowPunct/>
        <w:topLinePunct w:val="0"/>
        <w:autoSpaceDE/>
        <w:autoSpaceDN/>
        <w:bidi w:val="0"/>
        <w:adjustRightInd/>
        <w:snapToGrid/>
        <w:spacing w:after="0" w:line="360" w:lineRule="auto"/>
        <w:ind w:left="663" w:right="0" w:hanging="561"/>
        <w:jc w:val="left"/>
        <w:textAlignment w:val="auto"/>
        <w:rPr>
          <w:rFonts w:ascii="Microsoft JhengHei"/>
          <w:b/>
          <w:color w:val="000000" w:themeColor="text1"/>
          <w:sz w:val="24"/>
          <w:szCs w:val="24"/>
          <w:highlight w:val="none"/>
          <w14:textFill>
            <w14:solidFill>
              <w14:schemeClr w14:val="tx1"/>
            </w14:solidFill>
          </w14:textFill>
        </w:rPr>
      </w:pPr>
      <w:bookmarkStart w:id="64" w:name="_bookmark137"/>
      <w:bookmarkEnd w:id="64"/>
      <w:bookmarkStart w:id="65" w:name="_bookmark137"/>
      <w:bookmarkEnd w:id="65"/>
      <w:r>
        <w:rPr>
          <w:color w:val="000000" w:themeColor="text1"/>
          <w:sz w:val="24"/>
          <w:szCs w:val="24"/>
          <w:highlight w:val="none"/>
          <w14:textFill>
            <w14:solidFill>
              <w14:schemeClr w14:val="tx1"/>
            </w14:solidFill>
          </w14:textFill>
        </w:rPr>
        <w:t>保密</w:t>
      </w:r>
    </w:p>
    <w:p w14:paraId="0DE4ED8D">
      <w:pPr>
        <w:pStyle w:val="7"/>
        <w:spacing w:line="360" w:lineRule="auto"/>
        <w:ind w:left="100" w:right="214" w:firstLine="419"/>
        <w:jc w:val="both"/>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合同双方应对因履行合同而取得的另一方当事人的信息、资料等予以保密。未经另一方当事人书面同意，任何一方均不得为与履行合同无关的目的使用或向第三方披露另一方当事人提供的信息、资料。</w:t>
      </w:r>
    </w:p>
    <w:p w14:paraId="711156FB">
      <w:pPr>
        <w:pStyle w:val="7"/>
        <w:spacing w:before="34"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合同当事人的保密义务不适用于下列信息：</w:t>
      </w:r>
    </w:p>
    <w:p w14:paraId="597321AD">
      <w:pPr>
        <w:pStyle w:val="7"/>
        <w:spacing w:before="133"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1</w:t>
      </w:r>
      <w:r>
        <w:rPr>
          <w:color w:val="000000" w:themeColor="text1"/>
          <w:sz w:val="24"/>
          <w:szCs w:val="24"/>
          <w:highlight w:val="none"/>
          <w14:textFill>
            <w14:solidFill>
              <w14:schemeClr w14:val="tx1"/>
            </w14:solidFill>
          </w14:textFill>
        </w:rPr>
        <w:t>）非因接受信息一方的过失现在或以后进入公共领域的信息；</w:t>
      </w:r>
    </w:p>
    <w:p w14:paraId="5DA50882">
      <w:pPr>
        <w:pStyle w:val="7"/>
        <w:spacing w:before="117" w:line="360" w:lineRule="auto"/>
        <w:ind w:left="100" w:right="126" w:firstLine="419"/>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2</w:t>
      </w:r>
      <w:r>
        <w:rPr>
          <w:color w:val="000000" w:themeColor="text1"/>
          <w:sz w:val="24"/>
          <w:szCs w:val="24"/>
          <w:highlight w:val="none"/>
          <w14:textFill>
            <w14:solidFill>
              <w14:schemeClr w14:val="tx1"/>
            </w14:solidFill>
          </w14:textFill>
        </w:rPr>
        <w:t>）接受信息一方当事人合法地从第三方获得并且据其善意了解第三方也不对此承担保密义务的信息；</w:t>
      </w:r>
    </w:p>
    <w:p w14:paraId="617E504F">
      <w:pPr>
        <w:pStyle w:val="7"/>
        <w:spacing w:before="49"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3</w:t>
      </w:r>
      <w:r>
        <w:rPr>
          <w:color w:val="000000" w:themeColor="text1"/>
          <w:sz w:val="24"/>
          <w:szCs w:val="24"/>
          <w:highlight w:val="none"/>
          <w14:textFill>
            <w14:solidFill>
              <w14:schemeClr w14:val="tx1"/>
            </w14:solidFill>
          </w14:textFill>
        </w:rPr>
        <w:t>）法律或法律的执行要求披露的信息。</w:t>
      </w:r>
    </w:p>
    <w:p w14:paraId="61E88155">
      <w:pPr>
        <w:pStyle w:val="3"/>
        <w:numPr>
          <w:ilvl w:val="0"/>
          <w:numId w:val="8"/>
        </w:numPr>
        <w:tabs>
          <w:tab w:val="left" w:pos="660"/>
        </w:tabs>
        <w:spacing w:before="1" w:after="0" w:line="360" w:lineRule="auto"/>
        <w:ind w:left="659" w:right="0" w:hanging="559"/>
        <w:jc w:val="left"/>
        <w:rPr>
          <w:rFonts w:ascii="Microsoft JhengHei"/>
          <w:b/>
          <w:color w:val="000000" w:themeColor="text1"/>
          <w:sz w:val="24"/>
          <w:szCs w:val="24"/>
          <w:highlight w:val="none"/>
          <w14:textFill>
            <w14:solidFill>
              <w14:schemeClr w14:val="tx1"/>
            </w14:solidFill>
          </w14:textFill>
        </w:rPr>
      </w:pPr>
      <w:bookmarkStart w:id="66" w:name="_bookmark138"/>
      <w:bookmarkEnd w:id="66"/>
      <w:bookmarkStart w:id="67" w:name="_bookmark138"/>
      <w:bookmarkEnd w:id="67"/>
      <w:r>
        <w:rPr>
          <w:color w:val="000000" w:themeColor="text1"/>
          <w:sz w:val="24"/>
          <w:szCs w:val="24"/>
          <w:highlight w:val="none"/>
          <w14:textFill>
            <w14:solidFill>
              <w14:schemeClr w14:val="tx1"/>
            </w14:solidFill>
          </w14:textFill>
        </w:rPr>
        <w:t>违约责任</w:t>
      </w:r>
    </w:p>
    <w:p w14:paraId="6B989081">
      <w:pPr>
        <w:pStyle w:val="22"/>
        <w:numPr>
          <w:ilvl w:val="1"/>
          <w:numId w:val="8"/>
        </w:numPr>
        <w:tabs>
          <w:tab w:val="left" w:pos="972"/>
        </w:tabs>
        <w:spacing w:before="1" w:after="0" w:line="360" w:lineRule="auto"/>
        <w:ind w:left="100" w:right="211"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合同一方不履行合同义务、履行合同义务不符合约定或者违反合同项下所作保证的，应向对方承担继续履行、采取修理、更换、退货等补救措施或者赔偿损失等违约责任。</w:t>
      </w:r>
    </w:p>
    <w:p w14:paraId="11A0DE91">
      <w:pPr>
        <w:pStyle w:val="22"/>
        <w:numPr>
          <w:ilvl w:val="1"/>
          <w:numId w:val="8"/>
        </w:numPr>
        <w:tabs>
          <w:tab w:val="left" w:pos="994"/>
        </w:tabs>
        <w:spacing w:before="52" w:after="0" w:line="360" w:lineRule="auto"/>
        <w:ind w:left="100" w:right="211"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4"/>
          <w:sz w:val="24"/>
          <w:szCs w:val="24"/>
          <w:highlight w:val="none"/>
          <w14:textFill>
            <w14:solidFill>
              <w14:schemeClr w14:val="tx1"/>
            </w14:solidFill>
          </w14:textFill>
        </w:rPr>
        <w:t>卖方未能按时交付合同设备</w:t>
      </w:r>
      <w:r>
        <w:rPr>
          <w:color w:val="000000" w:themeColor="text1"/>
          <w:sz w:val="24"/>
          <w:szCs w:val="24"/>
          <w:highlight w:val="none"/>
          <w14:textFill>
            <w14:solidFill>
              <w14:schemeClr w14:val="tx1"/>
            </w14:solidFill>
          </w14:textFill>
        </w:rPr>
        <w:t>（</w:t>
      </w:r>
      <w:r>
        <w:rPr>
          <w:color w:val="000000" w:themeColor="text1"/>
          <w:spacing w:val="-4"/>
          <w:sz w:val="24"/>
          <w:szCs w:val="24"/>
          <w:highlight w:val="none"/>
          <w14:textFill>
            <w14:solidFill>
              <w14:schemeClr w14:val="tx1"/>
            </w14:solidFill>
          </w14:textFill>
        </w:rPr>
        <w:t>包括仅迟延交付技术资料但足以导致合同设备安装、调</w:t>
      </w:r>
      <w:r>
        <w:rPr>
          <w:color w:val="000000" w:themeColor="text1"/>
          <w:spacing w:val="-11"/>
          <w:sz w:val="24"/>
          <w:szCs w:val="24"/>
          <w:highlight w:val="none"/>
          <w14:textFill>
            <w14:solidFill>
              <w14:schemeClr w14:val="tx1"/>
            </w14:solidFill>
          </w14:textFill>
        </w:rPr>
        <w:t>试、考核、验收工作推迟的</w:t>
      </w:r>
      <w:r>
        <w:rPr>
          <w:color w:val="000000" w:themeColor="text1"/>
          <w:spacing w:val="-36"/>
          <w:sz w:val="24"/>
          <w:szCs w:val="24"/>
          <w:highlight w:val="none"/>
          <w14:textFill>
            <w14:solidFill>
              <w14:schemeClr w14:val="tx1"/>
            </w14:solidFill>
          </w14:textFill>
        </w:rPr>
        <w:t>）</w:t>
      </w:r>
      <w:r>
        <w:rPr>
          <w:color w:val="000000" w:themeColor="text1"/>
          <w:spacing w:val="-10"/>
          <w:sz w:val="24"/>
          <w:szCs w:val="24"/>
          <w:highlight w:val="none"/>
          <w14:textFill>
            <w14:solidFill>
              <w14:schemeClr w14:val="tx1"/>
            </w14:solidFill>
          </w14:textFill>
        </w:rPr>
        <w:t>的，应向买方支付迟延交付违约金。除专用合同条款另有约定外，</w:t>
      </w:r>
    </w:p>
    <w:p w14:paraId="1D3E7DC0">
      <w:pPr>
        <w:pStyle w:val="7"/>
        <w:spacing w:before="6" w:line="360" w:lineRule="auto"/>
        <w:ind w:left="10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迟延交付违约金的计算方法如下：</w:t>
      </w:r>
    </w:p>
    <w:p w14:paraId="6E016771">
      <w:pPr>
        <w:pStyle w:val="7"/>
        <w:spacing w:before="133"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1</w:t>
      </w:r>
      <w:r>
        <w:rPr>
          <w:color w:val="000000" w:themeColor="text1"/>
          <w:sz w:val="24"/>
          <w:szCs w:val="24"/>
          <w:highlight w:val="none"/>
          <w14:textFill>
            <w14:solidFill>
              <w14:schemeClr w14:val="tx1"/>
            </w14:solidFill>
          </w14:textFill>
        </w:rPr>
        <w:t xml:space="preserve">）从迟交的第一周到第四周，每周迟延交付违约金为迟交合同设备价格的 </w:t>
      </w:r>
      <w:r>
        <w:rPr>
          <w:rFonts w:ascii="Times New Roman" w:eastAsia="Times New Roman"/>
          <w:color w:val="000000" w:themeColor="text1"/>
          <w:sz w:val="24"/>
          <w:szCs w:val="24"/>
          <w:highlight w:val="none"/>
          <w14:textFill>
            <w14:solidFill>
              <w14:schemeClr w14:val="tx1"/>
            </w14:solidFill>
          </w14:textFill>
        </w:rPr>
        <w:t>0.5%</w:t>
      </w:r>
      <w:r>
        <w:rPr>
          <w:color w:val="000000" w:themeColor="text1"/>
          <w:sz w:val="24"/>
          <w:szCs w:val="24"/>
          <w:highlight w:val="none"/>
          <w14:textFill>
            <w14:solidFill>
              <w14:schemeClr w14:val="tx1"/>
            </w14:solidFill>
          </w14:textFill>
        </w:rPr>
        <w:t>；</w:t>
      </w:r>
    </w:p>
    <w:p w14:paraId="6A3E630B">
      <w:pPr>
        <w:pStyle w:val="7"/>
        <w:spacing w:before="117"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2</w:t>
      </w:r>
      <w:r>
        <w:rPr>
          <w:color w:val="000000" w:themeColor="text1"/>
          <w:sz w:val="24"/>
          <w:szCs w:val="24"/>
          <w:highlight w:val="none"/>
          <w14:textFill>
            <w14:solidFill>
              <w14:schemeClr w14:val="tx1"/>
            </w14:solidFill>
          </w14:textFill>
        </w:rPr>
        <w:t xml:space="preserve">）从迟交的第五周到第八周，每周迟延交付违约金为迟交合同设备价格的 </w:t>
      </w:r>
      <w:r>
        <w:rPr>
          <w:rFonts w:ascii="Times New Roman" w:eastAsia="Times New Roman"/>
          <w:color w:val="000000" w:themeColor="text1"/>
          <w:sz w:val="24"/>
          <w:szCs w:val="24"/>
          <w:highlight w:val="none"/>
          <w14:textFill>
            <w14:solidFill>
              <w14:schemeClr w14:val="tx1"/>
            </w14:solidFill>
          </w14:textFill>
        </w:rPr>
        <w:t>1%</w:t>
      </w:r>
      <w:r>
        <w:rPr>
          <w:color w:val="000000" w:themeColor="text1"/>
          <w:sz w:val="24"/>
          <w:szCs w:val="24"/>
          <w:highlight w:val="none"/>
          <w14:textFill>
            <w14:solidFill>
              <w14:schemeClr w14:val="tx1"/>
            </w14:solidFill>
          </w14:textFill>
        </w:rPr>
        <w:t>；</w:t>
      </w:r>
    </w:p>
    <w:p w14:paraId="02B6C559">
      <w:pPr>
        <w:pStyle w:val="7"/>
        <w:spacing w:before="119"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3</w:t>
      </w:r>
      <w:r>
        <w:rPr>
          <w:color w:val="000000" w:themeColor="text1"/>
          <w:sz w:val="24"/>
          <w:szCs w:val="24"/>
          <w:highlight w:val="none"/>
          <w14:textFill>
            <w14:solidFill>
              <w14:schemeClr w14:val="tx1"/>
            </w14:solidFill>
          </w14:textFill>
        </w:rPr>
        <w:t xml:space="preserve">）从迟交第九周起，每周迟延交付违约金为迟交合同设备价格的 </w:t>
      </w:r>
      <w:r>
        <w:rPr>
          <w:rFonts w:ascii="Times New Roman" w:eastAsia="Times New Roman"/>
          <w:color w:val="000000" w:themeColor="text1"/>
          <w:sz w:val="24"/>
          <w:szCs w:val="24"/>
          <w:highlight w:val="none"/>
          <w14:textFill>
            <w14:solidFill>
              <w14:schemeClr w14:val="tx1"/>
            </w14:solidFill>
          </w14:textFill>
        </w:rPr>
        <w:t>1.5%</w:t>
      </w:r>
      <w:r>
        <w:rPr>
          <w:color w:val="000000" w:themeColor="text1"/>
          <w:sz w:val="24"/>
          <w:szCs w:val="24"/>
          <w:highlight w:val="none"/>
          <w14:textFill>
            <w14:solidFill>
              <w14:schemeClr w14:val="tx1"/>
            </w14:solidFill>
          </w14:textFill>
        </w:rPr>
        <w:t>。</w:t>
      </w:r>
    </w:p>
    <w:p w14:paraId="24F6E574">
      <w:pPr>
        <w:pStyle w:val="7"/>
        <w:spacing w:before="117" w:line="360" w:lineRule="auto"/>
        <w:ind w:left="100" w:firstLine="419"/>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 xml:space="preserve">在计算迟延交付违约金时，迟交不足一周的按一周计算。迟延交付违约金的总额不得超过合同价格的 </w:t>
      </w:r>
      <w:r>
        <w:rPr>
          <w:rFonts w:ascii="Times New Roman" w:eastAsia="Times New Roman"/>
          <w:color w:val="000000" w:themeColor="text1"/>
          <w:sz w:val="24"/>
          <w:szCs w:val="24"/>
          <w:highlight w:val="none"/>
          <w14:textFill>
            <w14:solidFill>
              <w14:schemeClr w14:val="tx1"/>
            </w14:solidFill>
          </w14:textFill>
        </w:rPr>
        <w:t>10%</w:t>
      </w:r>
      <w:r>
        <w:rPr>
          <w:color w:val="000000" w:themeColor="text1"/>
          <w:sz w:val="24"/>
          <w:szCs w:val="24"/>
          <w:highlight w:val="none"/>
          <w14:textFill>
            <w14:solidFill>
              <w14:schemeClr w14:val="tx1"/>
            </w14:solidFill>
          </w14:textFill>
        </w:rPr>
        <w:t>。</w:t>
      </w:r>
    </w:p>
    <w:p w14:paraId="1B420C4C">
      <w:pPr>
        <w:pStyle w:val="7"/>
        <w:spacing w:before="5" w:line="360" w:lineRule="auto"/>
        <w:ind w:left="100" w:firstLine="419"/>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迟延交付违约金的支付不能免除卖方继续交付相关合同设备的义务，但如迟延交付必然导致合同设备安装、调试、考核、验收工作推迟的，相关工作应相应顺延。</w:t>
      </w:r>
    </w:p>
    <w:p w14:paraId="138CA476">
      <w:pPr>
        <w:pStyle w:val="22"/>
        <w:numPr>
          <w:ilvl w:val="1"/>
          <w:numId w:val="8"/>
        </w:numPr>
        <w:tabs>
          <w:tab w:val="left" w:pos="972"/>
        </w:tabs>
        <w:spacing w:before="27" w:after="0" w:line="360" w:lineRule="auto"/>
        <w:ind w:left="100" w:right="111" w:firstLine="420"/>
        <w:jc w:val="left"/>
        <w:rPr>
          <w:rFonts w:ascii="Times New Roman" w:eastAsia="Times New Roman"/>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买方未能按合同约定支付合同价款的，应向卖方支付延迟付款违约金。除专用合同条款另有约定外，迟延付款违约金的计算方法如下：</w:t>
      </w:r>
    </w:p>
    <w:p w14:paraId="32EB0A6C">
      <w:pPr>
        <w:pStyle w:val="7"/>
        <w:spacing w:before="48"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1</w:t>
      </w:r>
      <w:r>
        <w:rPr>
          <w:color w:val="000000" w:themeColor="text1"/>
          <w:sz w:val="24"/>
          <w:szCs w:val="24"/>
          <w:highlight w:val="none"/>
          <w14:textFill>
            <w14:solidFill>
              <w14:schemeClr w14:val="tx1"/>
            </w14:solidFill>
          </w14:textFill>
        </w:rPr>
        <w:t xml:space="preserve">）从迟付的第一周到第四周，每周迟延付款违约金为迟延付款金额的 </w:t>
      </w:r>
      <w:r>
        <w:rPr>
          <w:rFonts w:ascii="Times New Roman" w:eastAsia="Times New Roman"/>
          <w:color w:val="000000" w:themeColor="text1"/>
          <w:sz w:val="24"/>
          <w:szCs w:val="24"/>
          <w:highlight w:val="none"/>
          <w14:textFill>
            <w14:solidFill>
              <w14:schemeClr w14:val="tx1"/>
            </w14:solidFill>
          </w14:textFill>
        </w:rPr>
        <w:t>0.5%</w:t>
      </w:r>
      <w:r>
        <w:rPr>
          <w:color w:val="000000" w:themeColor="text1"/>
          <w:sz w:val="24"/>
          <w:szCs w:val="24"/>
          <w:highlight w:val="none"/>
          <w14:textFill>
            <w14:solidFill>
              <w14:schemeClr w14:val="tx1"/>
            </w14:solidFill>
          </w14:textFill>
        </w:rPr>
        <w:t>；</w:t>
      </w:r>
    </w:p>
    <w:p w14:paraId="5E52B4C9">
      <w:pPr>
        <w:pStyle w:val="7"/>
        <w:spacing w:before="116"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2</w:t>
      </w:r>
      <w:r>
        <w:rPr>
          <w:color w:val="000000" w:themeColor="text1"/>
          <w:sz w:val="24"/>
          <w:szCs w:val="24"/>
          <w:highlight w:val="none"/>
          <w14:textFill>
            <w14:solidFill>
              <w14:schemeClr w14:val="tx1"/>
            </w14:solidFill>
          </w14:textFill>
        </w:rPr>
        <w:t xml:space="preserve">）从迟付的第五周到第八周，每周迟延付款违约金为迟延付款金额的 </w:t>
      </w:r>
      <w:r>
        <w:rPr>
          <w:rFonts w:ascii="Times New Roman" w:eastAsia="Times New Roman"/>
          <w:color w:val="000000" w:themeColor="text1"/>
          <w:sz w:val="24"/>
          <w:szCs w:val="24"/>
          <w:highlight w:val="none"/>
          <w14:textFill>
            <w14:solidFill>
              <w14:schemeClr w14:val="tx1"/>
            </w14:solidFill>
          </w14:textFill>
        </w:rPr>
        <w:t>1%</w:t>
      </w:r>
      <w:r>
        <w:rPr>
          <w:color w:val="000000" w:themeColor="text1"/>
          <w:sz w:val="24"/>
          <w:szCs w:val="24"/>
          <w:highlight w:val="none"/>
          <w14:textFill>
            <w14:solidFill>
              <w14:schemeClr w14:val="tx1"/>
            </w14:solidFill>
          </w14:textFill>
        </w:rPr>
        <w:t>；</w:t>
      </w:r>
    </w:p>
    <w:p w14:paraId="0119C203">
      <w:pPr>
        <w:pStyle w:val="7"/>
        <w:spacing w:before="119"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3</w:t>
      </w:r>
      <w:r>
        <w:rPr>
          <w:color w:val="000000" w:themeColor="text1"/>
          <w:sz w:val="24"/>
          <w:szCs w:val="24"/>
          <w:highlight w:val="none"/>
          <w14:textFill>
            <w14:solidFill>
              <w14:schemeClr w14:val="tx1"/>
            </w14:solidFill>
          </w14:textFill>
        </w:rPr>
        <w:t xml:space="preserve">）从迟付第九周起，每周迟延付款违约金为迟延付款金额的 </w:t>
      </w:r>
      <w:r>
        <w:rPr>
          <w:rFonts w:ascii="Times New Roman" w:eastAsia="Times New Roman"/>
          <w:color w:val="000000" w:themeColor="text1"/>
          <w:sz w:val="24"/>
          <w:szCs w:val="24"/>
          <w:highlight w:val="none"/>
          <w14:textFill>
            <w14:solidFill>
              <w14:schemeClr w14:val="tx1"/>
            </w14:solidFill>
          </w14:textFill>
        </w:rPr>
        <w:t>1.5%</w:t>
      </w:r>
      <w:r>
        <w:rPr>
          <w:color w:val="000000" w:themeColor="text1"/>
          <w:sz w:val="24"/>
          <w:szCs w:val="24"/>
          <w:highlight w:val="none"/>
          <w14:textFill>
            <w14:solidFill>
              <w14:schemeClr w14:val="tx1"/>
            </w14:solidFill>
          </w14:textFill>
        </w:rPr>
        <w:t>。</w:t>
      </w:r>
    </w:p>
    <w:p w14:paraId="000C4E89">
      <w:pPr>
        <w:pStyle w:val="7"/>
        <w:spacing w:before="117" w:line="360" w:lineRule="auto"/>
        <w:ind w:left="100" w:firstLine="419"/>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 xml:space="preserve">在计算迟延付款违约金时，迟付不足一周的按一周计算。迟延付款违约金的总额不得超过合同价格的 </w:t>
      </w:r>
      <w:r>
        <w:rPr>
          <w:rFonts w:ascii="Times New Roman" w:eastAsia="Times New Roman"/>
          <w:color w:val="000000" w:themeColor="text1"/>
          <w:sz w:val="24"/>
          <w:szCs w:val="24"/>
          <w:highlight w:val="none"/>
          <w14:textFill>
            <w14:solidFill>
              <w14:schemeClr w14:val="tx1"/>
            </w14:solidFill>
          </w14:textFill>
        </w:rPr>
        <w:t>10%</w:t>
      </w:r>
      <w:r>
        <w:rPr>
          <w:color w:val="000000" w:themeColor="text1"/>
          <w:sz w:val="24"/>
          <w:szCs w:val="24"/>
          <w:highlight w:val="none"/>
          <w14:textFill>
            <w14:solidFill>
              <w14:schemeClr w14:val="tx1"/>
            </w14:solidFill>
          </w14:textFill>
        </w:rPr>
        <w:t>。</w:t>
      </w:r>
    </w:p>
    <w:p w14:paraId="4B43908D">
      <w:pPr>
        <w:pStyle w:val="3"/>
        <w:numPr>
          <w:ilvl w:val="0"/>
          <w:numId w:val="8"/>
        </w:numPr>
        <w:tabs>
          <w:tab w:val="left" w:pos="660"/>
        </w:tabs>
        <w:spacing w:before="145" w:after="0" w:line="360" w:lineRule="auto"/>
        <w:ind w:left="659" w:right="0" w:hanging="559"/>
        <w:jc w:val="left"/>
        <w:rPr>
          <w:rFonts w:ascii="Microsoft JhengHei"/>
          <w:b/>
          <w:color w:val="000000" w:themeColor="text1"/>
          <w:sz w:val="24"/>
          <w:szCs w:val="24"/>
          <w:highlight w:val="none"/>
          <w14:textFill>
            <w14:solidFill>
              <w14:schemeClr w14:val="tx1"/>
            </w14:solidFill>
          </w14:textFill>
        </w:rPr>
      </w:pPr>
      <w:bookmarkStart w:id="68" w:name="_bookmark139"/>
      <w:bookmarkEnd w:id="68"/>
      <w:bookmarkStart w:id="69" w:name="_bookmark139"/>
      <w:bookmarkEnd w:id="69"/>
      <w:r>
        <w:rPr>
          <w:color w:val="000000" w:themeColor="text1"/>
          <w:sz w:val="24"/>
          <w:szCs w:val="24"/>
          <w:highlight w:val="none"/>
          <w14:textFill>
            <w14:solidFill>
              <w14:schemeClr w14:val="tx1"/>
            </w14:solidFill>
          </w14:textFill>
        </w:rPr>
        <w:t>合同的解除</w:t>
      </w:r>
    </w:p>
    <w:p w14:paraId="1B1625EE">
      <w:pPr>
        <w:pStyle w:val="7"/>
        <w:spacing w:line="360" w:lineRule="auto"/>
        <w:ind w:left="100" w:firstLine="419"/>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除专用合同条款另有约定外，有下述情形之一，当事人可发出书面通知全部或部分地解除合同，合同自通知到达对方时全部或部分地解除：</w:t>
      </w:r>
    </w:p>
    <w:p w14:paraId="41B19C0C">
      <w:pPr>
        <w:pStyle w:val="7"/>
        <w:spacing w:before="32"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1</w:t>
      </w:r>
      <w:r>
        <w:rPr>
          <w:color w:val="000000" w:themeColor="text1"/>
          <w:sz w:val="24"/>
          <w:szCs w:val="24"/>
          <w:highlight w:val="none"/>
          <w14:textFill>
            <w14:solidFill>
              <w14:schemeClr w14:val="tx1"/>
            </w14:solidFill>
          </w14:textFill>
        </w:rPr>
        <w:t xml:space="preserve">）卖方迟延交付合同设备超过 </w:t>
      </w:r>
      <w:r>
        <w:rPr>
          <w:rFonts w:ascii="Times New Roman" w:eastAsia="Times New Roman"/>
          <w:color w:val="000000" w:themeColor="text1"/>
          <w:sz w:val="24"/>
          <w:szCs w:val="24"/>
          <w:highlight w:val="none"/>
          <w14:textFill>
            <w14:solidFill>
              <w14:schemeClr w14:val="tx1"/>
            </w14:solidFill>
          </w14:textFill>
        </w:rPr>
        <w:t xml:space="preserve">3 </w:t>
      </w:r>
      <w:r>
        <w:rPr>
          <w:color w:val="000000" w:themeColor="text1"/>
          <w:sz w:val="24"/>
          <w:szCs w:val="24"/>
          <w:highlight w:val="none"/>
          <w14:textFill>
            <w14:solidFill>
              <w14:schemeClr w14:val="tx1"/>
            </w14:solidFill>
          </w14:textFill>
        </w:rPr>
        <w:t>个月；</w:t>
      </w:r>
    </w:p>
    <w:p w14:paraId="0CFFC6D8">
      <w:pPr>
        <w:pStyle w:val="7"/>
        <w:spacing w:before="117" w:line="360" w:lineRule="auto"/>
        <w:ind w:left="100" w:right="111" w:firstLine="419"/>
        <w:jc w:val="both"/>
        <w:rPr>
          <w:color w:val="000000" w:themeColor="text1"/>
          <w:sz w:val="24"/>
          <w:szCs w:val="24"/>
          <w:highlight w:val="none"/>
          <w14:textFill>
            <w14:solidFill>
              <w14:schemeClr w14:val="tx1"/>
            </w14:solidFill>
          </w14:textFill>
        </w:rPr>
      </w:pPr>
      <w:r>
        <w:rPr>
          <w:color w:val="000000" w:themeColor="text1"/>
          <w:spacing w:val="-26"/>
          <w:sz w:val="24"/>
          <w:szCs w:val="24"/>
          <w:highlight w:val="none"/>
          <w14:textFill>
            <w14:solidFill>
              <w14:schemeClr w14:val="tx1"/>
            </w14:solidFill>
          </w14:textFill>
        </w:rPr>
        <w:t>（</w:t>
      </w:r>
      <w:r>
        <w:rPr>
          <w:rFonts w:ascii="Times New Roman" w:eastAsia="Times New Roman"/>
          <w:color w:val="000000" w:themeColor="text1"/>
          <w:spacing w:val="-26"/>
          <w:sz w:val="24"/>
          <w:szCs w:val="24"/>
          <w:highlight w:val="none"/>
          <w14:textFill>
            <w14:solidFill>
              <w14:schemeClr w14:val="tx1"/>
            </w14:solidFill>
          </w14:textFill>
        </w:rPr>
        <w:t>2</w:t>
      </w:r>
      <w:r>
        <w:rPr>
          <w:color w:val="000000" w:themeColor="text1"/>
          <w:spacing w:val="-26"/>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14:paraId="0440464E">
      <w:pPr>
        <w:pStyle w:val="7"/>
        <w:spacing w:before="38"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3</w:t>
      </w:r>
      <w:r>
        <w:rPr>
          <w:color w:val="000000" w:themeColor="text1"/>
          <w:sz w:val="24"/>
          <w:szCs w:val="24"/>
          <w:highlight w:val="none"/>
          <w14:textFill>
            <w14:solidFill>
              <w14:schemeClr w14:val="tx1"/>
            </w14:solidFill>
          </w14:textFill>
        </w:rPr>
        <w:t xml:space="preserve">）买方迟延付款超过 </w:t>
      </w:r>
      <w:r>
        <w:rPr>
          <w:rFonts w:ascii="Times New Roman" w:eastAsia="Times New Roman"/>
          <w:color w:val="000000" w:themeColor="text1"/>
          <w:sz w:val="24"/>
          <w:szCs w:val="24"/>
          <w:highlight w:val="none"/>
          <w14:textFill>
            <w14:solidFill>
              <w14:schemeClr w14:val="tx1"/>
            </w14:solidFill>
          </w14:textFill>
        </w:rPr>
        <w:t xml:space="preserve">3 </w:t>
      </w:r>
      <w:r>
        <w:rPr>
          <w:color w:val="000000" w:themeColor="text1"/>
          <w:sz w:val="24"/>
          <w:szCs w:val="24"/>
          <w:highlight w:val="none"/>
          <w14:textFill>
            <w14:solidFill>
              <w14:schemeClr w14:val="tx1"/>
            </w14:solidFill>
          </w14:textFill>
        </w:rPr>
        <w:t>个月；</w:t>
      </w:r>
    </w:p>
    <w:p w14:paraId="1EE75A13">
      <w:pPr>
        <w:pStyle w:val="7"/>
        <w:spacing w:before="116" w:line="360" w:lineRule="auto"/>
        <w:ind w:left="100" w:right="114" w:firstLine="419"/>
        <w:jc w:val="both"/>
        <w:rPr>
          <w:color w:val="000000" w:themeColor="text1"/>
          <w:sz w:val="24"/>
          <w:szCs w:val="24"/>
          <w:highlight w:val="none"/>
          <w14:textFill>
            <w14:solidFill>
              <w14:schemeClr w14:val="tx1"/>
            </w14:solidFill>
          </w14:textFill>
        </w:rPr>
      </w:pPr>
      <w:r>
        <w:rPr>
          <w:color w:val="000000" w:themeColor="text1"/>
          <w:w w:val="100"/>
          <w:sz w:val="24"/>
          <w:szCs w:val="24"/>
          <w:highlight w:val="none"/>
          <w14:textFill>
            <w14:solidFill>
              <w14:schemeClr w14:val="tx1"/>
            </w14:solidFill>
          </w14:textFill>
        </w:rPr>
        <w:t>（</w:t>
      </w:r>
      <w:r>
        <w:rPr>
          <w:rFonts w:ascii="Times New Roman" w:eastAsia="Times New Roman"/>
          <w:color w:val="000000" w:themeColor="text1"/>
          <w:w w:val="100"/>
          <w:sz w:val="24"/>
          <w:szCs w:val="24"/>
          <w:highlight w:val="none"/>
          <w14:textFill>
            <w14:solidFill>
              <w14:schemeClr w14:val="tx1"/>
            </w14:solidFill>
          </w14:textFill>
        </w:rPr>
        <w:t>4</w:t>
      </w:r>
      <w:r>
        <w:rPr>
          <w:color w:val="000000" w:themeColor="text1"/>
          <w:w w:val="100"/>
          <w:sz w:val="24"/>
          <w:szCs w:val="24"/>
          <w:highlight w:val="none"/>
          <w14:textFill>
            <w14:solidFill>
              <w14:schemeClr w14:val="tx1"/>
            </w14:solidFill>
          </w14:textFill>
        </w:rPr>
        <w:t>）</w:t>
      </w:r>
      <w:r>
        <w:rPr>
          <w:color w:val="000000" w:themeColor="text1"/>
          <w:spacing w:val="-3"/>
          <w:w w:val="100"/>
          <w:sz w:val="24"/>
          <w:szCs w:val="24"/>
          <w:highlight w:val="none"/>
          <w14:textFill>
            <w14:solidFill>
              <w14:schemeClr w14:val="tx1"/>
            </w14:solidFill>
          </w14:textFill>
        </w:rPr>
        <w:t>合同一方当事人未能履行合同项下任何其它义务</w:t>
      </w:r>
      <w:r>
        <w:rPr>
          <w:color w:val="000000" w:themeColor="text1"/>
          <w:w w:val="100"/>
          <w:sz w:val="24"/>
          <w:szCs w:val="24"/>
          <w:highlight w:val="none"/>
          <w14:textFill>
            <w14:solidFill>
              <w14:schemeClr w14:val="tx1"/>
            </w14:solidFill>
          </w14:textFill>
        </w:rPr>
        <w:t>（</w:t>
      </w:r>
      <w:r>
        <w:rPr>
          <w:color w:val="000000" w:themeColor="text1"/>
          <w:spacing w:val="-1"/>
          <w:w w:val="100"/>
          <w:sz w:val="24"/>
          <w:szCs w:val="24"/>
          <w:highlight w:val="none"/>
          <w14:textFill>
            <w14:solidFill>
              <w14:schemeClr w14:val="tx1"/>
            </w14:solidFill>
          </w14:textFill>
        </w:rPr>
        <w:t>细微义务除外</w:t>
      </w:r>
      <w:r>
        <w:rPr>
          <w:color w:val="000000" w:themeColor="text1"/>
          <w:spacing w:val="-104"/>
          <w:w w:val="100"/>
          <w:sz w:val="24"/>
          <w:szCs w:val="24"/>
          <w:highlight w:val="none"/>
          <w14:textFill>
            <w14:solidFill>
              <w14:schemeClr w14:val="tx1"/>
            </w14:solidFill>
          </w14:textFill>
        </w:rPr>
        <w:t>）</w:t>
      </w:r>
      <w:r>
        <w:rPr>
          <w:color w:val="000000" w:themeColor="text1"/>
          <w:spacing w:val="-3"/>
          <w:w w:val="100"/>
          <w:sz w:val="24"/>
          <w:szCs w:val="24"/>
          <w:highlight w:val="none"/>
          <w14:textFill>
            <w14:solidFill>
              <w14:schemeClr w14:val="tx1"/>
            </w14:solidFill>
          </w14:textFill>
        </w:rPr>
        <w:t>，或在未事先征得</w:t>
      </w:r>
      <w:r>
        <w:rPr>
          <w:color w:val="000000" w:themeColor="text1"/>
          <w:spacing w:val="-3"/>
          <w:sz w:val="24"/>
          <w:szCs w:val="24"/>
          <w:highlight w:val="none"/>
          <w14:textFill>
            <w14:solidFill>
              <w14:schemeClr w14:val="tx1"/>
            </w14:solidFill>
          </w14:textFill>
        </w:rPr>
        <w:t>另一方当事人同意的情况下，从事任何可能在实质上不利影响其履行合同能力的活动，经另一</w:t>
      </w:r>
      <w:r>
        <w:rPr>
          <w:color w:val="000000" w:themeColor="text1"/>
          <w:spacing w:val="-6"/>
          <w:sz w:val="24"/>
          <w:szCs w:val="24"/>
          <w:highlight w:val="none"/>
          <w14:textFill>
            <w14:solidFill>
              <w14:schemeClr w14:val="tx1"/>
            </w14:solidFill>
          </w14:textFill>
        </w:rPr>
        <w:t xml:space="preserve">方当事人书面通知后 </w:t>
      </w:r>
      <w:r>
        <w:rPr>
          <w:rFonts w:ascii="Times New Roman" w:eastAsia="Times New Roman"/>
          <w:color w:val="000000" w:themeColor="text1"/>
          <w:sz w:val="24"/>
          <w:szCs w:val="24"/>
          <w:highlight w:val="none"/>
          <w14:textFill>
            <w14:solidFill>
              <w14:schemeClr w14:val="tx1"/>
            </w14:solidFill>
          </w14:textFill>
        </w:rPr>
        <w:t xml:space="preserve">14 </w:t>
      </w:r>
      <w:r>
        <w:rPr>
          <w:color w:val="000000" w:themeColor="text1"/>
          <w:spacing w:val="-3"/>
          <w:sz w:val="24"/>
          <w:szCs w:val="24"/>
          <w:highlight w:val="none"/>
          <w14:textFill>
            <w14:solidFill>
              <w14:schemeClr w14:val="tx1"/>
            </w14:solidFill>
          </w14:textFill>
        </w:rPr>
        <w:t>日内或在专用合同条款约定的其他期限内未能对其行为作出补救；</w:t>
      </w:r>
    </w:p>
    <w:p w14:paraId="0D111181">
      <w:pPr>
        <w:pStyle w:val="7"/>
        <w:spacing w:before="12" w:line="360" w:lineRule="auto"/>
        <w:ind w:left="100" w:right="103" w:firstLine="419"/>
        <w:rPr>
          <w:color w:val="000000" w:themeColor="text1"/>
          <w:sz w:val="24"/>
          <w:szCs w:val="24"/>
          <w:highlight w:val="none"/>
          <w14:textFill>
            <w14:solidFill>
              <w14:schemeClr w14:val="tx1"/>
            </w14:solidFill>
          </w14:textFill>
        </w:rPr>
      </w:pPr>
      <w:r>
        <w:rPr>
          <w:color w:val="000000" w:themeColor="text1"/>
          <w:spacing w:val="-8"/>
          <w:sz w:val="24"/>
          <w:szCs w:val="24"/>
          <w:highlight w:val="none"/>
          <w14:textFill>
            <w14:solidFill>
              <w14:schemeClr w14:val="tx1"/>
            </w14:solidFill>
          </w14:textFill>
        </w:rPr>
        <w:t>（</w:t>
      </w:r>
      <w:r>
        <w:rPr>
          <w:rFonts w:ascii="Times New Roman" w:eastAsia="Times New Roman"/>
          <w:color w:val="000000" w:themeColor="text1"/>
          <w:spacing w:val="-8"/>
          <w:sz w:val="24"/>
          <w:szCs w:val="24"/>
          <w:highlight w:val="none"/>
          <w14:textFill>
            <w14:solidFill>
              <w14:schemeClr w14:val="tx1"/>
            </w14:solidFill>
          </w14:textFill>
        </w:rPr>
        <w:t>5</w:t>
      </w:r>
      <w:r>
        <w:rPr>
          <w:color w:val="000000" w:themeColor="text1"/>
          <w:spacing w:val="-8"/>
          <w:sz w:val="24"/>
          <w:szCs w:val="24"/>
          <w:highlight w:val="none"/>
          <w14:textFill>
            <w14:solidFill>
              <w14:schemeClr w14:val="tx1"/>
            </w14:solidFill>
          </w14:textFill>
        </w:rPr>
        <w:t>）</w:t>
      </w:r>
      <w:r>
        <w:rPr>
          <w:color w:val="000000" w:themeColor="text1"/>
          <w:spacing w:val="-7"/>
          <w:sz w:val="24"/>
          <w:szCs w:val="24"/>
          <w:highlight w:val="none"/>
          <w14:textFill>
            <w14:solidFill>
              <w14:schemeClr w14:val="tx1"/>
            </w14:solidFill>
          </w14:textFill>
        </w:rPr>
        <w:t>合同一方当事人出现破产、清算、资不抵债、成为失信被执行人等可能丧失履约能力</w:t>
      </w:r>
      <w:r>
        <w:rPr>
          <w:color w:val="000000" w:themeColor="text1"/>
          <w:spacing w:val="-5"/>
          <w:sz w:val="24"/>
          <w:szCs w:val="24"/>
          <w:highlight w:val="none"/>
          <w14:textFill>
            <w14:solidFill>
              <w14:schemeClr w14:val="tx1"/>
            </w14:solidFill>
          </w14:textFill>
        </w:rPr>
        <w:t>的情形，且未能提供令对方满意的履约保证金。</w:t>
      </w:r>
    </w:p>
    <w:p w14:paraId="093ABCC1">
      <w:pPr>
        <w:pStyle w:val="3"/>
        <w:numPr>
          <w:ilvl w:val="0"/>
          <w:numId w:val="8"/>
        </w:numPr>
        <w:tabs>
          <w:tab w:val="left" w:pos="660"/>
        </w:tabs>
        <w:spacing w:before="0" w:after="0" w:line="360" w:lineRule="auto"/>
        <w:ind w:left="659" w:right="0" w:hanging="559"/>
        <w:jc w:val="left"/>
        <w:rPr>
          <w:rFonts w:ascii="Microsoft JhengHei"/>
          <w:b/>
          <w:color w:val="000000" w:themeColor="text1"/>
          <w:sz w:val="24"/>
          <w:szCs w:val="24"/>
          <w:highlight w:val="none"/>
          <w14:textFill>
            <w14:solidFill>
              <w14:schemeClr w14:val="tx1"/>
            </w14:solidFill>
          </w14:textFill>
        </w:rPr>
      </w:pPr>
      <w:bookmarkStart w:id="70" w:name="_bookmark140"/>
      <w:bookmarkEnd w:id="70"/>
      <w:bookmarkStart w:id="71" w:name="_bookmark140"/>
      <w:bookmarkEnd w:id="71"/>
      <w:r>
        <w:rPr>
          <w:color w:val="000000" w:themeColor="text1"/>
          <w:sz w:val="24"/>
          <w:szCs w:val="24"/>
          <w:highlight w:val="none"/>
          <w14:textFill>
            <w14:solidFill>
              <w14:schemeClr w14:val="tx1"/>
            </w14:solidFill>
          </w14:textFill>
        </w:rPr>
        <w:t>不可抗力</w:t>
      </w:r>
    </w:p>
    <w:p w14:paraId="77D4B729">
      <w:pPr>
        <w:pStyle w:val="22"/>
        <w:numPr>
          <w:ilvl w:val="1"/>
          <w:numId w:val="8"/>
        </w:numPr>
        <w:tabs>
          <w:tab w:val="left" w:pos="994"/>
        </w:tabs>
        <w:spacing w:before="0" w:after="0" w:line="360" w:lineRule="auto"/>
        <w:ind w:left="100" w:right="113"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pacing w:val="-5"/>
          <w:sz w:val="24"/>
          <w:szCs w:val="24"/>
          <w:highlight w:val="none"/>
          <w14:textFill>
            <w14:solidFill>
              <w14:schemeClr w14:val="tx1"/>
            </w14:solidFill>
          </w14:textFill>
        </w:rPr>
        <w:t>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w:t>
      </w:r>
      <w:r>
        <w:rPr>
          <w:color w:val="000000" w:themeColor="text1"/>
          <w:spacing w:val="-8"/>
          <w:sz w:val="24"/>
          <w:szCs w:val="24"/>
          <w:highlight w:val="none"/>
          <w14:textFill>
            <w14:solidFill>
              <w14:schemeClr w14:val="tx1"/>
            </w14:solidFill>
          </w14:textFill>
        </w:rPr>
        <w:t xml:space="preserve">可抗力事件发生后 </w:t>
      </w:r>
      <w:r>
        <w:rPr>
          <w:rFonts w:ascii="Times New Roman" w:eastAsia="Times New Roman"/>
          <w:color w:val="000000" w:themeColor="text1"/>
          <w:sz w:val="24"/>
          <w:szCs w:val="24"/>
          <w:highlight w:val="none"/>
          <w14:textFill>
            <w14:solidFill>
              <w14:schemeClr w14:val="tx1"/>
            </w14:solidFill>
          </w14:textFill>
        </w:rPr>
        <w:t>28</w:t>
      </w:r>
      <w:r>
        <w:rPr>
          <w:rFonts w:ascii="Times New Roman" w:eastAsia="Times New Roman"/>
          <w:color w:val="000000" w:themeColor="text1"/>
          <w:spacing w:val="20"/>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日内将有关当局或机构出具的证明文件提交给另一方当事人。</w:t>
      </w:r>
    </w:p>
    <w:p w14:paraId="40A27D17">
      <w:pPr>
        <w:pStyle w:val="22"/>
        <w:numPr>
          <w:ilvl w:val="1"/>
          <w:numId w:val="8"/>
        </w:numPr>
        <w:tabs>
          <w:tab w:val="left" w:pos="1001"/>
        </w:tabs>
        <w:spacing w:before="9" w:after="0" w:line="360" w:lineRule="auto"/>
        <w:ind w:left="100" w:right="114"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受不可抗力事件影响的一方当事人对于不可抗力事件导致的任何合同义务的迟延履</w:t>
      </w:r>
      <w:r>
        <w:rPr>
          <w:color w:val="000000" w:themeColor="text1"/>
          <w:spacing w:val="-3"/>
          <w:sz w:val="24"/>
          <w:szCs w:val="24"/>
          <w:highlight w:val="none"/>
          <w14:textFill>
            <w14:solidFill>
              <w14:schemeClr w14:val="tx1"/>
            </w14:solidFill>
          </w14:textFill>
        </w:rPr>
        <w:t>行或不能履行不承担违约责任。但该方当事人应尽快将不可抗力事件结束或消除的情况通知另一方当事人。</w:t>
      </w:r>
    </w:p>
    <w:p w14:paraId="683BEA2D">
      <w:pPr>
        <w:pStyle w:val="22"/>
        <w:numPr>
          <w:ilvl w:val="1"/>
          <w:numId w:val="8"/>
        </w:numPr>
        <w:tabs>
          <w:tab w:val="left" w:pos="994"/>
        </w:tabs>
        <w:spacing w:before="42" w:after="0" w:line="360" w:lineRule="auto"/>
        <w:ind w:left="100" w:right="111" w:firstLine="420"/>
        <w:jc w:val="both"/>
        <w:rPr>
          <w:rFonts w:ascii="Times New Roman" w:eastAsia="Times New Roman"/>
          <w:color w:val="000000" w:themeColor="text1"/>
          <w:sz w:val="24"/>
          <w:szCs w:val="24"/>
          <w:highlight w:val="none"/>
          <w14:textFill>
            <w14:solidFill>
              <w14:schemeClr w14:val="tx1"/>
            </w14:solidFill>
          </w14:textFill>
        </w:rPr>
      </w:pPr>
      <w:r>
        <w:rPr>
          <w:color w:val="000000" w:themeColor="text1"/>
          <w:spacing w:val="-4"/>
          <w:sz w:val="24"/>
          <w:szCs w:val="24"/>
          <w:highlight w:val="none"/>
          <w14:textFill>
            <w14:solidFill>
              <w14:schemeClr w14:val="tx1"/>
            </w14:solidFill>
          </w14:textFill>
        </w:rPr>
        <w:t xml:space="preserve">双方当事人应在不可抗力事件结束或其影响消除后立即继续履行其合同义务，合同期限也应相应顺延。除专用合同条款另有约定外，如果不可抗力事件的影响持续超过 </w:t>
      </w:r>
      <w:r>
        <w:rPr>
          <w:rFonts w:ascii="Times New Roman" w:eastAsia="Times New Roman"/>
          <w:color w:val="000000" w:themeColor="text1"/>
          <w:sz w:val="24"/>
          <w:szCs w:val="24"/>
          <w:highlight w:val="none"/>
          <w14:textFill>
            <w14:solidFill>
              <w14:schemeClr w14:val="tx1"/>
            </w14:solidFill>
          </w14:textFill>
        </w:rPr>
        <w:t>140</w:t>
      </w:r>
      <w:r>
        <w:rPr>
          <w:rFonts w:ascii="Times New Roman" w:eastAsia="Times New Roman"/>
          <w:color w:val="000000" w:themeColor="text1"/>
          <w:spacing w:val="36"/>
          <w:sz w:val="24"/>
          <w:szCs w:val="24"/>
          <w:highlight w:val="none"/>
          <w14:textFill>
            <w14:solidFill>
              <w14:schemeClr w14:val="tx1"/>
            </w14:solidFill>
          </w14:textFill>
        </w:rPr>
        <w:t xml:space="preserve"> </w:t>
      </w:r>
      <w:r>
        <w:rPr>
          <w:color w:val="000000" w:themeColor="text1"/>
          <w:spacing w:val="-3"/>
          <w:sz w:val="24"/>
          <w:szCs w:val="24"/>
          <w:highlight w:val="none"/>
          <w14:textFill>
            <w14:solidFill>
              <w14:schemeClr w14:val="tx1"/>
            </w14:solidFill>
          </w14:textFill>
        </w:rPr>
        <w:t>日，则任何一方当事人均有权以书面通知解除合同。</w:t>
      </w:r>
    </w:p>
    <w:p w14:paraId="100944F0">
      <w:pPr>
        <w:pStyle w:val="7"/>
        <w:spacing w:before="4" w:line="360" w:lineRule="auto"/>
        <w:rPr>
          <w:color w:val="000000" w:themeColor="text1"/>
          <w:sz w:val="24"/>
          <w:szCs w:val="24"/>
          <w:highlight w:val="none"/>
          <w14:textFill>
            <w14:solidFill>
              <w14:schemeClr w14:val="tx1"/>
            </w14:solidFill>
          </w14:textFill>
        </w:rPr>
      </w:pPr>
    </w:p>
    <w:p w14:paraId="779055F0">
      <w:pPr>
        <w:pStyle w:val="3"/>
        <w:numPr>
          <w:ilvl w:val="0"/>
          <w:numId w:val="8"/>
        </w:numPr>
        <w:tabs>
          <w:tab w:val="left" w:pos="660"/>
        </w:tabs>
        <w:spacing w:before="0" w:after="0" w:line="360" w:lineRule="auto"/>
        <w:ind w:left="659" w:right="0" w:hanging="559"/>
        <w:jc w:val="left"/>
        <w:rPr>
          <w:rFonts w:ascii="Microsoft JhengHei"/>
          <w:b/>
          <w:color w:val="000000" w:themeColor="text1"/>
          <w:sz w:val="24"/>
          <w:szCs w:val="24"/>
          <w:highlight w:val="none"/>
          <w14:textFill>
            <w14:solidFill>
              <w14:schemeClr w14:val="tx1"/>
            </w14:solidFill>
          </w14:textFill>
        </w:rPr>
      </w:pPr>
      <w:bookmarkStart w:id="72" w:name="_bookmark141"/>
      <w:bookmarkEnd w:id="72"/>
      <w:bookmarkStart w:id="73" w:name="_bookmark141"/>
      <w:bookmarkEnd w:id="73"/>
      <w:r>
        <w:rPr>
          <w:color w:val="000000" w:themeColor="text1"/>
          <w:sz w:val="24"/>
          <w:szCs w:val="24"/>
          <w:highlight w:val="none"/>
          <w14:textFill>
            <w14:solidFill>
              <w14:schemeClr w14:val="tx1"/>
            </w14:solidFill>
          </w14:textFill>
        </w:rPr>
        <w:t>争议的解决</w:t>
      </w:r>
    </w:p>
    <w:p w14:paraId="0799EDD0">
      <w:pPr>
        <w:pStyle w:val="7"/>
        <w:spacing w:before="1" w:line="360" w:lineRule="auto"/>
        <w:ind w:left="100" w:right="113" w:firstLine="419"/>
        <w:jc w:val="both"/>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因本合同引起的或与本合同有关的任何争议</w:t>
      </w:r>
      <w:r>
        <w:rPr>
          <w:rFonts w:ascii="Times New Roman" w:eastAsia="Times New Roman"/>
          <w:color w:val="000000" w:themeColor="text1"/>
          <w:spacing w:val="-3"/>
          <w:sz w:val="24"/>
          <w:szCs w:val="24"/>
          <w:highlight w:val="none"/>
          <w14:textFill>
            <w14:solidFill>
              <w14:schemeClr w14:val="tx1"/>
            </w14:solidFill>
          </w14:textFill>
        </w:rPr>
        <w:t>,</w:t>
      </w:r>
      <w:r>
        <w:rPr>
          <w:color w:val="000000" w:themeColor="text1"/>
          <w:spacing w:val="-5"/>
          <w:sz w:val="24"/>
          <w:szCs w:val="24"/>
          <w:highlight w:val="none"/>
          <w14:textFill>
            <w14:solidFill>
              <w14:schemeClr w14:val="tx1"/>
            </w14:solidFill>
          </w14:textFill>
        </w:rPr>
        <w:t>双方可通过友好协商解决。友好协商解决不成</w:t>
      </w:r>
      <w:r>
        <w:rPr>
          <w:color w:val="000000" w:themeColor="text1"/>
          <w:spacing w:val="-4"/>
          <w:sz w:val="24"/>
          <w:szCs w:val="24"/>
          <w:highlight w:val="none"/>
          <w14:textFill>
            <w14:solidFill>
              <w14:schemeClr w14:val="tx1"/>
            </w14:solidFill>
          </w14:textFill>
        </w:rPr>
        <w:t>的，可在专用合同条款中约定下列一种方式解决：</w:t>
      </w:r>
    </w:p>
    <w:p w14:paraId="2FD6AC60">
      <w:pPr>
        <w:pStyle w:val="7"/>
        <w:spacing w:before="49"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1</w:t>
      </w:r>
      <w:r>
        <w:rPr>
          <w:color w:val="000000" w:themeColor="text1"/>
          <w:sz w:val="24"/>
          <w:szCs w:val="24"/>
          <w:highlight w:val="none"/>
          <w14:textFill>
            <w14:solidFill>
              <w14:schemeClr w14:val="tx1"/>
            </w14:solidFill>
          </w14:textFill>
        </w:rPr>
        <w:t>）向约定的仲裁委员会申请仲裁；</w:t>
      </w:r>
    </w:p>
    <w:p w14:paraId="21B94191">
      <w:pPr>
        <w:pStyle w:val="7"/>
        <w:spacing w:before="117" w:line="360" w:lineRule="auto"/>
        <w:ind w:left="520"/>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2</w:t>
      </w:r>
      <w:r>
        <w:rPr>
          <w:color w:val="000000" w:themeColor="text1"/>
          <w:sz w:val="24"/>
          <w:szCs w:val="24"/>
          <w:highlight w:val="none"/>
          <w14:textFill>
            <w14:solidFill>
              <w14:schemeClr w14:val="tx1"/>
            </w14:solidFill>
          </w14:textFill>
        </w:rPr>
        <w:t>）向有管辖权的人民法院提起诉讼。</w:t>
      </w:r>
    </w:p>
    <w:p w14:paraId="162903F0">
      <w:pPr>
        <w:pStyle w:val="3"/>
        <w:spacing w:line="443" w:lineRule="exact"/>
        <w:ind w:left="3275" w:firstLine="0"/>
        <w:rPr>
          <w:rFonts w:hint="eastAsia" w:ascii="方正小标宋简体" w:hAnsi="方正小标宋简体" w:eastAsia="方正小标宋简体" w:cs="方正小标宋简体"/>
          <w:color w:val="000000" w:themeColor="text1"/>
          <w:highlight w:val="none"/>
          <w14:textFill>
            <w14:solidFill>
              <w14:schemeClr w14:val="tx1"/>
            </w14:solidFill>
          </w14:textFill>
        </w:rPr>
      </w:pPr>
      <w:bookmarkStart w:id="74" w:name="_bookmark142"/>
      <w:bookmarkEnd w:id="74"/>
      <w:r>
        <w:rPr>
          <w:color w:val="000000" w:themeColor="text1"/>
          <w:highlight w:val="none"/>
          <w14:textFill>
            <w14:solidFill>
              <w14:schemeClr w14:val="tx1"/>
            </w14:solidFill>
          </w14:textFill>
        </w:rPr>
        <w:br w:type="page"/>
      </w:r>
      <w:r>
        <w:rPr>
          <w:rFonts w:hint="eastAsia" w:ascii="方正小标宋简体" w:hAnsi="方正小标宋简体" w:eastAsia="方正小标宋简体" w:cs="方正小标宋简体"/>
          <w:color w:val="000000" w:themeColor="text1"/>
          <w:highlight w:val="none"/>
          <w14:textFill>
            <w14:solidFill>
              <w14:schemeClr w14:val="tx1"/>
            </w14:solidFill>
          </w14:textFill>
        </w:rPr>
        <w:t>第二节专用合同条款</w:t>
      </w:r>
    </w:p>
    <w:p w14:paraId="415E2022">
      <w:pPr>
        <w:spacing w:after="0" w:line="443" w:lineRule="exact"/>
        <w:rPr>
          <w:color w:val="000000" w:themeColor="text1"/>
          <w:highlight w:val="none"/>
          <w14:textFill>
            <w14:solidFill>
              <w14:schemeClr w14:val="tx1"/>
            </w14:solidFill>
          </w14:textFill>
        </w:rPr>
      </w:pPr>
    </w:p>
    <w:p w14:paraId="3FC870F2">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甲方： 陕西中医药大学</w:t>
      </w:r>
    </w:p>
    <w:p w14:paraId="20885133">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乙方：</w:t>
      </w:r>
    </w:p>
    <w:p w14:paraId="527FA0EE">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陕西省财政厅政府采购管理处的监督管理下，按照政府采购程序组织XX招标，确定乙方为中标供应商。依据《中华人民共和国政府采购法》、《中华人民共和国招标投标法》、《中华人民共和国民法典》以及招标文件、中标供应商的投标文件正本和澄清表（函）、中标通知书，经甲、乙双方协商，达成如下条款：</w:t>
      </w:r>
    </w:p>
    <w:p w14:paraId="147B3939">
      <w:pPr>
        <w:tabs>
          <w:tab w:val="left" w:pos="480"/>
        </w:tabs>
        <w:spacing w:line="360" w:lineRule="auto"/>
        <w:ind w:firstLine="482"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一、合同标的物内容及数量</w:t>
      </w:r>
      <w:r>
        <w:rPr>
          <w:rFonts w:hint="eastAsia" w:ascii="宋体" w:hAnsi="宋体" w:cs="宋体"/>
          <w:color w:val="000000" w:themeColor="text1"/>
          <w:sz w:val="24"/>
          <w:szCs w:val="24"/>
          <w:highlight w:val="none"/>
          <w14:textFill>
            <w14:solidFill>
              <w14:schemeClr w14:val="tx1"/>
            </w14:solidFill>
          </w14:textFill>
        </w:rPr>
        <w:t>（以投标文件正本和澄清表〈函〉为准）</w:t>
      </w:r>
    </w:p>
    <w:tbl>
      <w:tblPr>
        <w:tblStyle w:val="10"/>
        <w:tblW w:w="89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1396"/>
        <w:gridCol w:w="1305"/>
        <w:gridCol w:w="1061"/>
        <w:gridCol w:w="1140"/>
        <w:gridCol w:w="1066"/>
        <w:gridCol w:w="1192"/>
        <w:gridCol w:w="1140"/>
      </w:tblGrid>
      <w:tr w14:paraId="6A4FD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noWrap w:val="0"/>
            <w:vAlign w:val="center"/>
          </w:tcPr>
          <w:p w14:paraId="6D4C2DA3">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序号</w:t>
            </w:r>
          </w:p>
        </w:tc>
        <w:tc>
          <w:tcPr>
            <w:tcW w:w="1396" w:type="dxa"/>
            <w:tcBorders>
              <w:top w:val="single" w:color="auto" w:sz="4" w:space="0"/>
              <w:left w:val="single" w:color="auto" w:sz="4" w:space="0"/>
              <w:bottom w:val="single" w:color="auto" w:sz="4" w:space="0"/>
              <w:right w:val="single" w:color="auto" w:sz="4" w:space="0"/>
            </w:tcBorders>
            <w:noWrap w:val="0"/>
            <w:vAlign w:val="center"/>
          </w:tcPr>
          <w:p w14:paraId="7945D2A0">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货物名称</w:t>
            </w:r>
          </w:p>
        </w:tc>
        <w:tc>
          <w:tcPr>
            <w:tcW w:w="1305" w:type="dxa"/>
            <w:tcBorders>
              <w:top w:val="single" w:color="auto" w:sz="4" w:space="0"/>
              <w:left w:val="single" w:color="auto" w:sz="4" w:space="0"/>
              <w:bottom w:val="single" w:color="auto" w:sz="4" w:space="0"/>
              <w:right w:val="single" w:color="auto" w:sz="4" w:space="0"/>
            </w:tcBorders>
            <w:noWrap w:val="0"/>
            <w:vAlign w:val="center"/>
          </w:tcPr>
          <w:p w14:paraId="5DDE6099">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单价（</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元）</w:t>
            </w:r>
          </w:p>
        </w:tc>
        <w:tc>
          <w:tcPr>
            <w:tcW w:w="1061" w:type="dxa"/>
            <w:tcBorders>
              <w:top w:val="single" w:color="auto" w:sz="4" w:space="0"/>
              <w:left w:val="single" w:color="auto" w:sz="4" w:space="0"/>
              <w:bottom w:val="single" w:color="auto" w:sz="4" w:space="0"/>
              <w:right w:val="single" w:color="auto" w:sz="4" w:space="0"/>
            </w:tcBorders>
            <w:noWrap w:val="0"/>
            <w:vAlign w:val="center"/>
          </w:tcPr>
          <w:p w14:paraId="47D9675B">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数量</w:t>
            </w:r>
          </w:p>
        </w:tc>
        <w:tc>
          <w:tcPr>
            <w:tcW w:w="1140" w:type="dxa"/>
            <w:tcBorders>
              <w:top w:val="single" w:color="auto" w:sz="4" w:space="0"/>
              <w:left w:val="single" w:color="auto" w:sz="4" w:space="0"/>
              <w:bottom w:val="single" w:color="auto" w:sz="4" w:space="0"/>
              <w:right w:val="single" w:color="auto" w:sz="4" w:space="0"/>
            </w:tcBorders>
            <w:noWrap w:val="0"/>
            <w:vAlign w:val="center"/>
          </w:tcPr>
          <w:p w14:paraId="573ADDD5">
            <w:pPr>
              <w:tabs>
                <w:tab w:val="left" w:pos="480"/>
              </w:tabs>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品牌</w:t>
            </w:r>
            <w:r>
              <w:rPr>
                <w:rFonts w:hint="eastAsia" w:ascii="宋体" w:hAnsi="宋体" w:eastAsia="宋体" w:cs="宋体"/>
                <w:color w:val="000000" w:themeColor="text1"/>
                <w:sz w:val="24"/>
                <w:szCs w:val="24"/>
                <w:highlight w:val="none"/>
                <w:lang w:eastAsia="zh-CN"/>
                <w14:textFill>
                  <w14:solidFill>
                    <w14:schemeClr w14:val="tx1"/>
                  </w14:solidFill>
                </w14:textFill>
              </w:rPr>
              <w:t>型号</w:t>
            </w:r>
          </w:p>
        </w:tc>
        <w:tc>
          <w:tcPr>
            <w:tcW w:w="1066" w:type="dxa"/>
            <w:tcBorders>
              <w:top w:val="single" w:color="auto" w:sz="4" w:space="0"/>
              <w:left w:val="single" w:color="auto" w:sz="4" w:space="0"/>
              <w:bottom w:val="single" w:color="auto" w:sz="4" w:space="0"/>
              <w:right w:val="single" w:color="auto" w:sz="4" w:space="0"/>
            </w:tcBorders>
            <w:noWrap w:val="0"/>
            <w:vAlign w:val="center"/>
          </w:tcPr>
          <w:p w14:paraId="21450114">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原</w:t>
            </w:r>
            <w:r>
              <w:rPr>
                <w:rFonts w:hint="eastAsia" w:ascii="宋体" w:hAnsi="宋体" w:cs="宋体"/>
                <w:color w:val="000000" w:themeColor="text1"/>
                <w:sz w:val="24"/>
                <w:szCs w:val="24"/>
                <w:highlight w:val="none"/>
                <w14:textFill>
                  <w14:solidFill>
                    <w14:schemeClr w14:val="tx1"/>
                  </w14:solidFill>
                </w14:textFill>
              </w:rPr>
              <w:t>产地</w:t>
            </w:r>
          </w:p>
        </w:tc>
        <w:tc>
          <w:tcPr>
            <w:tcW w:w="1192" w:type="dxa"/>
            <w:tcBorders>
              <w:top w:val="single" w:color="auto" w:sz="4" w:space="0"/>
              <w:left w:val="single" w:color="auto" w:sz="4" w:space="0"/>
              <w:bottom w:val="single" w:color="auto" w:sz="4" w:space="0"/>
              <w:right w:val="single" w:color="auto" w:sz="4" w:space="0"/>
            </w:tcBorders>
            <w:noWrap w:val="0"/>
            <w:vAlign w:val="center"/>
          </w:tcPr>
          <w:p w14:paraId="7B11F6C5">
            <w:pPr>
              <w:tabs>
                <w:tab w:val="left" w:pos="480"/>
              </w:tabs>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是否</w:t>
            </w:r>
            <w:r>
              <w:rPr>
                <w:rFonts w:hint="eastAsia" w:ascii="宋体" w:hAnsi="宋体" w:cs="宋体"/>
                <w:color w:val="000000" w:themeColor="text1"/>
                <w:sz w:val="24"/>
                <w:szCs w:val="24"/>
                <w:highlight w:val="none"/>
                <w:lang w:val="en-US" w:eastAsia="zh-CN"/>
                <w14:textFill>
                  <w14:solidFill>
                    <w14:schemeClr w14:val="tx1"/>
                  </w14:solidFill>
                </w14:textFill>
              </w:rPr>
              <w:t>进口</w:t>
            </w:r>
          </w:p>
        </w:tc>
        <w:tc>
          <w:tcPr>
            <w:tcW w:w="1140" w:type="dxa"/>
            <w:tcBorders>
              <w:top w:val="single" w:color="auto" w:sz="4" w:space="0"/>
              <w:left w:val="single" w:color="auto" w:sz="4" w:space="0"/>
              <w:bottom w:val="single" w:color="auto" w:sz="4" w:space="0"/>
              <w:right w:val="single" w:color="auto" w:sz="4" w:space="0"/>
            </w:tcBorders>
            <w:noWrap w:val="0"/>
            <w:vAlign w:val="center"/>
          </w:tcPr>
          <w:p w14:paraId="6F8CEE26">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w:t>
            </w:r>
          </w:p>
        </w:tc>
      </w:tr>
      <w:tr w14:paraId="362BB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noWrap w:val="0"/>
            <w:vAlign w:val="center"/>
          </w:tcPr>
          <w:p w14:paraId="2D7FD426">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1396" w:type="dxa"/>
            <w:tcBorders>
              <w:top w:val="single" w:color="auto" w:sz="4" w:space="0"/>
              <w:left w:val="single" w:color="auto" w:sz="4" w:space="0"/>
              <w:bottom w:val="single" w:color="auto" w:sz="4" w:space="0"/>
              <w:right w:val="single" w:color="auto" w:sz="4" w:space="0"/>
            </w:tcBorders>
            <w:noWrap w:val="0"/>
            <w:vAlign w:val="center"/>
          </w:tcPr>
          <w:p w14:paraId="1449F678">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14:paraId="6DFCBC2F">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061" w:type="dxa"/>
            <w:tcBorders>
              <w:top w:val="single" w:color="auto" w:sz="4" w:space="0"/>
              <w:left w:val="single" w:color="auto" w:sz="4" w:space="0"/>
              <w:bottom w:val="single" w:color="auto" w:sz="4" w:space="0"/>
              <w:right w:val="single" w:color="auto" w:sz="4" w:space="0"/>
            </w:tcBorders>
            <w:noWrap w:val="0"/>
            <w:vAlign w:val="center"/>
          </w:tcPr>
          <w:p w14:paraId="339F0FB6">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0A555114">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14:paraId="020432B8">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192" w:type="dxa"/>
            <w:tcBorders>
              <w:top w:val="single" w:color="auto" w:sz="4" w:space="0"/>
              <w:left w:val="single" w:color="auto" w:sz="4" w:space="0"/>
              <w:bottom w:val="single" w:color="auto" w:sz="4" w:space="0"/>
              <w:right w:val="single" w:color="auto" w:sz="4" w:space="0"/>
            </w:tcBorders>
            <w:noWrap w:val="0"/>
            <w:vAlign w:val="center"/>
          </w:tcPr>
          <w:p w14:paraId="26C4E9DC">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2C51BB84">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r>
      <w:tr w14:paraId="39432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noWrap w:val="0"/>
            <w:vAlign w:val="center"/>
          </w:tcPr>
          <w:p w14:paraId="6A05840A">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p>
        </w:tc>
        <w:tc>
          <w:tcPr>
            <w:tcW w:w="1396" w:type="dxa"/>
            <w:tcBorders>
              <w:top w:val="single" w:color="auto" w:sz="4" w:space="0"/>
              <w:left w:val="single" w:color="auto" w:sz="4" w:space="0"/>
              <w:bottom w:val="single" w:color="auto" w:sz="4" w:space="0"/>
              <w:right w:val="single" w:color="auto" w:sz="4" w:space="0"/>
            </w:tcBorders>
            <w:noWrap w:val="0"/>
            <w:vAlign w:val="center"/>
          </w:tcPr>
          <w:p w14:paraId="19D7DC59">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14:paraId="26F06E13">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061" w:type="dxa"/>
            <w:tcBorders>
              <w:top w:val="single" w:color="auto" w:sz="4" w:space="0"/>
              <w:left w:val="single" w:color="auto" w:sz="4" w:space="0"/>
              <w:bottom w:val="single" w:color="auto" w:sz="4" w:space="0"/>
              <w:right w:val="single" w:color="auto" w:sz="4" w:space="0"/>
            </w:tcBorders>
            <w:noWrap w:val="0"/>
            <w:vAlign w:val="center"/>
          </w:tcPr>
          <w:p w14:paraId="45FF204B">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53E988F2">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14:paraId="317FE3F5">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192" w:type="dxa"/>
            <w:tcBorders>
              <w:top w:val="single" w:color="auto" w:sz="4" w:space="0"/>
              <w:left w:val="single" w:color="auto" w:sz="4" w:space="0"/>
              <w:bottom w:val="single" w:color="auto" w:sz="4" w:space="0"/>
              <w:right w:val="single" w:color="auto" w:sz="4" w:space="0"/>
            </w:tcBorders>
            <w:noWrap w:val="0"/>
            <w:vAlign w:val="center"/>
          </w:tcPr>
          <w:p w14:paraId="01C0F7DE">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002B03E0">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r>
      <w:tr w14:paraId="51893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noWrap w:val="0"/>
            <w:vAlign w:val="center"/>
          </w:tcPr>
          <w:p w14:paraId="526BCF7F">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1396" w:type="dxa"/>
            <w:tcBorders>
              <w:top w:val="single" w:color="auto" w:sz="4" w:space="0"/>
              <w:left w:val="single" w:color="auto" w:sz="4" w:space="0"/>
              <w:bottom w:val="single" w:color="auto" w:sz="4" w:space="0"/>
              <w:right w:val="single" w:color="auto" w:sz="4" w:space="0"/>
            </w:tcBorders>
            <w:noWrap w:val="0"/>
            <w:vAlign w:val="center"/>
          </w:tcPr>
          <w:p w14:paraId="5B717475">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14:paraId="3CD94E68">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061" w:type="dxa"/>
            <w:tcBorders>
              <w:top w:val="single" w:color="auto" w:sz="4" w:space="0"/>
              <w:left w:val="single" w:color="auto" w:sz="4" w:space="0"/>
              <w:bottom w:val="single" w:color="auto" w:sz="4" w:space="0"/>
              <w:right w:val="single" w:color="auto" w:sz="4" w:space="0"/>
            </w:tcBorders>
            <w:noWrap w:val="0"/>
            <w:vAlign w:val="center"/>
          </w:tcPr>
          <w:p w14:paraId="5434943D">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4C42199E">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14:paraId="06AC150F">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192" w:type="dxa"/>
            <w:tcBorders>
              <w:top w:val="single" w:color="auto" w:sz="4" w:space="0"/>
              <w:left w:val="single" w:color="auto" w:sz="4" w:space="0"/>
              <w:bottom w:val="single" w:color="auto" w:sz="4" w:space="0"/>
              <w:right w:val="single" w:color="auto" w:sz="4" w:space="0"/>
            </w:tcBorders>
            <w:noWrap w:val="0"/>
            <w:vAlign w:val="center"/>
          </w:tcPr>
          <w:p w14:paraId="0A82F959">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6F91A36F">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r>
      <w:tr w14:paraId="6EA9C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noWrap w:val="0"/>
            <w:vAlign w:val="center"/>
          </w:tcPr>
          <w:p w14:paraId="36DA059A">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p>
        </w:tc>
        <w:tc>
          <w:tcPr>
            <w:tcW w:w="1396" w:type="dxa"/>
            <w:tcBorders>
              <w:top w:val="single" w:color="auto" w:sz="4" w:space="0"/>
              <w:left w:val="single" w:color="auto" w:sz="4" w:space="0"/>
              <w:bottom w:val="single" w:color="auto" w:sz="4" w:space="0"/>
              <w:right w:val="single" w:color="auto" w:sz="4" w:space="0"/>
            </w:tcBorders>
            <w:noWrap w:val="0"/>
            <w:vAlign w:val="center"/>
          </w:tcPr>
          <w:p w14:paraId="7FED3771">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14:paraId="538C559F">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061" w:type="dxa"/>
            <w:tcBorders>
              <w:top w:val="single" w:color="auto" w:sz="4" w:space="0"/>
              <w:left w:val="single" w:color="auto" w:sz="4" w:space="0"/>
              <w:bottom w:val="single" w:color="auto" w:sz="4" w:space="0"/>
              <w:right w:val="single" w:color="auto" w:sz="4" w:space="0"/>
            </w:tcBorders>
            <w:noWrap w:val="0"/>
            <w:vAlign w:val="center"/>
          </w:tcPr>
          <w:p w14:paraId="1ABAFBBC">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22AF6497">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066" w:type="dxa"/>
            <w:tcBorders>
              <w:top w:val="single" w:color="auto" w:sz="4" w:space="0"/>
              <w:left w:val="single" w:color="auto" w:sz="4" w:space="0"/>
              <w:bottom w:val="single" w:color="auto" w:sz="4" w:space="0"/>
              <w:right w:val="single" w:color="auto" w:sz="4" w:space="0"/>
            </w:tcBorders>
            <w:noWrap w:val="0"/>
            <w:vAlign w:val="center"/>
          </w:tcPr>
          <w:p w14:paraId="3B3C9B26">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192" w:type="dxa"/>
            <w:tcBorders>
              <w:top w:val="single" w:color="auto" w:sz="4" w:space="0"/>
              <w:left w:val="single" w:color="auto" w:sz="4" w:space="0"/>
              <w:bottom w:val="single" w:color="auto" w:sz="4" w:space="0"/>
              <w:right w:val="single" w:color="auto" w:sz="4" w:space="0"/>
            </w:tcBorders>
            <w:noWrap w:val="0"/>
            <w:vAlign w:val="center"/>
          </w:tcPr>
          <w:p w14:paraId="1BFB7C44">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14:paraId="1B2323E1">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r>
      <w:tr w14:paraId="50F49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noWrap w:val="0"/>
            <w:vAlign w:val="center"/>
          </w:tcPr>
          <w:p w14:paraId="0C02DBF6">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说明</w:t>
            </w:r>
          </w:p>
        </w:tc>
        <w:tc>
          <w:tcPr>
            <w:tcW w:w="5968" w:type="dxa"/>
            <w:gridSpan w:val="5"/>
            <w:tcBorders>
              <w:top w:val="single" w:color="auto" w:sz="4" w:space="0"/>
              <w:left w:val="single" w:color="auto" w:sz="4" w:space="0"/>
              <w:bottom w:val="single" w:color="auto" w:sz="4" w:space="0"/>
              <w:right w:val="nil"/>
            </w:tcBorders>
            <w:noWrap w:val="0"/>
            <w:vAlign w:val="center"/>
          </w:tcPr>
          <w:p w14:paraId="78DFF06C">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192" w:type="dxa"/>
            <w:tcBorders>
              <w:top w:val="single" w:color="auto" w:sz="4" w:space="0"/>
              <w:left w:val="nil"/>
              <w:bottom w:val="single" w:color="auto" w:sz="4" w:space="0"/>
              <w:right w:val="nil"/>
            </w:tcBorders>
            <w:noWrap w:val="0"/>
            <w:vAlign w:val="center"/>
          </w:tcPr>
          <w:p w14:paraId="3DA0D41F">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c>
          <w:tcPr>
            <w:tcW w:w="1140" w:type="dxa"/>
            <w:tcBorders>
              <w:top w:val="single" w:color="auto" w:sz="4" w:space="0"/>
              <w:left w:val="nil"/>
              <w:bottom w:val="single" w:color="auto" w:sz="4" w:space="0"/>
              <w:right w:val="single" w:color="auto" w:sz="4" w:space="0"/>
            </w:tcBorders>
            <w:noWrap w:val="0"/>
            <w:vAlign w:val="center"/>
          </w:tcPr>
          <w:p w14:paraId="1157DD02">
            <w:pPr>
              <w:tabs>
                <w:tab w:val="left" w:pos="480"/>
              </w:tabs>
              <w:spacing w:line="360" w:lineRule="auto"/>
              <w:jc w:val="center"/>
              <w:rPr>
                <w:rFonts w:hint="eastAsia" w:ascii="宋体" w:hAnsi="宋体" w:cs="宋体"/>
                <w:color w:val="000000" w:themeColor="text1"/>
                <w:sz w:val="24"/>
                <w:szCs w:val="24"/>
                <w:highlight w:val="none"/>
                <w14:textFill>
                  <w14:solidFill>
                    <w14:schemeClr w14:val="tx1"/>
                  </w14:solidFill>
                </w14:textFill>
              </w:rPr>
            </w:pPr>
          </w:p>
        </w:tc>
      </w:tr>
    </w:tbl>
    <w:p w14:paraId="7838414E">
      <w:pPr>
        <w:tabs>
          <w:tab w:val="left" w:pos="480"/>
        </w:tabs>
        <w:spacing w:line="360" w:lineRule="auto"/>
        <w:ind w:firstLine="472" w:firstLineChars="196"/>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pPr>
      <w:r>
        <w:rPr>
          <w:rFonts w:hint="eastAsia" w:ascii="宋体" w:hAnsi="宋体" w:cs="宋体"/>
          <w:b/>
          <w:bCs w:val="0"/>
          <w:color w:val="000000" w:themeColor="text1"/>
          <w:sz w:val="24"/>
          <w:szCs w:val="24"/>
          <w:highlight w:val="none"/>
          <w:u w:val="none"/>
          <w:lang w:eastAsia="zh-CN"/>
          <w14:textFill>
            <w14:solidFill>
              <w14:schemeClr w14:val="tx1"/>
            </w14:solidFill>
          </w14:textFill>
        </w:rPr>
        <w:t>注：如合同标的物中有进口货物，则需在签到本供货协议同时，</w:t>
      </w:r>
      <w:r>
        <w:rPr>
          <w:rFonts w:hint="eastAsia" w:ascii="宋体" w:hAnsi="宋体" w:eastAsia="宋体" w:cs="宋体"/>
          <w:b/>
          <w:bCs w:val="0"/>
          <w:color w:val="000000" w:themeColor="text1"/>
          <w:sz w:val="24"/>
          <w:szCs w:val="24"/>
          <w:highlight w:val="none"/>
          <w:u w:val="none"/>
          <w:lang w:eastAsia="zh-CN"/>
          <w14:textFill>
            <w14:solidFill>
              <w14:schemeClr w14:val="tx1"/>
            </w14:solidFill>
          </w14:textFill>
        </w:rPr>
        <w:t>甲方、乙方和进口外贸公司的丙方签订</w:t>
      </w:r>
      <w:r>
        <w:rPr>
          <w:rFonts w:hint="eastAsia" w:ascii="宋体" w:hAnsi="宋体" w:eastAsia="宋体" w:cs="宋体"/>
          <w:b/>
          <w:bCs w:val="0"/>
          <w:color w:val="000000" w:themeColor="text1"/>
          <w:sz w:val="24"/>
          <w:szCs w:val="24"/>
          <w:highlight w:val="none"/>
          <w:u w:val="none"/>
          <w:lang w:val="en-US" w:eastAsia="zh-CN"/>
          <w14:textFill>
            <w14:solidFill>
              <w14:schemeClr w14:val="tx1"/>
            </w14:solidFill>
          </w14:textFill>
        </w:rPr>
        <w:t>代理</w:t>
      </w:r>
      <w:r>
        <w:rPr>
          <w:rFonts w:hint="eastAsia" w:ascii="宋体" w:hAnsi="宋体" w:eastAsia="宋体" w:cs="宋体"/>
          <w:b/>
          <w:bCs w:val="0"/>
          <w:color w:val="000000" w:themeColor="text1"/>
          <w:sz w:val="24"/>
          <w:szCs w:val="24"/>
          <w:highlight w:val="none"/>
          <w:u w:val="single"/>
          <w:lang w:val="en-US" w:eastAsia="zh-CN"/>
          <w14:textFill>
            <w14:solidFill>
              <w14:schemeClr w14:val="tx1"/>
            </w14:solidFill>
          </w14:textFill>
        </w:rPr>
        <w:t>进口商品协议书</w:t>
      </w:r>
      <w:r>
        <w:rPr>
          <w:rFonts w:hint="eastAsia" w:ascii="宋体" w:hAnsi="宋体" w:eastAsia="宋体" w:cs="宋体"/>
          <w:b/>
          <w:bCs w:val="0"/>
          <w:color w:val="000000" w:themeColor="text1"/>
          <w:sz w:val="24"/>
          <w:szCs w:val="24"/>
          <w:highlight w:val="none"/>
          <w:u w:val="none"/>
          <w:lang w:val="en-US" w:eastAsia="zh-CN"/>
          <w14:textFill>
            <w14:solidFill>
              <w14:schemeClr w14:val="tx1"/>
            </w14:solidFill>
          </w14:textFill>
        </w:rPr>
        <w:t>，甲方和进口外贸公司的丙方签订</w:t>
      </w:r>
      <w:r>
        <w:rPr>
          <w:rFonts w:hint="eastAsia" w:ascii="宋体" w:hAnsi="宋体" w:eastAsia="宋体" w:cs="宋体"/>
          <w:b/>
          <w:bCs w:val="0"/>
          <w:color w:val="000000" w:themeColor="text1"/>
          <w:sz w:val="24"/>
          <w:szCs w:val="24"/>
          <w:highlight w:val="none"/>
          <w:u w:val="single"/>
          <w:lang w:val="en-US" w:eastAsia="zh-CN"/>
          <w14:textFill>
            <w14:solidFill>
              <w14:schemeClr w14:val="tx1"/>
            </w14:solidFill>
          </w14:textFill>
        </w:rPr>
        <w:t>委托协议</w:t>
      </w:r>
      <w:r>
        <w:rPr>
          <w:rFonts w:hint="eastAsia" w:ascii="宋体" w:hAnsi="宋体" w:eastAsia="宋体" w:cs="宋体"/>
          <w:b/>
          <w:bCs w:val="0"/>
          <w:color w:val="000000" w:themeColor="text1"/>
          <w:sz w:val="24"/>
          <w:szCs w:val="24"/>
          <w:highlight w:val="none"/>
          <w:u w:val="none"/>
          <w:lang w:val="en-US" w:eastAsia="zh-CN"/>
          <w14:textFill>
            <w14:solidFill>
              <w14:schemeClr w14:val="tx1"/>
            </w14:solidFill>
          </w14:textFill>
        </w:rPr>
        <w:t>。</w:t>
      </w:r>
    </w:p>
    <w:p w14:paraId="0394453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72" w:firstLineChars="196"/>
        <w:textAlignment w:val="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二、合同价款</w:t>
      </w:r>
    </w:p>
    <w:p w14:paraId="11A6CE8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（一）合同总价款为人民币（大写）     元整（¥       元），其中国产货物价款为人民币（大写）       元整（¥       元），进口货物价款为人民币（大写）        元整（¥       元）。</w:t>
      </w:r>
    </w:p>
    <w:p w14:paraId="2281A43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（二）合同总价包括：完成本次采购货物（设备本体及附件、备品备件及专用工具）的供货、安装（包含所需的配件及辅材等）、调试、验收、试运行、售后服务及税金等一切费用。</w:t>
      </w:r>
    </w:p>
    <w:p w14:paraId="6E53914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70" w:firstLineChars="196"/>
        <w:textAlignment w:val="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（三）合同总价一次性包死，不受市场价格变化因素的影响。</w:t>
      </w:r>
    </w:p>
    <w:p w14:paraId="6FD5C6A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72" w:firstLineChars="196"/>
        <w:textAlignment w:val="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三、款项结算</w:t>
      </w:r>
    </w:p>
    <w:p w14:paraId="28583DC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lang w:eastAsia="zh-CN"/>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（一）本项目在合同签订前5日内，乙方按照要求向甲方缴纳</w:t>
      </w:r>
      <w:r>
        <w:rPr>
          <w:rFonts w:hint="eastAsia" w:ascii="宋体" w:hAnsi="宋体" w:cs="宋体"/>
          <w:color w:val="000000" w:themeColor="text1"/>
          <w:sz w:val="24"/>
          <w:szCs w:val="24"/>
          <w:highlight w:val="none"/>
          <w14:textFill>
            <w14:solidFill>
              <w14:schemeClr w14:val="tx1"/>
            </w14:solidFill>
          </w14:textFill>
        </w:rPr>
        <w:t>合同总价款</w:t>
      </w:r>
      <w:r>
        <w:rPr>
          <w:rFonts w:hint="eastAsia" w:ascii="宋体" w:hAnsi="宋体" w:cs="宋体"/>
          <w:bCs/>
          <w:color w:val="000000" w:themeColor="text1"/>
          <w:sz w:val="24"/>
          <w:szCs w:val="24"/>
          <w:highlight w:val="none"/>
          <w14:textFill>
            <w14:solidFill>
              <w14:schemeClr w14:val="tx1"/>
            </w14:solidFill>
          </w14:textFill>
        </w:rPr>
        <w:t>的5%</w:t>
      </w:r>
      <w:r>
        <w:rPr>
          <w:rFonts w:hint="eastAsia" w:ascii="宋体" w:hAnsi="宋体" w:cs="宋体"/>
          <w:bCs/>
          <w:color w:val="000000" w:themeColor="text1"/>
          <w:sz w:val="24"/>
          <w:szCs w:val="24"/>
          <w:highlight w:val="none"/>
          <w:lang w:eastAsia="zh-CN"/>
          <w14:textFill>
            <w14:solidFill>
              <w14:schemeClr w14:val="tx1"/>
            </w14:solidFill>
          </w14:textFill>
        </w:rPr>
        <w:t>作为</w:t>
      </w:r>
      <w:r>
        <w:rPr>
          <w:rFonts w:hint="eastAsia" w:ascii="宋体" w:hAnsi="宋体" w:cs="宋体"/>
          <w:bCs/>
          <w:color w:val="000000" w:themeColor="text1"/>
          <w:sz w:val="24"/>
          <w:szCs w:val="24"/>
          <w:highlight w:val="none"/>
          <w14:textFill>
            <w14:solidFill>
              <w14:schemeClr w14:val="tx1"/>
            </w14:solidFill>
          </w14:textFill>
        </w:rPr>
        <w:t>履约保证金</w:t>
      </w:r>
      <w:r>
        <w:rPr>
          <w:rFonts w:hint="eastAsia" w:ascii="宋体" w:hAnsi="宋体" w:cs="宋体"/>
          <w:bCs/>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人民币（大写）         元整（¥          元）</w:t>
      </w:r>
      <w:r>
        <w:rPr>
          <w:rFonts w:hint="eastAsia" w:ascii="宋体" w:hAnsi="宋体" w:cs="宋体"/>
          <w:bCs/>
          <w:color w:val="000000" w:themeColor="text1"/>
          <w:sz w:val="24"/>
          <w:szCs w:val="24"/>
          <w:highlight w:val="none"/>
          <w:lang w:eastAsia="zh-CN"/>
          <w14:textFill>
            <w14:solidFill>
              <w14:schemeClr w14:val="tx1"/>
            </w14:solidFill>
          </w14:textFill>
        </w:rPr>
        <w:t>。</w:t>
      </w:r>
    </w:p>
    <w:p w14:paraId="4BF42720">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（二）</w:t>
      </w:r>
      <w:r>
        <w:rPr>
          <w:rFonts w:hint="eastAsia" w:ascii="宋体" w:hAnsi="宋体" w:cs="宋体"/>
          <w:bCs/>
          <w:color w:val="000000" w:themeColor="text1"/>
          <w:sz w:val="24"/>
          <w:szCs w:val="24"/>
          <w:highlight w:val="none"/>
          <w:lang w:val="en-US" w:eastAsia="zh-CN"/>
          <w14:textFill>
            <w14:solidFill>
              <w14:schemeClr w14:val="tx1"/>
            </w14:solidFill>
          </w14:textFill>
        </w:rPr>
        <w:t>A、如所供货物均为国产货物，则在</w:t>
      </w:r>
      <w:r>
        <w:rPr>
          <w:rFonts w:hint="eastAsia" w:ascii="宋体" w:hAnsi="宋体" w:cs="宋体"/>
          <w:bCs/>
          <w:color w:val="000000" w:themeColor="text1"/>
          <w:sz w:val="24"/>
          <w:szCs w:val="24"/>
          <w:highlight w:val="none"/>
          <w14:textFill>
            <w14:solidFill>
              <w14:schemeClr w14:val="tx1"/>
            </w14:solidFill>
          </w14:textFill>
        </w:rPr>
        <w:t>所有货物到达甲方指定地点，安装、调试完毕</w:t>
      </w:r>
      <w:r>
        <w:rPr>
          <w:rFonts w:hint="eastAsia" w:ascii="宋体" w:hAnsi="宋体" w:cs="宋体"/>
          <w:bCs/>
          <w:color w:val="000000" w:themeColor="text1"/>
          <w:sz w:val="24"/>
          <w:szCs w:val="24"/>
          <w:highlight w:val="none"/>
          <w:lang w:eastAsia="zh-CN"/>
          <w14:textFill>
            <w14:solidFill>
              <w14:schemeClr w14:val="tx1"/>
            </w14:solidFill>
          </w14:textFill>
        </w:rPr>
        <w:t>，</w:t>
      </w:r>
      <w:r>
        <w:rPr>
          <w:rFonts w:hint="eastAsia" w:ascii="宋体" w:hAnsi="宋体" w:cs="宋体"/>
          <w:bCs/>
          <w:color w:val="000000" w:themeColor="text1"/>
          <w:sz w:val="24"/>
          <w:szCs w:val="24"/>
          <w:highlight w:val="none"/>
          <w14:textFill>
            <w14:solidFill>
              <w14:schemeClr w14:val="tx1"/>
            </w14:solidFill>
          </w14:textFill>
        </w:rPr>
        <w:t>初步调试验收合格后三十个工作日内甲方凭乙方开具</w:t>
      </w:r>
      <w:r>
        <w:rPr>
          <w:rFonts w:hint="eastAsia" w:ascii="宋体" w:hAnsi="宋体" w:cs="宋体"/>
          <w:bCs/>
          <w:color w:val="000000" w:themeColor="text1"/>
          <w:sz w:val="24"/>
          <w:szCs w:val="24"/>
          <w:highlight w:val="none"/>
          <w:lang w:eastAsia="zh-CN"/>
          <w14:textFill>
            <w14:solidFill>
              <w14:schemeClr w14:val="tx1"/>
            </w14:solidFill>
          </w14:textFill>
        </w:rPr>
        <w:t>的</w:t>
      </w:r>
      <w:r>
        <w:rPr>
          <w:rFonts w:hint="eastAsia" w:ascii="宋体" w:hAnsi="宋体" w:cs="宋体"/>
          <w:color w:val="000000" w:themeColor="text1"/>
          <w:sz w:val="24"/>
          <w:szCs w:val="24"/>
          <w:highlight w:val="none"/>
          <w14:textFill>
            <w14:solidFill>
              <w14:schemeClr w14:val="tx1"/>
            </w14:solidFill>
          </w14:textFill>
        </w:rPr>
        <w:t>合同总价款</w:t>
      </w:r>
      <w:r>
        <w:rPr>
          <w:rFonts w:hint="eastAsia" w:ascii="宋体" w:hAnsi="宋体" w:cs="宋体"/>
          <w:bCs/>
          <w:color w:val="000000" w:themeColor="text1"/>
          <w:sz w:val="24"/>
          <w:szCs w:val="24"/>
          <w:highlight w:val="none"/>
          <w:lang w:eastAsia="zh-CN"/>
          <w14:textFill>
            <w14:solidFill>
              <w14:schemeClr w14:val="tx1"/>
            </w14:solidFill>
          </w14:textFill>
        </w:rPr>
        <w:t>全额</w:t>
      </w:r>
      <w:r>
        <w:rPr>
          <w:rFonts w:hint="eastAsia" w:ascii="宋体" w:hAnsi="宋体" w:cs="宋体"/>
          <w:bCs/>
          <w:color w:val="000000" w:themeColor="text1"/>
          <w:sz w:val="24"/>
          <w:szCs w:val="24"/>
          <w:highlight w:val="none"/>
          <w14:textFill>
            <w14:solidFill>
              <w14:schemeClr w14:val="tx1"/>
            </w14:solidFill>
          </w14:textFill>
        </w:rPr>
        <w:t>发票向乙方支付</w:t>
      </w:r>
      <w:r>
        <w:rPr>
          <w:rFonts w:hint="eastAsia" w:ascii="宋体" w:hAnsi="宋体" w:cs="宋体"/>
          <w:color w:val="000000" w:themeColor="text1"/>
          <w:sz w:val="24"/>
          <w:szCs w:val="24"/>
          <w:highlight w:val="none"/>
          <w14:textFill>
            <w14:solidFill>
              <w14:schemeClr w14:val="tx1"/>
            </w14:solidFill>
          </w14:textFill>
        </w:rPr>
        <w:t>合同总价款</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szCs w:val="24"/>
          <w:highlight w:val="none"/>
          <w:lang w:eastAsia="zh-CN"/>
          <w14:textFill>
            <w14:solidFill>
              <w14:schemeClr w14:val="tx1"/>
            </w14:solidFill>
          </w14:textFill>
        </w:rPr>
        <w:t>的</w:t>
      </w:r>
      <w:r>
        <w:rPr>
          <w:rFonts w:hint="eastAsia" w:ascii="宋体" w:hAnsi="宋体" w:cs="宋体"/>
          <w:bCs/>
          <w:color w:val="000000" w:themeColor="text1"/>
          <w:sz w:val="24"/>
          <w:szCs w:val="24"/>
          <w:highlight w:val="none"/>
          <w:lang w:val="en-US" w:eastAsia="zh-CN"/>
          <w14:textFill>
            <w14:solidFill>
              <w14:schemeClr w14:val="tx1"/>
            </w14:solidFill>
          </w14:textFill>
        </w:rPr>
        <w:t xml:space="preserve">款项 </w:t>
      </w:r>
      <w:r>
        <w:rPr>
          <w:rFonts w:hint="eastAsia" w:ascii="宋体" w:hAnsi="宋体" w:cs="宋体"/>
          <w:color w:val="000000" w:themeColor="text1"/>
          <w:sz w:val="24"/>
          <w:szCs w:val="24"/>
          <w:highlight w:val="none"/>
          <w14:textFill>
            <w14:solidFill>
              <w14:schemeClr w14:val="tx1"/>
            </w14:solidFill>
          </w14:textFill>
        </w:rPr>
        <w:t>人民币（大写）        元整（¥        元）</w:t>
      </w:r>
      <w:r>
        <w:rPr>
          <w:rFonts w:hint="eastAsia" w:ascii="宋体" w:hAnsi="宋体" w:cs="宋体"/>
          <w:bCs/>
          <w:color w:val="000000" w:themeColor="text1"/>
          <w:sz w:val="24"/>
          <w:szCs w:val="24"/>
          <w:highlight w:val="none"/>
          <w:lang w:eastAsia="zh-CN"/>
          <w14:textFill>
            <w14:solidFill>
              <w14:schemeClr w14:val="tx1"/>
            </w14:solidFill>
          </w14:textFill>
        </w:rPr>
        <w:t>和退还</w:t>
      </w:r>
      <w:r>
        <w:rPr>
          <w:rFonts w:hint="eastAsia" w:ascii="宋体" w:hAnsi="宋体" w:cs="宋体"/>
          <w:color w:val="000000" w:themeColor="text1"/>
          <w:sz w:val="24"/>
          <w:szCs w:val="24"/>
          <w:highlight w:val="none"/>
          <w14:textFill>
            <w14:solidFill>
              <w14:schemeClr w14:val="tx1"/>
            </w14:solidFill>
          </w14:textFill>
        </w:rPr>
        <w:t>合同总价款</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bCs/>
          <w:color w:val="000000" w:themeColor="text1"/>
          <w:sz w:val="24"/>
          <w:szCs w:val="24"/>
          <w:highlight w:val="none"/>
          <w:lang w:val="en-US" w:eastAsia="zh-CN"/>
          <w14:textFill>
            <w14:solidFill>
              <w14:schemeClr w14:val="tx1"/>
            </w14:solidFill>
          </w14:textFill>
        </w:rPr>
        <w:t xml:space="preserve">%的履约保证金 </w:t>
      </w:r>
      <w:r>
        <w:rPr>
          <w:rFonts w:hint="eastAsia" w:ascii="宋体" w:hAnsi="宋体" w:cs="宋体"/>
          <w:color w:val="000000" w:themeColor="text1"/>
          <w:sz w:val="24"/>
          <w:szCs w:val="24"/>
          <w:highlight w:val="none"/>
          <w14:textFill>
            <w14:solidFill>
              <w14:schemeClr w14:val="tx1"/>
            </w14:solidFill>
          </w14:textFill>
        </w:rPr>
        <w:t>人民币（大写）       元整（¥        元）</w:t>
      </w:r>
      <w:r>
        <w:rPr>
          <w:rFonts w:hint="eastAsia" w:ascii="宋体" w:hAnsi="宋体" w:cs="宋体"/>
          <w:bCs/>
          <w:color w:val="000000" w:themeColor="text1"/>
          <w:sz w:val="24"/>
          <w:szCs w:val="24"/>
          <w:highlight w:val="none"/>
          <w:lang w:eastAsia="zh-CN"/>
          <w14:textFill>
            <w14:solidFill>
              <w14:schemeClr w14:val="tx1"/>
            </w14:solidFill>
          </w14:textFill>
        </w:rPr>
        <w:t>。</w:t>
      </w:r>
      <w:r>
        <w:rPr>
          <w:rFonts w:hint="eastAsia" w:ascii="宋体" w:hAnsi="宋体" w:cs="宋体"/>
          <w:bCs/>
          <w:color w:val="000000" w:themeColor="text1"/>
          <w:sz w:val="24"/>
          <w:szCs w:val="24"/>
          <w:highlight w:val="none"/>
          <w14:textFill>
            <w14:solidFill>
              <w14:schemeClr w14:val="tx1"/>
            </w14:solidFill>
          </w14:textFill>
        </w:rPr>
        <w:t>待一年后项目终验合格后十个工作日内甲方凭乙方开具的</w:t>
      </w:r>
      <w:r>
        <w:rPr>
          <w:rFonts w:hint="eastAsia" w:ascii="宋体" w:hAnsi="宋体" w:cs="宋体"/>
          <w:color w:val="000000" w:themeColor="text1"/>
          <w:sz w:val="24"/>
          <w:szCs w:val="24"/>
          <w:highlight w:val="none"/>
          <w14:textFill>
            <w14:solidFill>
              <w14:schemeClr w14:val="tx1"/>
            </w14:solidFill>
          </w14:textFill>
        </w:rPr>
        <w:t>合同总价款</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bCs/>
          <w:color w:val="000000" w:themeColor="text1"/>
          <w:sz w:val="24"/>
          <w:szCs w:val="24"/>
          <w:highlight w:val="none"/>
          <w:lang w:val="en-US" w:eastAsia="zh-CN"/>
          <w14:textFill>
            <w14:solidFill>
              <w14:schemeClr w14:val="tx1"/>
            </w14:solidFill>
          </w14:textFill>
        </w:rPr>
        <w:t>%的收据，向乙方</w:t>
      </w:r>
      <w:r>
        <w:rPr>
          <w:rFonts w:hint="eastAsia" w:ascii="宋体" w:hAnsi="宋体" w:cs="宋体"/>
          <w:bCs/>
          <w:color w:val="000000" w:themeColor="text1"/>
          <w:sz w:val="24"/>
          <w:szCs w:val="24"/>
          <w:highlight w:val="none"/>
          <w:lang w:eastAsia="zh-CN"/>
          <w14:textFill>
            <w14:solidFill>
              <w14:schemeClr w14:val="tx1"/>
            </w14:solidFill>
          </w14:textFill>
        </w:rPr>
        <w:t>支付剩余的</w:t>
      </w:r>
      <w:r>
        <w:rPr>
          <w:rFonts w:hint="eastAsia" w:ascii="宋体" w:hAnsi="宋体" w:cs="宋体"/>
          <w:color w:val="000000" w:themeColor="text1"/>
          <w:sz w:val="24"/>
          <w:szCs w:val="24"/>
          <w:highlight w:val="none"/>
          <w14:textFill>
            <w14:solidFill>
              <w14:schemeClr w14:val="tx1"/>
            </w14:solidFill>
          </w14:textFill>
        </w:rPr>
        <w:t>合同总价款</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szCs w:val="24"/>
          <w:highlight w:val="none"/>
          <w:lang w:eastAsia="zh-CN"/>
          <w14:textFill>
            <w14:solidFill>
              <w14:schemeClr w14:val="tx1"/>
            </w14:solidFill>
          </w14:textFill>
        </w:rPr>
        <w:t>的款项</w:t>
      </w:r>
      <w:r>
        <w:rPr>
          <w:rFonts w:hint="eastAsia" w:ascii="宋体" w:hAnsi="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人民币（大写）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元整（¥       元）</w:t>
      </w:r>
      <w:r>
        <w:rPr>
          <w:rFonts w:hint="eastAsia" w:ascii="宋体" w:hAnsi="宋体" w:cs="宋体"/>
          <w:bCs/>
          <w:color w:val="000000" w:themeColor="text1"/>
          <w:sz w:val="24"/>
          <w:szCs w:val="24"/>
          <w:highlight w:val="none"/>
          <w14:textFill>
            <w14:solidFill>
              <w14:schemeClr w14:val="tx1"/>
            </w14:solidFill>
          </w14:textFill>
        </w:rPr>
        <w:t>。如遇甲方寒暑假或国家法定假日，则付款时间顺延。</w:t>
      </w:r>
    </w:p>
    <w:p w14:paraId="626A816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B、如所供货物为国产+进口货物，且乙方无外贸代理资质，则国产</w:t>
      </w:r>
      <w:r>
        <w:rPr>
          <w:rFonts w:hint="eastAsia" w:ascii="宋体" w:hAnsi="宋体" w:eastAsia="宋体" w:cs="宋体"/>
          <w:bCs/>
          <w:color w:val="000000" w:themeColor="text1"/>
          <w:sz w:val="24"/>
          <w:szCs w:val="24"/>
          <w:highlight w:val="none"/>
          <w14:textFill>
            <w14:solidFill>
              <w14:schemeClr w14:val="tx1"/>
            </w14:solidFill>
          </w14:textFill>
        </w:rPr>
        <w:t>货物到达甲方指定地点，安装、调试完毕</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初步调试验收合格后三十个工作日内甲方凭乙方开具</w:t>
      </w:r>
      <w:r>
        <w:rPr>
          <w:rFonts w:hint="eastAsia" w:ascii="宋体" w:hAnsi="宋体" w:eastAsia="宋体" w:cs="宋体"/>
          <w:bCs/>
          <w:color w:val="000000" w:themeColor="text1"/>
          <w:sz w:val="24"/>
          <w:szCs w:val="24"/>
          <w:highlight w:val="none"/>
          <w:lang w:eastAsia="zh-CN"/>
          <w14:textFill>
            <w14:solidFill>
              <w14:schemeClr w14:val="tx1"/>
            </w14:solidFill>
          </w14:textFill>
        </w:rPr>
        <w:t>的</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所供国产货物</w:t>
      </w:r>
      <w:r>
        <w:rPr>
          <w:rFonts w:hint="eastAsia" w:ascii="宋体" w:hAnsi="宋体" w:eastAsia="宋体" w:cs="宋体"/>
          <w:bCs/>
          <w:color w:val="000000" w:themeColor="text1"/>
          <w:sz w:val="24"/>
          <w:szCs w:val="24"/>
          <w:highlight w:val="none"/>
          <w:u w:val="single"/>
          <w14:textFill>
            <w14:solidFill>
              <w14:schemeClr w14:val="tx1"/>
            </w14:solidFill>
          </w14:textFill>
        </w:rPr>
        <w:t>总价款</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全额</w:t>
      </w:r>
      <w:r>
        <w:rPr>
          <w:rFonts w:hint="eastAsia" w:ascii="宋体" w:hAnsi="宋体" w:eastAsia="宋体" w:cs="宋体"/>
          <w:bCs/>
          <w:color w:val="000000" w:themeColor="text1"/>
          <w:sz w:val="24"/>
          <w:szCs w:val="24"/>
          <w:highlight w:val="none"/>
          <w:u w:val="single"/>
          <w14:textFill>
            <w14:solidFill>
              <w14:schemeClr w14:val="tx1"/>
            </w14:solidFill>
          </w14:textFill>
        </w:rPr>
        <w:t>发票向乙方支付</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bCs w:val="0"/>
          <w:color w:val="000000" w:themeColor="text1"/>
          <w:sz w:val="24"/>
          <w:szCs w:val="24"/>
          <w:highlight w:val="none"/>
          <w:u w:val="single"/>
          <w:lang w:eastAsia="zh-CN"/>
          <w14:textFill>
            <w14:solidFill>
              <w14:schemeClr w14:val="tx1"/>
            </w14:solidFill>
          </w14:textFill>
        </w:rPr>
        <w:t>所供国产货物</w:t>
      </w:r>
      <w:r>
        <w:rPr>
          <w:rFonts w:hint="eastAsia" w:ascii="宋体" w:hAnsi="宋体" w:eastAsia="宋体" w:cs="宋体"/>
          <w:b/>
          <w:bCs w:val="0"/>
          <w:color w:val="000000" w:themeColor="text1"/>
          <w:sz w:val="24"/>
          <w:szCs w:val="24"/>
          <w:highlight w:val="none"/>
          <w:u w:val="single"/>
          <w14:textFill>
            <w14:solidFill>
              <w14:schemeClr w14:val="tx1"/>
            </w14:solidFill>
          </w14:textFill>
        </w:rPr>
        <w:t>总价款</w:t>
      </w:r>
      <w:r>
        <w:rPr>
          <w:rFonts w:hint="eastAsia" w:ascii="宋体" w:hAnsi="宋体" w:eastAsia="宋体" w:cs="宋体"/>
          <w:b/>
          <w:bCs w:val="0"/>
          <w:color w:val="000000" w:themeColor="text1"/>
          <w:sz w:val="24"/>
          <w:szCs w:val="24"/>
          <w:highlight w:val="none"/>
          <w:u w:val="single"/>
          <w:lang w:val="en-US" w:eastAsia="zh-CN"/>
          <w14:textFill>
            <w14:solidFill>
              <w14:schemeClr w14:val="tx1"/>
            </w14:solidFill>
          </w14:textFill>
        </w:rPr>
        <w:t>-</w:t>
      </w:r>
      <w:r>
        <w:rPr>
          <w:rFonts w:hint="eastAsia" w:ascii="宋体" w:hAnsi="宋体" w:eastAsia="宋体" w:cs="宋体"/>
          <w:b/>
          <w:bCs w:val="0"/>
          <w:color w:val="000000" w:themeColor="text1"/>
          <w:sz w:val="24"/>
          <w:szCs w:val="24"/>
          <w:highlight w:val="none"/>
          <w:u w:val="single"/>
          <w14:textFill>
            <w14:solidFill>
              <w14:schemeClr w14:val="tx1"/>
            </w14:solidFill>
          </w14:textFill>
        </w:rPr>
        <w:t>合同总价款</w:t>
      </w:r>
      <w:r>
        <w:rPr>
          <w:rFonts w:hint="eastAsia" w:ascii="宋体" w:hAnsi="宋体" w:cs="宋体"/>
          <w:b/>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的款项</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人民币（大写）        元整（¥        元）</w:t>
      </w:r>
      <w:r>
        <w:rPr>
          <w:rFonts w:hint="eastAsia" w:ascii="宋体" w:hAnsi="宋体" w:eastAsia="宋体" w:cs="宋体"/>
          <w:bCs/>
          <w:color w:val="000000" w:themeColor="text1"/>
          <w:sz w:val="24"/>
          <w:szCs w:val="24"/>
          <w:highlight w:val="none"/>
          <w:lang w:eastAsia="zh-CN"/>
          <w14:textFill>
            <w14:solidFill>
              <w14:schemeClr w14:val="tx1"/>
            </w14:solidFill>
          </w14:textFill>
        </w:rPr>
        <w:t>并退还</w:t>
      </w:r>
      <w:r>
        <w:rPr>
          <w:rFonts w:hint="eastAsia" w:ascii="宋体" w:hAnsi="宋体" w:cs="宋体"/>
          <w:color w:val="000000" w:themeColor="text1"/>
          <w:sz w:val="24"/>
          <w:szCs w:val="24"/>
          <w:highlight w:val="none"/>
          <w14:textFill>
            <w14:solidFill>
              <w14:schemeClr w14:val="tx1"/>
            </w14:solidFill>
          </w14:textFill>
        </w:rPr>
        <w:t>合同总价款</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%的履约保证金 </w:t>
      </w:r>
      <w:r>
        <w:rPr>
          <w:rFonts w:hint="eastAsia" w:ascii="宋体" w:hAnsi="宋体" w:eastAsia="宋体" w:cs="宋体"/>
          <w:bCs/>
          <w:color w:val="000000" w:themeColor="text1"/>
          <w:sz w:val="24"/>
          <w:szCs w:val="24"/>
          <w:highlight w:val="none"/>
          <w14:textFill>
            <w14:solidFill>
              <w14:schemeClr w14:val="tx1"/>
            </w14:solidFill>
          </w14:textFill>
        </w:rPr>
        <w:t>人民币（大写）       元整（¥        元）</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待一年后项目终验合格后十个工作日内甲方凭乙方开具的合同总价款</w:t>
      </w:r>
      <w:r>
        <w:rPr>
          <w:rFonts w:hint="eastAsia" w:ascii="宋体" w:hAnsi="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%的收据，向乙方</w:t>
      </w:r>
      <w:r>
        <w:rPr>
          <w:rFonts w:hint="eastAsia" w:ascii="宋体" w:hAnsi="宋体" w:eastAsia="宋体" w:cs="宋体"/>
          <w:bCs/>
          <w:color w:val="000000" w:themeColor="text1"/>
          <w:sz w:val="24"/>
          <w:szCs w:val="24"/>
          <w:highlight w:val="none"/>
          <w:lang w:eastAsia="zh-CN"/>
          <w14:textFill>
            <w14:solidFill>
              <w14:schemeClr w14:val="tx1"/>
            </w14:solidFill>
          </w14:textFill>
        </w:rPr>
        <w:t>支付剩余的</w:t>
      </w:r>
      <w:r>
        <w:rPr>
          <w:rFonts w:hint="eastAsia" w:ascii="宋体" w:hAnsi="宋体" w:cs="宋体"/>
          <w:color w:val="000000" w:themeColor="text1"/>
          <w:sz w:val="24"/>
          <w:szCs w:val="24"/>
          <w:highlight w:val="none"/>
          <w14:textFill>
            <w14:solidFill>
              <w14:schemeClr w14:val="tx1"/>
            </w14:solidFill>
          </w14:textFill>
        </w:rPr>
        <w:t>合同总价款</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bCs/>
          <w:color w:val="000000" w:themeColor="text1"/>
          <w:sz w:val="24"/>
          <w:szCs w:val="24"/>
          <w:highlight w:val="none"/>
          <w:lang w:eastAsia="zh-CN"/>
          <w14:textFill>
            <w14:solidFill>
              <w14:schemeClr w14:val="tx1"/>
            </w14:solidFill>
          </w14:textFill>
        </w:rPr>
        <w:t>的款项</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人民币（大写）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元整（¥       元）。如遇甲方寒暑假或国家法定假日，则付款时间顺延。</w:t>
      </w:r>
      <w:r>
        <w:rPr>
          <w:rFonts w:hint="eastAsia" w:ascii="宋体" w:hAnsi="宋体" w:eastAsia="宋体" w:cs="宋体"/>
          <w:bCs/>
          <w:color w:val="000000" w:themeColor="text1"/>
          <w:sz w:val="24"/>
          <w:szCs w:val="24"/>
          <w:highlight w:val="none"/>
          <w:lang w:eastAsia="zh-CN"/>
          <w14:textFill>
            <w14:solidFill>
              <w14:schemeClr w14:val="tx1"/>
            </w14:solidFill>
          </w14:textFill>
        </w:rPr>
        <w:t>进口货物</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则在</w:t>
      </w:r>
      <w:r>
        <w:rPr>
          <w:rFonts w:hint="eastAsia" w:ascii="宋体" w:hAnsi="宋体" w:eastAsia="宋体" w:cs="宋体"/>
          <w:bCs/>
          <w:color w:val="000000" w:themeColor="text1"/>
          <w:sz w:val="24"/>
          <w:szCs w:val="24"/>
          <w:highlight w:val="none"/>
          <w14:textFill>
            <w14:solidFill>
              <w14:schemeClr w14:val="tx1"/>
            </w14:solidFill>
          </w14:textFill>
        </w:rPr>
        <w:t>所有货物到达甲方指定地点，安装、调试完毕</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初步调试验收合格后</w:t>
      </w:r>
      <w:r>
        <w:rPr>
          <w:rFonts w:hint="eastAsia" w:ascii="宋体" w:hAnsi="宋体" w:eastAsia="宋体" w:cs="宋体"/>
          <w:bCs/>
          <w:color w:val="000000" w:themeColor="text1"/>
          <w:sz w:val="24"/>
          <w:szCs w:val="24"/>
          <w:highlight w:val="none"/>
          <w:lang w:eastAsia="zh-CN"/>
          <w14:textFill>
            <w14:solidFill>
              <w14:schemeClr w14:val="tx1"/>
            </w14:solidFill>
          </w14:textFill>
        </w:rPr>
        <w:t>，按照</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甲方、乙方和进口外贸公司丙方签订的</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代理进口商品协议书</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相关内容执行。</w:t>
      </w:r>
    </w:p>
    <w:p w14:paraId="0088148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C、如所供货物均为进口货物，且乙方无外贸代理资质，则在</w:t>
      </w:r>
      <w:r>
        <w:rPr>
          <w:rFonts w:hint="eastAsia" w:ascii="宋体" w:hAnsi="宋体" w:eastAsia="宋体" w:cs="宋体"/>
          <w:bCs/>
          <w:color w:val="000000" w:themeColor="text1"/>
          <w:sz w:val="24"/>
          <w:szCs w:val="24"/>
          <w:highlight w:val="none"/>
          <w14:textFill>
            <w14:solidFill>
              <w14:schemeClr w14:val="tx1"/>
            </w14:solidFill>
          </w14:textFill>
        </w:rPr>
        <w:t>所有货物到达甲方指定地点，安装、调试完毕</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初步调试验收合格后</w:t>
      </w:r>
      <w:r>
        <w:rPr>
          <w:rFonts w:hint="eastAsia" w:ascii="宋体" w:hAnsi="宋体" w:eastAsia="宋体" w:cs="宋体"/>
          <w:bCs/>
          <w:color w:val="000000" w:themeColor="text1"/>
          <w:sz w:val="24"/>
          <w:szCs w:val="24"/>
          <w:highlight w:val="none"/>
          <w:lang w:eastAsia="zh-CN"/>
          <w14:textFill>
            <w14:solidFill>
              <w14:schemeClr w14:val="tx1"/>
            </w14:solidFill>
          </w14:textFill>
        </w:rPr>
        <w:t>，按照</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甲方、乙方和进口外贸公司丙方签订的</w:t>
      </w:r>
      <w:r>
        <w:rPr>
          <w:rFonts w:hint="eastAsia" w:ascii="宋体" w:hAnsi="宋体" w:eastAsia="宋体" w:cs="宋体"/>
          <w:bCs/>
          <w:color w:val="000000" w:themeColor="text1"/>
          <w:sz w:val="24"/>
          <w:szCs w:val="24"/>
          <w:highlight w:val="none"/>
          <w:u w:val="single"/>
          <w:lang w:val="en-US" w:eastAsia="zh-CN"/>
          <w14:textFill>
            <w14:solidFill>
              <w14:schemeClr w14:val="tx1"/>
            </w14:solidFill>
          </w14:textFill>
        </w:rPr>
        <w:t>代理进口商品协议书</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相关内容执行。</w:t>
      </w:r>
      <w:r>
        <w:rPr>
          <w:rFonts w:hint="eastAsia" w:ascii="宋体" w:hAnsi="宋体" w:eastAsia="宋体" w:cs="宋体"/>
          <w:bCs/>
          <w:color w:val="000000" w:themeColor="text1"/>
          <w:sz w:val="24"/>
          <w:szCs w:val="24"/>
          <w:highlight w:val="none"/>
          <w14:textFill>
            <w14:solidFill>
              <w14:schemeClr w14:val="tx1"/>
            </w14:solidFill>
          </w14:textFill>
        </w:rPr>
        <w:t>待一年后项目终验合格后十个工作日内甲方凭乙方开具的合同总价款</w:t>
      </w:r>
      <w:r>
        <w:rPr>
          <w:rFonts w:hint="eastAsia" w:ascii="宋体" w:hAnsi="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%的收据，向乙方</w:t>
      </w:r>
      <w:r>
        <w:rPr>
          <w:rFonts w:hint="eastAsia" w:ascii="宋体" w:hAnsi="宋体" w:eastAsia="宋体" w:cs="宋体"/>
          <w:bCs/>
          <w:color w:val="000000" w:themeColor="text1"/>
          <w:sz w:val="24"/>
          <w:szCs w:val="24"/>
          <w:highlight w:val="none"/>
          <w:lang w:eastAsia="zh-CN"/>
          <w14:textFill>
            <w14:solidFill>
              <w14:schemeClr w14:val="tx1"/>
            </w14:solidFill>
          </w14:textFill>
        </w:rPr>
        <w:t>退还</w:t>
      </w:r>
      <w:r>
        <w:rPr>
          <w:rFonts w:hint="eastAsia" w:ascii="宋体" w:hAnsi="宋体" w:cs="宋体"/>
          <w:color w:val="000000" w:themeColor="text1"/>
          <w:sz w:val="24"/>
          <w:szCs w:val="24"/>
          <w:highlight w:val="none"/>
          <w14:textFill>
            <w14:solidFill>
              <w14:schemeClr w14:val="tx1"/>
            </w14:solidFill>
          </w14:textFill>
        </w:rPr>
        <w:t>合同总价款</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bCs/>
          <w:color w:val="000000" w:themeColor="text1"/>
          <w:sz w:val="24"/>
          <w:szCs w:val="24"/>
          <w:highlight w:val="none"/>
          <w:lang w:eastAsia="zh-CN"/>
          <w14:textFill>
            <w14:solidFill>
              <w14:schemeClr w14:val="tx1"/>
            </w14:solidFill>
          </w14:textFill>
        </w:rPr>
        <w:t>的履约保证金</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人民币（大写）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元整（¥       元）。如遇甲方寒暑假或国家法定假日，则付款时间顺延。</w:t>
      </w:r>
    </w:p>
    <w:p w14:paraId="004A1190">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D、如果所供货物含进口货物，但乙方有外贸代理资质，则在</w:t>
      </w:r>
      <w:r>
        <w:rPr>
          <w:rFonts w:hint="eastAsia" w:ascii="宋体" w:hAnsi="宋体" w:eastAsia="宋体" w:cs="宋体"/>
          <w:bCs/>
          <w:color w:val="000000" w:themeColor="text1"/>
          <w:sz w:val="24"/>
          <w:szCs w:val="24"/>
          <w:highlight w:val="none"/>
          <w14:textFill>
            <w14:solidFill>
              <w14:schemeClr w14:val="tx1"/>
            </w14:solidFill>
          </w14:textFill>
        </w:rPr>
        <w:t>所有货物到达甲方指定地点，安装、调试完毕</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初步调试验收合格后三十个工作日内甲方凭乙方开具</w:t>
      </w:r>
      <w:r>
        <w:rPr>
          <w:rFonts w:hint="eastAsia" w:ascii="宋体" w:hAnsi="宋体" w:eastAsia="宋体" w:cs="宋体"/>
          <w:bCs/>
          <w:color w:val="000000" w:themeColor="text1"/>
          <w:sz w:val="24"/>
          <w:szCs w:val="24"/>
          <w:highlight w:val="none"/>
          <w:lang w:eastAsia="zh-CN"/>
          <w14:textFill>
            <w14:solidFill>
              <w14:schemeClr w14:val="tx1"/>
            </w14:solidFill>
          </w14:textFill>
        </w:rPr>
        <w:t>的</w:t>
      </w:r>
      <w:r>
        <w:rPr>
          <w:rFonts w:hint="eastAsia" w:ascii="宋体" w:hAnsi="宋体" w:eastAsia="宋体" w:cs="宋体"/>
          <w:bCs/>
          <w:color w:val="000000" w:themeColor="text1"/>
          <w:sz w:val="24"/>
          <w:szCs w:val="24"/>
          <w:highlight w:val="none"/>
          <w14:textFill>
            <w14:solidFill>
              <w14:schemeClr w14:val="tx1"/>
            </w14:solidFill>
          </w14:textFill>
        </w:rPr>
        <w:t>合同总价款</w:t>
      </w:r>
      <w:r>
        <w:rPr>
          <w:rFonts w:hint="eastAsia" w:ascii="宋体" w:hAnsi="宋体" w:eastAsia="宋体" w:cs="宋体"/>
          <w:bCs/>
          <w:color w:val="000000" w:themeColor="text1"/>
          <w:sz w:val="24"/>
          <w:szCs w:val="24"/>
          <w:highlight w:val="none"/>
          <w:lang w:eastAsia="zh-CN"/>
          <w14:textFill>
            <w14:solidFill>
              <w14:schemeClr w14:val="tx1"/>
            </w14:solidFill>
          </w14:textFill>
        </w:rPr>
        <w:t>全额</w:t>
      </w:r>
      <w:r>
        <w:rPr>
          <w:rFonts w:hint="eastAsia" w:ascii="宋体" w:hAnsi="宋体" w:eastAsia="宋体" w:cs="宋体"/>
          <w:bCs/>
          <w:color w:val="000000" w:themeColor="text1"/>
          <w:sz w:val="24"/>
          <w:szCs w:val="24"/>
          <w:highlight w:val="none"/>
          <w14:textFill>
            <w14:solidFill>
              <w14:schemeClr w14:val="tx1"/>
            </w14:solidFill>
          </w14:textFill>
        </w:rPr>
        <w:t>发票向乙方支付</w:t>
      </w:r>
      <w:r>
        <w:rPr>
          <w:rFonts w:hint="eastAsia" w:ascii="宋体" w:hAnsi="宋体" w:cs="宋体"/>
          <w:color w:val="000000" w:themeColor="text1"/>
          <w:sz w:val="24"/>
          <w:szCs w:val="24"/>
          <w:highlight w:val="none"/>
          <w14:textFill>
            <w14:solidFill>
              <w14:schemeClr w14:val="tx1"/>
            </w14:solidFill>
          </w14:textFill>
        </w:rPr>
        <w:t>合同总价款</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bCs/>
          <w:color w:val="000000" w:themeColor="text1"/>
          <w:sz w:val="24"/>
          <w:szCs w:val="24"/>
          <w:highlight w:val="none"/>
          <w:lang w:eastAsia="zh-CN"/>
          <w14:textFill>
            <w14:solidFill>
              <w14:schemeClr w14:val="tx1"/>
            </w14:solidFill>
          </w14:textFill>
        </w:rPr>
        <w:t>的款项</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人民币（大写）        元整（¥        元）</w:t>
      </w:r>
      <w:r>
        <w:rPr>
          <w:rFonts w:hint="eastAsia" w:ascii="宋体" w:hAnsi="宋体" w:eastAsia="宋体" w:cs="宋体"/>
          <w:bCs/>
          <w:color w:val="000000" w:themeColor="text1"/>
          <w:sz w:val="24"/>
          <w:szCs w:val="24"/>
          <w:highlight w:val="none"/>
          <w:lang w:eastAsia="zh-CN"/>
          <w14:textFill>
            <w14:solidFill>
              <w14:schemeClr w14:val="tx1"/>
            </w14:solidFill>
          </w14:textFill>
        </w:rPr>
        <w:t>和退还</w:t>
      </w:r>
      <w:r>
        <w:rPr>
          <w:rFonts w:hint="eastAsia" w:ascii="宋体" w:hAnsi="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合同总价款</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的履约保证金 </w:t>
      </w:r>
      <w:r>
        <w:rPr>
          <w:rFonts w:hint="eastAsia" w:ascii="宋体" w:hAnsi="宋体" w:eastAsia="宋体" w:cs="宋体"/>
          <w:bCs/>
          <w:color w:val="000000" w:themeColor="text1"/>
          <w:sz w:val="24"/>
          <w:szCs w:val="24"/>
          <w:highlight w:val="none"/>
          <w14:textFill>
            <w14:solidFill>
              <w14:schemeClr w14:val="tx1"/>
            </w14:solidFill>
          </w14:textFill>
        </w:rPr>
        <w:t>人民币（大写）       元整（¥        元）</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待一年后项目终验合格后十个工作日内甲方凭乙方开具的合同总价款</w:t>
      </w:r>
      <w:r>
        <w:rPr>
          <w:rFonts w:hint="eastAsia" w:ascii="宋体" w:hAnsi="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%的收据，向乙方</w:t>
      </w:r>
      <w:r>
        <w:rPr>
          <w:rFonts w:hint="eastAsia" w:ascii="宋体" w:hAnsi="宋体" w:eastAsia="宋体" w:cs="宋体"/>
          <w:bCs/>
          <w:color w:val="000000" w:themeColor="text1"/>
          <w:sz w:val="24"/>
          <w:szCs w:val="24"/>
          <w:highlight w:val="none"/>
          <w:lang w:eastAsia="zh-CN"/>
          <w14:textFill>
            <w14:solidFill>
              <w14:schemeClr w14:val="tx1"/>
            </w14:solidFill>
          </w14:textFill>
        </w:rPr>
        <w:t>支付剩余的</w:t>
      </w:r>
      <w:r>
        <w:rPr>
          <w:rFonts w:hint="eastAsia" w:ascii="宋体" w:hAnsi="宋体" w:cs="宋体"/>
          <w:color w:val="000000" w:themeColor="text1"/>
          <w:sz w:val="24"/>
          <w:szCs w:val="24"/>
          <w:highlight w:val="none"/>
          <w14:textFill>
            <w14:solidFill>
              <w14:schemeClr w14:val="tx1"/>
            </w14:solidFill>
          </w14:textFill>
        </w:rPr>
        <w:t>合同总价款</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bCs/>
          <w:color w:val="000000" w:themeColor="text1"/>
          <w:sz w:val="24"/>
          <w:szCs w:val="24"/>
          <w:highlight w:val="none"/>
          <w:lang w:eastAsia="zh-CN"/>
          <w14:textFill>
            <w14:solidFill>
              <w14:schemeClr w14:val="tx1"/>
            </w14:solidFill>
          </w14:textFill>
        </w:rPr>
        <w:t>的款项</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人民币（大写）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元整（¥       元）。如遇甲方寒暑假或国家法定假日，则付款时间顺延。</w:t>
      </w:r>
    </w:p>
    <w:p w14:paraId="2814425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（三）支付方式：银行转帐。乙方要如实开具发票，不得变更开票内容，乙方开具发票出现税务争议时，乙方需承担税款、滞纳金、罚款等赔偿责任以及其他相关责任。</w:t>
      </w:r>
    </w:p>
    <w:p w14:paraId="4BF30F8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70" w:firstLineChars="196"/>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四）结算方式：验收合格后填写政府采购项目验收单,乙方持成交通知书、供货合同、发票（按合同总价直开甲方）、政府采购项目验收单及甲方财务要求的其他必要资料，到甲方办理资金结算。乙方延期提供发票或提供的发票不符合甲方要求的，甲方有权拒付合同款项且不承担任何法律责任。</w:t>
      </w:r>
      <w:bookmarkStart w:id="75" w:name="_bookmark143"/>
      <w:bookmarkEnd w:id="75"/>
    </w:p>
    <w:p w14:paraId="7AC430C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72" w:firstLineChars="196"/>
        <w:textAlignment w:val="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四、双方的权利和义务</w:t>
      </w:r>
    </w:p>
    <w:p w14:paraId="680340E4">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（一）甲方的权利和义务</w:t>
      </w:r>
    </w:p>
    <w:p w14:paraId="509BFAA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甲方权利：组织使用单位严格按照招标文件及投标文件要求和标准验收货物。</w:t>
      </w:r>
    </w:p>
    <w:p w14:paraId="0F038144">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甲方义务：积极配合乙方验收、安装、调试工作。</w:t>
      </w:r>
    </w:p>
    <w:p w14:paraId="36DB91F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（二）乙方的权利和义务</w:t>
      </w:r>
    </w:p>
    <w:p w14:paraId="1401529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乙方权利：按照合同约定要求甲方及时付款。</w:t>
      </w:r>
    </w:p>
    <w:p w14:paraId="5AFE9B5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乙方义务：按照合同约定时间，按甲方指定地点提供货物，配合验收工作；按照合同约定保证提供达到现行国家、行业标准的全新原厂货物。否则，视为乙方未完成交货义务。</w:t>
      </w:r>
    </w:p>
    <w:p w14:paraId="00A2D176">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72" w:firstLineChars="196"/>
        <w:textAlignment w:val="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五、交货条件：</w:t>
      </w:r>
    </w:p>
    <w:p w14:paraId="7225269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（一）交货地点：</w:t>
      </w:r>
    </w:p>
    <w:p w14:paraId="6A6514C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（二）交货期（含安装期）：</w:t>
      </w:r>
    </w:p>
    <w:p w14:paraId="1A37D4C7">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72" w:firstLineChars="196"/>
        <w:textAlignment w:val="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六、运输</w:t>
      </w:r>
    </w:p>
    <w:p w14:paraId="6CA9E6A7">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（一）运输由乙方负责，运杂费已包含在合同总价内，包括从货物供应地点到交货地点所含的运输费、装卸费、仓储费、保险费等。</w:t>
      </w:r>
    </w:p>
    <w:p w14:paraId="2C1E5810">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（二）运输方式由乙方自行选择，但必须保证按期交货。</w:t>
      </w:r>
    </w:p>
    <w:p w14:paraId="6F3E05B5">
      <w:pPr>
        <w:pStyle w:val="2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（三）甲方接收货物前，货物毁损、灭失的风险由乙方承担。</w:t>
      </w:r>
    </w:p>
    <w:p w14:paraId="35710850">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72" w:firstLineChars="196"/>
        <w:textAlignment w:val="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七、质量保证</w:t>
      </w:r>
    </w:p>
    <w:p w14:paraId="451F8DA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乙方所供货物必须执行下列条款：</w:t>
      </w:r>
    </w:p>
    <w:p w14:paraId="179F39F0">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（一）设备到位后，工程师应立即进行安装、调试，同时对操作人员进行严格的规范化培训。</w:t>
      </w:r>
    </w:p>
    <w:p w14:paraId="7BAD847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（二）保证技术指标先进、质量性能可靠、进货渠道正常，配置合理，全面满足磋商要求。</w:t>
      </w:r>
    </w:p>
    <w:p w14:paraId="1A7952A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（三）符合国家有关规范要求，确保达到最佳运行状态。</w:t>
      </w:r>
    </w:p>
    <w:p w14:paraId="4D7A8E94">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（四）具有良好的外观，适合安装场所的使用。</w:t>
      </w:r>
    </w:p>
    <w:p w14:paraId="62099CD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（五）自安装、调试正常运行并验收合格之日起：</w:t>
      </w:r>
    </w:p>
    <w:p w14:paraId="7E9AB274">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1.</w:t>
      </w:r>
      <w:r>
        <w:rPr>
          <w:rFonts w:hint="eastAsia" w:ascii="宋体" w:hAnsi="宋体" w:cs="宋体"/>
          <w:bCs/>
          <w:color w:val="000000" w:themeColor="text1"/>
          <w:sz w:val="24"/>
          <w:szCs w:val="24"/>
          <w:highlight w:val="none"/>
          <w14:textFill>
            <w14:solidFill>
              <w14:schemeClr w14:val="tx1"/>
            </w14:solidFill>
          </w14:textFill>
        </w:rPr>
        <w:t>30天内，如出现质量问题，可以选择换货或退货；</w:t>
      </w:r>
    </w:p>
    <w:p w14:paraId="19BBF39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val="en-US" w:eastAsia="zh-CN"/>
          <w14:textFill>
            <w14:solidFill>
              <w14:schemeClr w14:val="tx1"/>
            </w14:solidFill>
          </w14:textFill>
        </w:rPr>
        <w:t>2.</w:t>
      </w:r>
      <w:r>
        <w:rPr>
          <w:rFonts w:hint="eastAsia" w:ascii="宋体" w:hAnsi="宋体" w:cs="宋体"/>
          <w:bCs/>
          <w:color w:val="000000" w:themeColor="text1"/>
          <w:sz w:val="24"/>
          <w:szCs w:val="24"/>
          <w:highlight w:val="none"/>
          <w14:textFill>
            <w14:solidFill>
              <w14:schemeClr w14:val="tx1"/>
            </w14:solidFill>
          </w14:textFill>
        </w:rPr>
        <w:t>30至60天内，如出现质量问题，可选择换货。</w:t>
      </w:r>
    </w:p>
    <w:p w14:paraId="401A4ED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szCs w:val="24"/>
          <w:highlight w:val="none"/>
          <w:lang w:eastAsia="zh-CN"/>
          <w14:textFill>
            <w14:solidFill>
              <w14:schemeClr w14:val="tx1"/>
            </w14:solidFill>
          </w14:textFill>
        </w:rPr>
        <w:t>六</w:t>
      </w:r>
      <w:r>
        <w:rPr>
          <w:rFonts w:hint="eastAsia" w:ascii="宋体" w:hAnsi="宋体" w:cs="宋体"/>
          <w:bCs/>
          <w:color w:val="000000" w:themeColor="text1"/>
          <w:sz w:val="24"/>
          <w:szCs w:val="24"/>
          <w:highlight w:val="none"/>
          <w14:textFill>
            <w14:solidFill>
              <w14:schemeClr w14:val="tx1"/>
            </w14:solidFill>
          </w14:textFill>
        </w:rPr>
        <w:t>）设备因产品质量或设计缺陷等问题，而发生的差错或纠纷由乙方及生产厂商负全部责任。</w:t>
      </w:r>
    </w:p>
    <w:p w14:paraId="3739871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72" w:firstLineChars="196"/>
        <w:textAlignment w:val="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八、售后服务</w:t>
      </w:r>
    </w:p>
    <w:p w14:paraId="2DD84ED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乙方所供货物提供以下售后服务：</w:t>
      </w:r>
    </w:p>
    <w:p w14:paraId="58FC4384">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（一）质保期内：</w:t>
      </w:r>
    </w:p>
    <w:p w14:paraId="767A764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1、乙方应告知甲方产品的使用、维护、保养等有关注意事项，并根据招投标文件要求对甲方的人员进行培训。</w:t>
      </w:r>
    </w:p>
    <w:p w14:paraId="26179D0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发生质量问题，接到甲方通知后，应派出专业的维修人员到现场进行检测维修，发生的全部费用由乙方承担，若需送回生产厂，乙方承担往返费用；在产品正常使用寿命内发生的任何产品质量问题，接到报修通知，维修响应时间为</w:t>
      </w:r>
      <w:r>
        <w:rPr>
          <w:rFonts w:hint="eastAsia" w:ascii="宋体" w:hAnsi="宋体" w:cs="宋体"/>
          <w:bCs/>
          <w:color w:val="000000" w:themeColor="text1"/>
          <w:sz w:val="24"/>
          <w:szCs w:val="24"/>
          <w:highlight w:val="none"/>
          <w:u w:val="single"/>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小时内，</w:t>
      </w:r>
      <w:r>
        <w:rPr>
          <w:rFonts w:hint="eastAsia" w:ascii="宋体" w:hAnsi="宋体" w:cs="宋体"/>
          <w:bCs/>
          <w:color w:val="000000" w:themeColor="text1"/>
          <w:sz w:val="24"/>
          <w:szCs w:val="24"/>
          <w:highlight w:val="none"/>
          <w:u w:val="single"/>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小时内到达现场，排除故障的期限不得超过</w:t>
      </w:r>
      <w:r>
        <w:rPr>
          <w:rFonts w:hint="eastAsia" w:ascii="宋体" w:hAnsi="宋体" w:cs="宋体"/>
          <w:bCs/>
          <w:color w:val="000000" w:themeColor="text1"/>
          <w:sz w:val="24"/>
          <w:szCs w:val="24"/>
          <w:highlight w:val="none"/>
          <w:u w:val="single"/>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小时，甲方有权自行委托第三方进行维修，维修费用由乙方承担，相关费用甲方有权在质量保证金中扣除，不足部分乙方予以赔偿。</w:t>
      </w:r>
    </w:p>
    <w:p w14:paraId="46C9F334">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3、定期派技术人员到现场走访，给予检查维护；</w:t>
      </w:r>
    </w:p>
    <w:p w14:paraId="19BC4B8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4、如非乙方原因造成的质量问题，乙方有义务根据甲方的要求进行维修或配合维修，如需更换产品或配件，</w:t>
      </w:r>
      <w:r>
        <w:rPr>
          <w:rFonts w:hint="eastAsia" w:ascii="宋体" w:hAnsi="宋体" w:cs="宋体"/>
          <w:bCs/>
          <w:color w:val="000000" w:themeColor="text1"/>
          <w:sz w:val="24"/>
          <w:szCs w:val="24"/>
          <w:highlight w:val="none"/>
          <w:lang w:eastAsia="zh-CN"/>
          <w14:textFill>
            <w14:solidFill>
              <w14:schemeClr w14:val="tx1"/>
            </w14:solidFill>
          </w14:textFill>
        </w:rPr>
        <w:t>按市场价格收</w:t>
      </w:r>
      <w:r>
        <w:rPr>
          <w:rFonts w:hint="eastAsia" w:ascii="宋体" w:hAnsi="宋体" w:cs="宋体"/>
          <w:bCs/>
          <w:color w:val="000000" w:themeColor="text1"/>
          <w:sz w:val="24"/>
          <w:szCs w:val="24"/>
          <w:highlight w:val="none"/>
          <w14:textFill>
            <w14:solidFill>
              <w14:schemeClr w14:val="tx1"/>
            </w14:solidFill>
          </w14:textFill>
        </w:rPr>
        <w:t>取维修配件费</w:t>
      </w:r>
      <w:r>
        <w:rPr>
          <w:rFonts w:hint="eastAsia" w:ascii="宋体" w:hAnsi="宋体" w:cs="宋体"/>
          <w:bCs/>
          <w:color w:val="000000" w:themeColor="text1"/>
          <w:sz w:val="24"/>
          <w:szCs w:val="24"/>
          <w:highlight w:val="none"/>
          <w:lang w:eastAsia="zh-CN"/>
          <w14:textFill>
            <w14:solidFill>
              <w14:schemeClr w14:val="tx1"/>
            </w14:solidFill>
          </w14:textFill>
        </w:rPr>
        <w:t>、</w:t>
      </w:r>
      <w:r>
        <w:rPr>
          <w:rFonts w:hint="eastAsia" w:ascii="宋体" w:hAnsi="宋体" w:cs="宋体"/>
          <w:bCs/>
          <w:color w:val="000000" w:themeColor="text1"/>
          <w:sz w:val="24"/>
          <w:szCs w:val="24"/>
          <w:highlight w:val="none"/>
          <w14:textFill>
            <w14:solidFill>
              <w14:schemeClr w14:val="tx1"/>
            </w14:solidFill>
          </w14:textFill>
        </w:rPr>
        <w:t>人工费、维修费。</w:t>
      </w:r>
    </w:p>
    <w:p w14:paraId="1329871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（二）质保期结束前，进行系统测试，全面保养维护，确保正常运行。</w:t>
      </w:r>
    </w:p>
    <w:p w14:paraId="318726E4">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72" w:firstLineChars="196"/>
        <w:textAlignment w:val="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九、技术与服务</w:t>
      </w:r>
    </w:p>
    <w:p w14:paraId="6603B0B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（一）技术资料：</w:t>
      </w:r>
    </w:p>
    <w:p w14:paraId="4807ED1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1、货物合格证；</w:t>
      </w:r>
    </w:p>
    <w:p w14:paraId="294215B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2、货物使用说明书（中文）；</w:t>
      </w:r>
    </w:p>
    <w:p w14:paraId="4C45D7D6">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3、项目峻工资料、检验测试报告；</w:t>
      </w:r>
    </w:p>
    <w:p w14:paraId="32CB5A8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4、其它资料。</w:t>
      </w:r>
    </w:p>
    <w:p w14:paraId="75A80B3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（二）服务承诺：</w:t>
      </w:r>
    </w:p>
    <w:p w14:paraId="35FB9A5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1、设备（产品）安装、调试和验收：提供设备（产品）现场安装、调试，设备（产品）安装调试需在</w:t>
      </w:r>
      <w:r>
        <w:rPr>
          <w:rFonts w:hint="eastAsia" w:ascii="宋体" w:hAnsi="宋体" w:cs="宋体"/>
          <w:bCs/>
          <w:color w:val="000000" w:themeColor="text1"/>
          <w:sz w:val="24"/>
          <w:szCs w:val="24"/>
          <w:highlight w:val="none"/>
          <w:u w:val="single"/>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日内完成。安装前，提供安装条件、用水、用电条件说明；</w:t>
      </w:r>
    </w:p>
    <w:p w14:paraId="6967E1F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2、培训要求：安装验收后，厂家在用户所在地对用户进行设备（产品）操作和日常维护的现场培训。包括设备（产品）原理、使用方法和维护方法等；</w:t>
      </w:r>
    </w:p>
    <w:p w14:paraId="003815C6">
      <w:pPr>
        <w:pStyle w:val="21"/>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3、以投标文件、澄清表（函）、合同和随货物的相关文件为准。</w:t>
      </w:r>
    </w:p>
    <w:p w14:paraId="62E6C49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72" w:firstLineChars="196"/>
        <w:textAlignment w:val="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十、验收</w:t>
      </w:r>
    </w:p>
    <w:p w14:paraId="54A5E32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一）乙方应在将产品移交甲方之前或同时，将与该产品有关的全部法律证件提交甲方审核确认。如乙方所供货物为原装进口产品的,应提供相关的进口证明文件。经甲方审核认为上述文件不全或存在瑕疵的，甲方有权拒绝支付货款。甲方对上述文件的审核并不解除乙方对产品所负的权利担保责任。</w:t>
      </w:r>
    </w:p>
    <w:p w14:paraId="3BC33557">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（二）货物到达甲方指定地点后，甲方根据合同要求，进行</w:t>
      </w:r>
      <w:r>
        <w:rPr>
          <w:rFonts w:hint="eastAsia" w:ascii="宋体" w:hAnsi="宋体" w:cs="宋体"/>
          <w:bCs/>
          <w:color w:val="000000" w:themeColor="text1"/>
          <w:sz w:val="24"/>
          <w:szCs w:val="24"/>
          <w:highlight w:val="none"/>
          <w:lang w:eastAsia="zh-CN"/>
          <w14:textFill>
            <w14:solidFill>
              <w14:schemeClr w14:val="tx1"/>
            </w14:solidFill>
          </w14:textFill>
        </w:rPr>
        <w:t>开</w:t>
      </w:r>
      <w:r>
        <w:rPr>
          <w:rFonts w:hint="eastAsia" w:ascii="宋体" w:hAnsi="宋体" w:cs="宋体"/>
          <w:b/>
          <w:bCs w:val="0"/>
          <w:color w:val="000000" w:themeColor="text1"/>
          <w:sz w:val="24"/>
          <w:szCs w:val="24"/>
          <w:highlight w:val="none"/>
          <w:lang w:eastAsia="zh-CN"/>
          <w14:textFill>
            <w14:solidFill>
              <w14:schemeClr w14:val="tx1"/>
            </w14:solidFill>
          </w14:textFill>
        </w:rPr>
        <w:t>箱</w:t>
      </w:r>
      <w:r>
        <w:rPr>
          <w:rFonts w:hint="eastAsia" w:ascii="宋体" w:hAnsi="宋体" w:cs="宋体"/>
          <w:b/>
          <w:bCs w:val="0"/>
          <w:color w:val="000000" w:themeColor="text1"/>
          <w:sz w:val="24"/>
          <w:szCs w:val="24"/>
          <w:highlight w:val="none"/>
          <w14:textFill>
            <w14:solidFill>
              <w14:schemeClr w14:val="tx1"/>
            </w14:solidFill>
          </w14:textFill>
        </w:rPr>
        <w:t>外观验收</w:t>
      </w:r>
      <w:r>
        <w:rPr>
          <w:rFonts w:hint="eastAsia" w:ascii="宋体" w:hAnsi="宋体" w:cs="宋体"/>
          <w:bCs/>
          <w:color w:val="000000" w:themeColor="text1"/>
          <w:sz w:val="24"/>
          <w:szCs w:val="24"/>
          <w:highlight w:val="none"/>
          <w14:textFill>
            <w14:solidFill>
              <w14:schemeClr w14:val="tx1"/>
            </w14:solidFill>
          </w14:textFill>
        </w:rPr>
        <w:t>，确认产地、规格、型号和数量</w:t>
      </w:r>
      <w:r>
        <w:rPr>
          <w:rFonts w:hint="eastAsia" w:ascii="宋体" w:hAnsi="宋体" w:cs="宋体"/>
          <w:bCs/>
          <w:color w:val="000000" w:themeColor="text1"/>
          <w:sz w:val="24"/>
          <w:szCs w:val="24"/>
          <w:highlight w:val="none"/>
          <w:lang w:eastAsia="zh-CN"/>
          <w14:textFill>
            <w14:solidFill>
              <w14:schemeClr w14:val="tx1"/>
            </w14:solidFill>
          </w14:textFill>
        </w:rPr>
        <w:t>，填写货物开箱验收单（一式五份）</w:t>
      </w:r>
      <w:r>
        <w:rPr>
          <w:rFonts w:hint="eastAsia" w:ascii="宋体" w:hAnsi="宋体" w:cs="宋体"/>
          <w:b/>
          <w:bCs w:val="0"/>
          <w:color w:val="000000" w:themeColor="text1"/>
          <w:sz w:val="24"/>
          <w:szCs w:val="24"/>
          <w:highlight w:val="none"/>
          <w:lang w:eastAsia="zh-CN"/>
          <w14:textFill>
            <w14:solidFill>
              <w14:schemeClr w14:val="tx1"/>
            </w14:solidFill>
          </w14:textFill>
        </w:rPr>
        <w:t>（附件</w:t>
      </w:r>
      <w:r>
        <w:rPr>
          <w:rFonts w:hint="eastAsia" w:ascii="宋体" w:hAnsi="宋体" w:cs="宋体"/>
          <w:b/>
          <w:bCs w:val="0"/>
          <w:color w:val="000000" w:themeColor="text1"/>
          <w:sz w:val="24"/>
          <w:szCs w:val="24"/>
          <w:highlight w:val="none"/>
          <w:lang w:val="en-US" w:eastAsia="zh-CN"/>
          <w14:textFill>
            <w14:solidFill>
              <w14:schemeClr w14:val="tx1"/>
            </w14:solidFill>
          </w14:textFill>
        </w:rPr>
        <w:t>三</w:t>
      </w:r>
      <w:r>
        <w:rPr>
          <w:rFonts w:hint="eastAsia" w:ascii="宋体" w:hAnsi="宋体" w:cs="宋体"/>
          <w:b/>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作为对货物的初步认可</w:t>
      </w:r>
      <w:r>
        <w:rPr>
          <w:rFonts w:hint="eastAsia" w:ascii="宋体" w:hAnsi="宋体" w:eastAsia="宋体" w:cs="宋体"/>
          <w:bCs/>
          <w:color w:val="000000" w:themeColor="text1"/>
          <w:sz w:val="24"/>
          <w:szCs w:val="24"/>
          <w:highlight w:val="none"/>
          <w14:textFill>
            <w14:solidFill>
              <w14:schemeClr w14:val="tx1"/>
            </w14:solidFill>
          </w14:textFill>
        </w:rPr>
        <w:t>。</w:t>
      </w:r>
    </w:p>
    <w:p w14:paraId="5C1D73A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（三）货物安装、调试并正常运行后，由乙方进行自检，合格后，准备验收文件，并书面通知甲方。</w:t>
      </w:r>
    </w:p>
    <w:p w14:paraId="3A65C86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（四）甲方确认乙方的自检内容后，组织乙方（必要时请有关专家）进行</w:t>
      </w:r>
      <w:r>
        <w:rPr>
          <w:rFonts w:hint="eastAsia" w:ascii="宋体" w:hAnsi="宋体" w:cs="宋体"/>
          <w:b/>
          <w:bCs w:val="0"/>
          <w:color w:val="000000" w:themeColor="text1"/>
          <w:sz w:val="24"/>
          <w:szCs w:val="24"/>
          <w:highlight w:val="none"/>
          <w14:textFill>
            <w14:solidFill>
              <w14:schemeClr w14:val="tx1"/>
            </w14:solidFill>
          </w14:textFill>
        </w:rPr>
        <w:t>系统验收</w:t>
      </w:r>
      <w:r>
        <w:rPr>
          <w:rFonts w:hint="eastAsia" w:ascii="宋体" w:hAnsi="宋体" w:cs="宋体"/>
          <w:bCs/>
          <w:color w:val="000000" w:themeColor="text1"/>
          <w:sz w:val="24"/>
          <w:szCs w:val="24"/>
          <w:highlight w:val="none"/>
          <w14:textFill>
            <w14:solidFill>
              <w14:schemeClr w14:val="tx1"/>
            </w14:solidFill>
          </w14:textFill>
        </w:rPr>
        <w:t>，验收合格后，填写陕西中医药大学招标采购项目验收表（一式</w:t>
      </w:r>
      <w:r>
        <w:rPr>
          <w:rFonts w:hint="eastAsia" w:ascii="宋体" w:hAnsi="宋体" w:cs="宋体"/>
          <w:bCs/>
          <w:color w:val="000000" w:themeColor="text1"/>
          <w:sz w:val="24"/>
          <w:szCs w:val="24"/>
          <w:highlight w:val="none"/>
          <w:lang w:eastAsia="zh-CN"/>
          <w14:textFill>
            <w14:solidFill>
              <w14:schemeClr w14:val="tx1"/>
            </w14:solidFill>
          </w14:textFill>
        </w:rPr>
        <w:t>三</w:t>
      </w:r>
      <w:r>
        <w:rPr>
          <w:rFonts w:hint="eastAsia" w:ascii="宋体" w:hAnsi="宋体" w:cs="宋体"/>
          <w:bCs/>
          <w:color w:val="000000" w:themeColor="text1"/>
          <w:sz w:val="24"/>
          <w:szCs w:val="24"/>
          <w:highlight w:val="none"/>
          <w14:textFill>
            <w14:solidFill>
              <w14:schemeClr w14:val="tx1"/>
            </w14:solidFill>
          </w14:textFill>
        </w:rPr>
        <w:t>份）</w:t>
      </w:r>
      <w:r>
        <w:rPr>
          <w:rFonts w:hint="eastAsia" w:ascii="宋体" w:hAnsi="宋体" w:cs="宋体"/>
          <w:b/>
          <w:bCs w:val="0"/>
          <w:color w:val="000000" w:themeColor="text1"/>
          <w:sz w:val="24"/>
          <w:szCs w:val="24"/>
          <w:highlight w:val="none"/>
          <w:lang w:eastAsia="zh-CN"/>
          <w14:textFill>
            <w14:solidFill>
              <w14:schemeClr w14:val="tx1"/>
            </w14:solidFill>
          </w14:textFill>
        </w:rPr>
        <w:t>（附件</w:t>
      </w:r>
      <w:r>
        <w:rPr>
          <w:rFonts w:hint="eastAsia" w:ascii="宋体" w:hAnsi="宋体" w:cs="宋体"/>
          <w:b/>
          <w:bCs w:val="0"/>
          <w:color w:val="000000" w:themeColor="text1"/>
          <w:sz w:val="24"/>
          <w:szCs w:val="24"/>
          <w:highlight w:val="none"/>
          <w:lang w:val="en-US" w:eastAsia="zh-CN"/>
          <w14:textFill>
            <w14:solidFill>
              <w14:schemeClr w14:val="tx1"/>
            </w14:solidFill>
          </w14:textFill>
        </w:rPr>
        <w:t>四</w:t>
      </w:r>
      <w:r>
        <w:rPr>
          <w:rFonts w:hint="eastAsia" w:ascii="宋体" w:hAnsi="宋体" w:cs="宋体"/>
          <w:b/>
          <w:bCs w:val="0"/>
          <w:color w:val="000000" w:themeColor="text1"/>
          <w:sz w:val="24"/>
          <w:szCs w:val="24"/>
          <w:highlight w:val="none"/>
          <w:lang w:eastAsia="zh-CN"/>
          <w14:textFill>
            <w14:solidFill>
              <w14:schemeClr w14:val="tx1"/>
            </w14:solidFill>
          </w14:textFill>
        </w:rPr>
        <w:t>），</w:t>
      </w:r>
      <w:r>
        <w:rPr>
          <w:rFonts w:hint="eastAsia" w:ascii="宋体" w:hAnsi="宋体" w:cs="宋体"/>
          <w:bCs/>
          <w:color w:val="000000" w:themeColor="text1"/>
          <w:sz w:val="24"/>
          <w:szCs w:val="24"/>
          <w:highlight w:val="none"/>
          <w14:textFill>
            <w14:solidFill>
              <w14:schemeClr w14:val="tx1"/>
            </w14:solidFill>
          </w14:textFill>
        </w:rPr>
        <w:t>作为对货物的最终认可。</w:t>
      </w:r>
    </w:p>
    <w:p w14:paraId="177261D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（五）乙方向甲方提交货物实施过程中的所有资料。以便甲方日后管理和维护。</w:t>
      </w:r>
    </w:p>
    <w:p w14:paraId="57E03FF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（六）验收依据：</w:t>
      </w:r>
    </w:p>
    <w:p w14:paraId="58F6F810">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1、招标文件、投标文件、澄清表（函）；</w:t>
      </w:r>
    </w:p>
    <w:p w14:paraId="7BFD063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2、本合同及附件文本；</w:t>
      </w:r>
    </w:p>
    <w:p w14:paraId="5278E4D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3、国家相应的标准、规范。</w:t>
      </w:r>
    </w:p>
    <w:p w14:paraId="7A22C61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72" w:firstLineChars="196"/>
        <w:textAlignment w:val="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十一、违约责任</w:t>
      </w:r>
    </w:p>
    <w:p w14:paraId="6EE3A81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（一）按《政府采购法》、《民法典》中的相关条款执行。</w:t>
      </w:r>
    </w:p>
    <w:p w14:paraId="44E964D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（二）未按合同要求提供货物或质量不能满足招标技术要求，乙方必须</w:t>
      </w:r>
      <w:r>
        <w:rPr>
          <w:rFonts w:ascii="宋体" w:hAnsi="宋体" w:cs="宋体"/>
          <w:bCs/>
          <w:color w:val="000000" w:themeColor="text1"/>
          <w:sz w:val="24"/>
          <w:szCs w:val="24"/>
          <w:highlight w:val="none"/>
          <w14:textFill>
            <w14:solidFill>
              <w14:schemeClr w14:val="tx1"/>
            </w14:solidFill>
          </w14:textFill>
        </w:rPr>
        <w:t>无条件</w:t>
      </w:r>
      <w:r>
        <w:rPr>
          <w:rFonts w:hint="eastAsia" w:ascii="宋体" w:hAnsi="宋体" w:cs="宋体"/>
          <w:bCs/>
          <w:color w:val="000000" w:themeColor="text1"/>
          <w:sz w:val="24"/>
          <w:szCs w:val="24"/>
          <w:highlight w:val="none"/>
          <w14:textFill>
            <w14:solidFill>
              <w14:schemeClr w14:val="tx1"/>
            </w14:solidFill>
          </w14:textFill>
        </w:rPr>
        <w:t>按甲方要求的时限进行更</w:t>
      </w:r>
      <w:r>
        <w:rPr>
          <w:rFonts w:ascii="宋体" w:hAnsi="宋体" w:cs="宋体"/>
          <w:bCs/>
          <w:color w:val="000000" w:themeColor="text1"/>
          <w:sz w:val="24"/>
          <w:szCs w:val="24"/>
          <w:highlight w:val="none"/>
          <w14:textFill>
            <w14:solidFill>
              <w14:schemeClr w14:val="tx1"/>
            </w14:solidFill>
          </w14:textFill>
        </w:rPr>
        <w:t>换，提高技术，完善质量</w:t>
      </w:r>
      <w:r>
        <w:rPr>
          <w:rFonts w:hint="eastAsia" w:ascii="宋体" w:hAnsi="宋体" w:cs="宋体"/>
          <w:bCs/>
          <w:color w:val="000000" w:themeColor="text1"/>
          <w:sz w:val="24"/>
          <w:szCs w:val="24"/>
          <w:highlight w:val="none"/>
          <w14:textFill>
            <w14:solidFill>
              <w14:schemeClr w14:val="tx1"/>
            </w14:solidFill>
          </w14:textFill>
        </w:rPr>
        <w:t>，否则，甲方有权单方解除本合同，合同自甲方书面解除通知送达乙方之日起解除，乙方应当按照合同总价的【</w:t>
      </w:r>
      <w:r>
        <w:rPr>
          <w:rFonts w:hint="eastAsia" w:ascii="宋体" w:hAnsi="宋体" w:cs="宋体"/>
          <w:bCs/>
          <w:color w:val="000000" w:themeColor="text1"/>
          <w:sz w:val="24"/>
          <w:szCs w:val="24"/>
          <w:highlight w:val="none"/>
          <w:lang w:val="en-US" w:eastAsia="zh-CN"/>
          <w14:textFill>
            <w14:solidFill>
              <w14:schemeClr w14:val="tx1"/>
            </w14:solidFill>
          </w14:textFill>
        </w:rPr>
        <w:t>10</w:t>
      </w:r>
      <w:r>
        <w:rPr>
          <w:rFonts w:hint="eastAsia" w:ascii="宋体" w:hAnsi="宋体" w:cs="宋体"/>
          <w:bCs/>
          <w:color w:val="000000" w:themeColor="text1"/>
          <w:sz w:val="24"/>
          <w:szCs w:val="24"/>
          <w:highlight w:val="none"/>
          <w14:textFill>
            <w14:solidFill>
              <w14:schemeClr w14:val="tx1"/>
            </w14:solidFill>
          </w14:textFill>
        </w:rPr>
        <w:t>】%向甲方支付违约金，违约金不足以弥补甲方损失的，乙方需另行支付。并对乙方的违约行为报监管机构进行相应的处罚。</w:t>
      </w:r>
    </w:p>
    <w:p w14:paraId="7B62495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（三）交货期每超过一天，扣除乙方合同总价款的</w:t>
      </w:r>
      <w:r>
        <w:rPr>
          <w:rFonts w:hint="eastAsia" w:ascii="宋体" w:hAnsi="宋体" w:cs="宋体"/>
          <w:bCs/>
          <w:color w:val="000000" w:themeColor="text1"/>
          <w:sz w:val="24"/>
          <w:szCs w:val="24"/>
          <w:highlight w:val="none"/>
          <w:u w:val="single"/>
          <w:lang w:val="en-US" w:eastAsia="zh-CN"/>
          <w14:textFill>
            <w14:solidFill>
              <w14:schemeClr w14:val="tx1"/>
            </w14:solidFill>
          </w14:textFill>
        </w:rPr>
        <w:t xml:space="preserve"> 1 </w:t>
      </w:r>
      <w:r>
        <w:rPr>
          <w:rFonts w:hint="eastAsia" w:ascii="宋体" w:hAnsi="宋体" w:cs="宋体"/>
          <w:bCs/>
          <w:color w:val="000000" w:themeColor="text1"/>
          <w:sz w:val="24"/>
          <w:szCs w:val="24"/>
          <w:highlight w:val="none"/>
          <w14:textFill>
            <w14:solidFill>
              <w14:schemeClr w14:val="tx1"/>
            </w14:solidFill>
          </w14:textFill>
        </w:rPr>
        <w:t>‰，迟延交货超过【</w:t>
      </w:r>
      <w:r>
        <w:rPr>
          <w:rFonts w:hint="eastAsia" w:ascii="宋体" w:hAnsi="宋体" w:cs="宋体"/>
          <w:bCs/>
          <w:color w:val="000000" w:themeColor="text1"/>
          <w:sz w:val="24"/>
          <w:szCs w:val="24"/>
          <w:highlight w:val="none"/>
          <w:lang w:val="en-US" w:eastAsia="zh-CN"/>
          <w14:textFill>
            <w14:solidFill>
              <w14:schemeClr w14:val="tx1"/>
            </w14:solidFill>
          </w14:textFill>
        </w:rPr>
        <w:t>90</w:t>
      </w:r>
      <w:r>
        <w:rPr>
          <w:rFonts w:hint="eastAsia" w:ascii="宋体" w:hAnsi="宋体" w:cs="宋体"/>
          <w:bCs/>
          <w:color w:val="000000" w:themeColor="text1"/>
          <w:sz w:val="24"/>
          <w:szCs w:val="24"/>
          <w:highlight w:val="none"/>
          <w14:textFill>
            <w14:solidFill>
              <w14:schemeClr w14:val="tx1"/>
            </w14:solidFill>
          </w14:textFill>
        </w:rPr>
        <w:t>】天的，视为乙方根本违约，甲方有权依据本条第（二）款之约定单方解除本协议。</w:t>
      </w:r>
    </w:p>
    <w:p w14:paraId="633E5A5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（四）乙方应确保所供货物不存在任何权利瑕疵，否则，因此产生的纠纷由乙方负责解决并承担全部赔偿责任，甲方因此被索赔时，有权就其支出的全部费用向乙方追偿。</w:t>
      </w:r>
    </w:p>
    <w:p w14:paraId="5BA14F0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（五）乙方违约时，甲方为主张权利而支出的律师费、诉讼费、保全费、保全保险费、差旅费等费用由乙方承担。</w:t>
      </w:r>
    </w:p>
    <w:p w14:paraId="3D557D8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72" w:firstLineChars="196"/>
        <w:textAlignment w:val="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十二、合同争议解决的方式</w:t>
      </w:r>
    </w:p>
    <w:p w14:paraId="307011F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本合同在履行过程中发生的争议，由甲、乙双方当事人协商解决，协商不成的按下列第（ 二 ）种方式解决：</w:t>
      </w:r>
    </w:p>
    <w:p w14:paraId="0BCCDF7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（一）提交</w:t>
      </w:r>
      <w:r>
        <w:rPr>
          <w:rFonts w:hint="eastAsia" w:ascii="宋体" w:hAnsi="宋体" w:cs="宋体"/>
          <w:bCs/>
          <w:color w:val="000000" w:themeColor="text1"/>
          <w:sz w:val="24"/>
          <w:szCs w:val="24"/>
          <w:highlight w:val="none"/>
          <w:u w:val="single"/>
          <w14:textFill>
            <w14:solidFill>
              <w14:schemeClr w14:val="tx1"/>
            </w14:solidFill>
          </w14:textFill>
        </w:rPr>
        <w:t xml:space="preserve">  西安   </w:t>
      </w:r>
      <w:r>
        <w:rPr>
          <w:rFonts w:hint="eastAsia" w:ascii="宋体" w:hAnsi="宋体" w:cs="宋体"/>
          <w:bCs/>
          <w:color w:val="000000" w:themeColor="text1"/>
          <w:sz w:val="24"/>
          <w:szCs w:val="24"/>
          <w:highlight w:val="none"/>
          <w14:textFill>
            <w14:solidFill>
              <w14:schemeClr w14:val="tx1"/>
            </w14:solidFill>
          </w14:textFill>
        </w:rPr>
        <w:t>仲裁委员会仲裁；</w:t>
      </w:r>
    </w:p>
    <w:p w14:paraId="39E51EC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（二）依法向</w:t>
      </w:r>
      <w:r>
        <w:rPr>
          <w:rFonts w:hint="eastAsia" w:ascii="宋体" w:hAnsi="宋体" w:cs="宋体"/>
          <w:bCs/>
          <w:color w:val="000000" w:themeColor="text1"/>
          <w:sz w:val="24"/>
          <w:szCs w:val="24"/>
          <w:highlight w:val="none"/>
          <w:u w:val="single"/>
          <w14:textFill>
            <w14:solidFill>
              <w14:schemeClr w14:val="tx1"/>
            </w14:solidFill>
          </w14:textFill>
        </w:rPr>
        <w:t xml:space="preserve">  甲方  </w:t>
      </w:r>
      <w:r>
        <w:rPr>
          <w:rFonts w:hint="eastAsia" w:ascii="宋体" w:hAnsi="宋体" w:cs="宋体"/>
          <w:bCs/>
          <w:color w:val="000000" w:themeColor="text1"/>
          <w:sz w:val="24"/>
          <w:szCs w:val="24"/>
          <w:highlight w:val="none"/>
          <w14:textFill>
            <w14:solidFill>
              <w14:schemeClr w14:val="tx1"/>
            </w14:solidFill>
          </w14:textFill>
        </w:rPr>
        <w:t>所在地人民法院起诉。</w:t>
      </w:r>
    </w:p>
    <w:p w14:paraId="64F1AF87">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72" w:firstLineChars="196"/>
        <w:textAlignment w:val="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十三、合同生效</w:t>
      </w:r>
    </w:p>
    <w:p w14:paraId="0C02BAF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本合同一式</w:t>
      </w:r>
      <w:r>
        <w:rPr>
          <w:rFonts w:hint="eastAsia" w:ascii="宋体" w:hAnsi="宋体" w:cs="宋体"/>
          <w:bCs/>
          <w:color w:val="000000" w:themeColor="text1"/>
          <w:sz w:val="24"/>
          <w:szCs w:val="24"/>
          <w:highlight w:val="none"/>
          <w:u w:val="single"/>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份，甲方执</w:t>
      </w:r>
      <w:r>
        <w:rPr>
          <w:rFonts w:hint="eastAsia" w:ascii="宋体" w:hAnsi="宋体" w:cs="宋体"/>
          <w:bCs/>
          <w:color w:val="000000" w:themeColor="text1"/>
          <w:sz w:val="24"/>
          <w:szCs w:val="24"/>
          <w:highlight w:val="none"/>
          <w:u w:val="single"/>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份，乙方执</w:t>
      </w:r>
      <w:r>
        <w:rPr>
          <w:rFonts w:hint="eastAsia" w:ascii="宋体" w:hAnsi="宋体" w:cs="宋体"/>
          <w:bCs/>
          <w:color w:val="000000" w:themeColor="text1"/>
          <w:sz w:val="24"/>
          <w:szCs w:val="24"/>
          <w:highlight w:val="none"/>
          <w:u w:val="single"/>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份、招标代理机构执</w:t>
      </w:r>
      <w:r>
        <w:rPr>
          <w:rFonts w:hint="eastAsia" w:ascii="宋体" w:hAnsi="宋体" w:cs="宋体"/>
          <w:bCs/>
          <w:color w:val="000000" w:themeColor="text1"/>
          <w:sz w:val="24"/>
          <w:szCs w:val="24"/>
          <w:highlight w:val="none"/>
          <w:u w:val="single"/>
          <w14:textFill>
            <w14:solidFill>
              <w14:schemeClr w14:val="tx1"/>
            </w14:solidFill>
          </w14:textFill>
        </w:rPr>
        <w:t>壹</w:t>
      </w:r>
      <w:r>
        <w:rPr>
          <w:rFonts w:hint="eastAsia" w:ascii="宋体" w:hAnsi="宋体" w:cs="宋体"/>
          <w:bCs/>
          <w:color w:val="000000" w:themeColor="text1"/>
          <w:sz w:val="24"/>
          <w:szCs w:val="24"/>
          <w:highlight w:val="none"/>
          <w14:textFill>
            <w14:solidFill>
              <w14:schemeClr w14:val="tx1"/>
            </w14:solidFill>
          </w14:textFill>
        </w:rPr>
        <w:t>份，陕西省财政厅政府采购管理处备案</w:t>
      </w:r>
      <w:r>
        <w:rPr>
          <w:rFonts w:hint="eastAsia" w:ascii="宋体" w:hAnsi="宋体" w:cs="宋体"/>
          <w:bCs/>
          <w:color w:val="000000" w:themeColor="text1"/>
          <w:sz w:val="24"/>
          <w:szCs w:val="24"/>
          <w:highlight w:val="none"/>
          <w:u w:val="single"/>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份，本合同甲、乙双方签字盖章后生效，合同执行完毕后，自动终止（合同的服务承诺则长期有效）。</w:t>
      </w:r>
    </w:p>
    <w:p w14:paraId="7315746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（一）陕西省财政厅政府采购管理处在合同的履行期间以及履行期后，可以随时检查项目的执行情况，对采购内容、标准进行调查核实，并对发现的问题进行处理。</w:t>
      </w:r>
    </w:p>
    <w:p w14:paraId="682845D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（二）招标文件、投标文件、澄清表（函）、成交通知书、合同附件均成为合同不可分割的部分。</w:t>
      </w:r>
    </w:p>
    <w:p w14:paraId="632264F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（三）合同未尽事宜，由甲、乙双方协商并确认后，作为合同补充，与原合同具有同等法律效力。</w:t>
      </w:r>
    </w:p>
    <w:p w14:paraId="7BEF0F8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（四）合同一经签订，不得擅自变更、中止或终止合同。对确需变更、调整或中止、终止合同的，应按规定履行相应的手续。</w:t>
      </w:r>
    </w:p>
    <w:p w14:paraId="1EC2D4A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（以下无正文）</w:t>
      </w:r>
    </w:p>
    <w:p w14:paraId="2778061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p>
    <w:p w14:paraId="6C476D5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甲  方（盖章）                             乙  方（盖章）</w:t>
      </w:r>
    </w:p>
    <w:p w14:paraId="3841841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单位名称：                                 单位名称：</w:t>
      </w:r>
    </w:p>
    <w:p w14:paraId="02DEF947">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地  址：                                   地  址：</w:t>
      </w:r>
    </w:p>
    <w:p w14:paraId="4B203989">
      <w:pPr>
        <w:keepNext w:val="0"/>
        <w:keepLines w:val="0"/>
        <w:pageBreakBefore w:val="0"/>
        <w:widowControl w:val="0"/>
        <w:tabs>
          <w:tab w:val="left" w:pos="480"/>
        </w:tabs>
        <w:kinsoku/>
        <w:wordWrap/>
        <w:overflowPunct/>
        <w:topLinePunct w:val="0"/>
        <w:autoSpaceDE/>
        <w:autoSpaceDN/>
        <w:bidi w:val="0"/>
        <w:adjustRightInd/>
        <w:snapToGrid/>
        <w:spacing w:line="360" w:lineRule="auto"/>
        <w:ind w:left="5759" w:leftChars="228" w:hanging="5280" w:hangingChars="2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法定代表人或授权委托人（签字或盖章）：       法定代表人或授权委托人（签字或盖章）：</w:t>
      </w:r>
    </w:p>
    <w:p w14:paraId="448B0EA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电子邮箱：                                 电子邮箱：</w:t>
      </w:r>
      <w:r>
        <w:rPr>
          <w:rFonts w:hint="eastAsia" w:ascii="宋体" w:hAnsi="宋体" w:cs="宋体"/>
          <w:bCs/>
          <w:color w:val="000000" w:themeColor="text1"/>
          <w:sz w:val="24"/>
          <w:szCs w:val="24"/>
          <w:highlight w:val="none"/>
          <w:lang w:eastAsia="zh-CN"/>
          <w14:textFill>
            <w14:solidFill>
              <w14:schemeClr w14:val="tx1"/>
            </w14:solidFill>
          </w14:textFill>
        </w:rPr>
        <w:t>（必填）</w:t>
      </w:r>
    </w:p>
    <w:p w14:paraId="0F5B8B1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代理人：                                </w:t>
      </w:r>
      <w:r>
        <w:rPr>
          <w:rFonts w:hint="eastAsia" w:ascii="宋体" w:hAnsi="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bCs/>
          <w:color w:val="000000" w:themeColor="text1"/>
          <w:sz w:val="24"/>
          <w:szCs w:val="24"/>
          <w:highlight w:val="none"/>
          <w14:textFill>
            <w14:solidFill>
              <w14:schemeClr w14:val="tx1"/>
            </w14:solidFill>
          </w14:textFill>
        </w:rPr>
        <w:t>代理人</w:t>
      </w:r>
      <w:r>
        <w:rPr>
          <w:rFonts w:hint="eastAsia"/>
          <w:color w:val="000000" w:themeColor="text1"/>
          <w:sz w:val="24"/>
          <w:szCs w:val="24"/>
          <w:highlight w:val="none"/>
          <w:lang w:eastAsia="zh-CN"/>
          <w14:textFill>
            <w14:solidFill>
              <w14:schemeClr w14:val="tx1"/>
            </w14:solidFill>
          </w14:textFill>
        </w:rPr>
        <w:t>：</w:t>
      </w:r>
    </w:p>
    <w:p w14:paraId="45A1692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开户银行：</w:t>
      </w:r>
    </w:p>
    <w:p w14:paraId="4D901AB4">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账  号：       </w:t>
      </w:r>
    </w:p>
    <w:p w14:paraId="60FBF5C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联系电话：                                 联系电话：</w:t>
      </w:r>
    </w:p>
    <w:p w14:paraId="26B9662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签订日期：     年    月      日            签订日期：     年    月   日</w:t>
      </w:r>
    </w:p>
    <w:p w14:paraId="772F824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p>
    <w:p w14:paraId="1E3C7A0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见证方：（招标代理公司）</w:t>
      </w:r>
    </w:p>
    <w:p w14:paraId="6110448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法定代表人或授权委托人（签字或盖章）：</w:t>
      </w:r>
    </w:p>
    <w:p w14:paraId="50C7C19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代理人：</w:t>
      </w:r>
    </w:p>
    <w:p w14:paraId="44667DE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电子邮箱：</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日期：     年    月      日</w:t>
      </w:r>
    </w:p>
    <w:p w14:paraId="4FA9711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bCs w:val="0"/>
          <w:color w:val="000000" w:themeColor="text1"/>
          <w:sz w:val="24"/>
          <w:szCs w:val="24"/>
          <w:highlight w:val="none"/>
          <w:lang w:eastAsia="zh-CN"/>
          <w14:textFill>
            <w14:solidFill>
              <w14:schemeClr w14:val="tx1"/>
            </w14:solidFill>
          </w14:textFill>
        </w:rPr>
      </w:pPr>
    </w:p>
    <w:p w14:paraId="2D04631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
          <w:bCs w:val="0"/>
          <w:color w:val="000000" w:themeColor="text1"/>
          <w:sz w:val="24"/>
          <w:szCs w:val="24"/>
          <w:highlight w:val="none"/>
          <w:lang w:eastAsia="zh-CN"/>
          <w14:textFill>
            <w14:solidFill>
              <w14:schemeClr w14:val="tx1"/>
            </w14:solidFill>
          </w14:textFill>
        </w:rPr>
        <w:t>注：若</w:t>
      </w:r>
      <w:r>
        <w:rPr>
          <w:rFonts w:hint="eastAsia"/>
          <w:b/>
          <w:color w:val="000000" w:themeColor="text1"/>
          <w:sz w:val="24"/>
          <w:szCs w:val="24"/>
          <w:highlight w:val="none"/>
          <w14:textFill>
            <w14:solidFill>
              <w14:schemeClr w14:val="tx1"/>
            </w14:solidFill>
          </w14:textFill>
        </w:rPr>
        <w:t>为被授权人或代理人签字，</w:t>
      </w:r>
      <w:r>
        <w:rPr>
          <w:rFonts w:hint="eastAsia"/>
          <w:b/>
          <w:color w:val="000000" w:themeColor="text1"/>
          <w:sz w:val="24"/>
          <w:szCs w:val="24"/>
          <w:highlight w:val="none"/>
          <w:lang w:eastAsia="zh-CN"/>
          <w14:textFill>
            <w14:solidFill>
              <w14:schemeClr w14:val="tx1"/>
            </w14:solidFill>
          </w14:textFill>
        </w:rPr>
        <w:t>请提供</w:t>
      </w:r>
      <w:r>
        <w:rPr>
          <w:rFonts w:hint="eastAsia"/>
          <w:b/>
          <w:color w:val="000000" w:themeColor="text1"/>
          <w:sz w:val="24"/>
          <w:szCs w:val="24"/>
          <w:highlight w:val="none"/>
          <w14:textFill>
            <w14:solidFill>
              <w14:schemeClr w14:val="tx1"/>
            </w14:solidFill>
          </w14:textFill>
        </w:rPr>
        <w:t>在有效期内</w:t>
      </w:r>
      <w:r>
        <w:rPr>
          <w:rFonts w:hint="eastAsia"/>
          <w:b/>
          <w:color w:val="000000" w:themeColor="text1"/>
          <w:sz w:val="24"/>
          <w:szCs w:val="24"/>
          <w:highlight w:val="none"/>
          <w:lang w:eastAsia="zh-CN"/>
          <w14:textFill>
            <w14:solidFill>
              <w14:schemeClr w14:val="tx1"/>
            </w14:solidFill>
          </w14:textFill>
        </w:rPr>
        <w:t>的</w:t>
      </w:r>
      <w:r>
        <w:rPr>
          <w:rFonts w:hint="eastAsia"/>
          <w:b/>
          <w:color w:val="000000" w:themeColor="text1"/>
          <w:sz w:val="24"/>
          <w:szCs w:val="24"/>
          <w:highlight w:val="none"/>
          <w14:textFill>
            <w14:solidFill>
              <w14:schemeClr w14:val="tx1"/>
            </w14:solidFill>
          </w14:textFill>
        </w:rPr>
        <w:t>签订本协议的授权</w:t>
      </w:r>
      <w:r>
        <w:rPr>
          <w:rFonts w:hint="eastAsia"/>
          <w:b/>
          <w:color w:val="000000" w:themeColor="text1"/>
          <w:sz w:val="24"/>
          <w:szCs w:val="24"/>
          <w:highlight w:val="none"/>
          <w:lang w:eastAsia="zh-CN"/>
          <w14:textFill>
            <w14:solidFill>
              <w14:schemeClr w14:val="tx1"/>
            </w14:solidFill>
          </w14:textFill>
        </w:rPr>
        <w:t>书。</w:t>
      </w:r>
    </w:p>
    <w:p w14:paraId="7A85B5E3">
      <w:pPr>
        <w:tabs>
          <w:tab w:val="left" w:pos="480"/>
        </w:tabs>
        <w:spacing w:line="360" w:lineRule="auto"/>
        <w:rPr>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br w:type="page"/>
      </w:r>
      <w:bookmarkStart w:id="76" w:name="_bookmark144"/>
      <w:bookmarkEnd w:id="76"/>
      <w:r>
        <w:rPr>
          <w:rFonts w:hint="eastAsia" w:ascii="宋体" w:hAnsi="宋体" w:cs="宋体"/>
          <w:b/>
          <w:bCs w:val="0"/>
          <w:color w:val="000000" w:themeColor="text1"/>
          <w:sz w:val="24"/>
          <w:szCs w:val="24"/>
          <w:highlight w:val="none"/>
          <w14:textFill>
            <w14:solidFill>
              <w14:schemeClr w14:val="tx1"/>
            </w14:solidFill>
          </w14:textFill>
        </w:rPr>
        <w:t>附件一：</w:t>
      </w:r>
    </w:p>
    <w:p w14:paraId="5376E19D">
      <w:pPr>
        <w:jc w:val="center"/>
        <w:rPr>
          <w:rFonts w:hint="eastAsia" w:ascii="方正小标宋简体" w:hAnsi="方正小标宋简体" w:eastAsia="方正小标宋简体" w:cs="方正小标宋简体"/>
          <w:b w:val="0"/>
          <w:bCs/>
          <w:color w:val="000000" w:themeColor="text1"/>
          <w:sz w:val="30"/>
          <w:szCs w:val="30"/>
          <w:highlight w:val="none"/>
          <w:lang w:eastAsia="zh-CN"/>
          <w14:textFill>
            <w14:solidFill>
              <w14:schemeClr w14:val="tx1"/>
            </w14:solidFill>
          </w14:textFill>
        </w:rPr>
      </w:pPr>
      <w:r>
        <w:rPr>
          <w:rFonts w:hint="eastAsia" w:ascii="方正小标宋简体" w:hAnsi="方正小标宋简体" w:eastAsia="方正小标宋简体" w:cs="方正小标宋简体"/>
          <w:b w:val="0"/>
          <w:bCs/>
          <w:color w:val="000000" w:themeColor="text1"/>
          <w:sz w:val="30"/>
          <w:szCs w:val="30"/>
          <w:highlight w:val="none"/>
          <w:lang w:eastAsia="zh-CN"/>
          <w14:textFill>
            <w14:solidFill>
              <w14:schemeClr w14:val="tx1"/>
            </w14:solidFill>
          </w14:textFill>
        </w:rPr>
        <w:t>合同协议书</w:t>
      </w:r>
    </w:p>
    <w:p w14:paraId="791159F7">
      <w:pPr>
        <w:pStyle w:val="7"/>
        <w:rPr>
          <w:color w:val="000000" w:themeColor="text1"/>
          <w:sz w:val="24"/>
          <w:szCs w:val="24"/>
          <w:highlight w:val="none"/>
          <w14:textFill>
            <w14:solidFill>
              <w14:schemeClr w14:val="tx1"/>
            </w14:solidFill>
          </w14:textFill>
        </w:rPr>
      </w:pPr>
    </w:p>
    <w:p w14:paraId="3A0463A1">
      <w:pPr>
        <w:pStyle w:val="7"/>
        <w:keepNext w:val="0"/>
        <w:keepLines w:val="0"/>
        <w:pageBreakBefore w:val="0"/>
        <w:widowControl w:val="0"/>
        <w:tabs>
          <w:tab w:val="left" w:pos="2457"/>
          <w:tab w:val="left" w:pos="6019"/>
          <w:tab w:val="left" w:pos="7483"/>
        </w:tabs>
        <w:kinsoku/>
        <w:wordWrap/>
        <w:overflowPunct/>
        <w:topLinePunct w:val="0"/>
        <w:autoSpaceDE/>
        <w:autoSpaceDN/>
        <w:bidi w:val="0"/>
        <w:adjustRightInd/>
        <w:snapToGrid/>
        <w:spacing w:before="227" w:line="360" w:lineRule="auto"/>
        <w:ind w:left="100" w:right="126" w:firstLine="359"/>
        <w:textAlignment w:val="auto"/>
        <w:rPr>
          <w:color w:val="000000" w:themeColor="text1"/>
          <w:sz w:val="24"/>
          <w:szCs w:val="24"/>
          <w:highlight w:val="none"/>
          <w14:textFill>
            <w14:solidFill>
              <w14:schemeClr w14:val="tx1"/>
            </w14:solidFill>
          </w14:textFill>
        </w:rPr>
      </w:pPr>
      <w:r>
        <w:rPr>
          <w:rFonts w:ascii="Times New Roman" w:hAnsi="Times New Roman" w:eastAsia="Times New Roman"/>
          <w:color w:val="000000" w:themeColor="text1"/>
          <w:w w:val="100"/>
          <w:sz w:val="24"/>
          <w:szCs w:val="24"/>
          <w:highlight w:val="none"/>
          <w:u w:val="single"/>
          <w14:textFill>
            <w14:solidFill>
              <w14:schemeClr w14:val="tx1"/>
            </w14:solidFill>
          </w14:textFill>
        </w:rPr>
        <w:t xml:space="preserve"> </w:t>
      </w:r>
      <w:r>
        <w:rPr>
          <w:rFonts w:ascii="Times New Roman" w:hAnsi="Times New Roman" w:eastAsia="Times New Roman"/>
          <w:color w:val="000000" w:themeColor="text1"/>
          <w:sz w:val="24"/>
          <w:szCs w:val="24"/>
          <w:highlight w:val="none"/>
          <w:u w:val="single"/>
          <w14:textFill>
            <w14:solidFill>
              <w14:schemeClr w14:val="tx1"/>
            </w14:solidFill>
          </w14:textFill>
        </w:rPr>
        <w:tab/>
      </w:r>
      <w:r>
        <w:rPr>
          <w:color w:val="000000" w:themeColor="text1"/>
          <w:spacing w:val="-3"/>
          <w:sz w:val="24"/>
          <w:szCs w:val="24"/>
          <w:highlight w:val="none"/>
          <w14:textFill>
            <w14:solidFill>
              <w14:schemeClr w14:val="tx1"/>
            </w14:solidFill>
          </w14:textFill>
        </w:rPr>
        <w:t>（买</w:t>
      </w:r>
      <w:r>
        <w:rPr>
          <w:color w:val="000000" w:themeColor="text1"/>
          <w:sz w:val="24"/>
          <w:szCs w:val="24"/>
          <w:highlight w:val="none"/>
          <w14:textFill>
            <w14:solidFill>
              <w14:schemeClr w14:val="tx1"/>
            </w14:solidFill>
          </w14:textFill>
        </w:rPr>
        <w:t>方名</w:t>
      </w:r>
      <w:r>
        <w:rPr>
          <w:color w:val="000000" w:themeColor="text1"/>
          <w:spacing w:val="-3"/>
          <w:sz w:val="24"/>
          <w:szCs w:val="24"/>
          <w:highlight w:val="none"/>
          <w14:textFill>
            <w14:solidFill>
              <w14:schemeClr w14:val="tx1"/>
            </w14:solidFill>
          </w14:textFill>
        </w:rPr>
        <w:t>称</w:t>
      </w:r>
      <w:r>
        <w:rPr>
          <w:color w:val="000000" w:themeColor="text1"/>
          <w:spacing w:val="-68"/>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以</w:t>
      </w:r>
      <w:r>
        <w:rPr>
          <w:color w:val="000000" w:themeColor="text1"/>
          <w:sz w:val="24"/>
          <w:szCs w:val="24"/>
          <w:highlight w:val="none"/>
          <w14:textFill>
            <w14:solidFill>
              <w14:schemeClr w14:val="tx1"/>
            </w14:solidFill>
          </w14:textFill>
        </w:rPr>
        <w:t>下</w:t>
      </w:r>
      <w:r>
        <w:rPr>
          <w:color w:val="000000" w:themeColor="text1"/>
          <w:spacing w:val="-3"/>
          <w:sz w:val="24"/>
          <w:szCs w:val="24"/>
          <w:highlight w:val="none"/>
          <w14:textFill>
            <w14:solidFill>
              <w14:schemeClr w14:val="tx1"/>
            </w14:solidFill>
          </w14:textFill>
        </w:rPr>
        <w:t>简</w:t>
      </w:r>
      <w:r>
        <w:rPr>
          <w:color w:val="000000" w:themeColor="text1"/>
          <w:sz w:val="24"/>
          <w:szCs w:val="24"/>
          <w:highlight w:val="none"/>
          <w14:textFill>
            <w14:solidFill>
              <w14:schemeClr w14:val="tx1"/>
            </w14:solidFill>
          </w14:textFill>
        </w:rPr>
        <w:t>称</w:t>
      </w:r>
      <w:r>
        <w:rPr>
          <w:rFonts w:ascii="Times New Roman" w:hAnsi="Times New Roman" w:eastAsia="Times New Roman"/>
          <w:i/>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买</w:t>
      </w:r>
      <w:r>
        <w:rPr>
          <w:color w:val="000000" w:themeColor="text1"/>
          <w:sz w:val="24"/>
          <w:szCs w:val="24"/>
          <w:highlight w:val="none"/>
          <w14:textFill>
            <w14:solidFill>
              <w14:schemeClr w14:val="tx1"/>
            </w14:solidFill>
          </w14:textFill>
        </w:rPr>
        <w:t>方</w:t>
      </w:r>
      <w:r>
        <w:rPr>
          <w:rFonts w:ascii="Times New Roman" w:hAnsi="Times New Roman" w:eastAsia="Times New Roman"/>
          <w:i/>
          <w:color w:val="000000" w:themeColor="text1"/>
          <w:spacing w:val="-36"/>
          <w:sz w:val="24"/>
          <w:szCs w:val="24"/>
          <w:highlight w:val="none"/>
          <w14:textFill>
            <w14:solidFill>
              <w14:schemeClr w14:val="tx1"/>
            </w14:solidFill>
          </w14:textFill>
        </w:rPr>
        <w:t>”</w:t>
      </w:r>
      <w:r>
        <w:rPr>
          <w:color w:val="000000" w:themeColor="text1"/>
          <w:spacing w:val="-36"/>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为获得</w:t>
      </w:r>
      <w:r>
        <w:rPr>
          <w:rFonts w:ascii="Times New Roman" w:hAnsi="Times New Roman" w:eastAsia="Times New Roman"/>
          <w:color w:val="000000" w:themeColor="text1"/>
          <w:sz w:val="24"/>
          <w:szCs w:val="24"/>
          <w:highlight w:val="none"/>
          <w:u w:val="single"/>
          <w14:textFill>
            <w14:solidFill>
              <w14:schemeClr w14:val="tx1"/>
            </w14:solidFill>
          </w14:textFill>
        </w:rPr>
        <w:t xml:space="preserve"> </w:t>
      </w:r>
      <w:r>
        <w:rPr>
          <w:rFonts w:ascii="Times New Roman" w:hAnsi="Times New Roman" w:eastAsia="Times New Roman"/>
          <w:color w:val="000000" w:themeColor="text1"/>
          <w:sz w:val="24"/>
          <w:szCs w:val="24"/>
          <w:highlight w:val="none"/>
          <w:u w:val="single"/>
          <w14:textFill>
            <w14:solidFill>
              <w14:schemeClr w14:val="tx1"/>
            </w14:solidFill>
          </w14:textFill>
        </w:rPr>
        <w:tab/>
      </w:r>
      <w:r>
        <w:rPr>
          <w:rFonts w:ascii="Times New Roman" w:hAnsi="Times New Roman" w:eastAsia="Times New Roman"/>
          <w:color w:val="000000" w:themeColor="text1"/>
          <w:sz w:val="24"/>
          <w:szCs w:val="24"/>
          <w:highlight w:val="none"/>
          <w:u w:val="single"/>
          <w14:textFill>
            <w14:solidFill>
              <w14:schemeClr w14:val="tx1"/>
            </w14:solidFill>
          </w14:textFill>
        </w:rPr>
        <w:tab/>
      </w:r>
      <w:r>
        <w:rPr>
          <w:color w:val="000000" w:themeColor="text1"/>
          <w:spacing w:val="-3"/>
          <w:sz w:val="24"/>
          <w:szCs w:val="24"/>
          <w:highlight w:val="none"/>
          <w:u w:val="single"/>
          <w14:textFill>
            <w14:solidFill>
              <w14:schemeClr w14:val="tx1"/>
            </w14:solidFill>
          </w14:textFill>
        </w:rPr>
        <w:t>（</w:t>
      </w:r>
      <w:r>
        <w:rPr>
          <w:color w:val="000000" w:themeColor="text1"/>
          <w:sz w:val="24"/>
          <w:szCs w:val="24"/>
          <w:highlight w:val="none"/>
          <w14:textFill>
            <w14:solidFill>
              <w14:schemeClr w14:val="tx1"/>
            </w14:solidFill>
          </w14:textFill>
        </w:rPr>
        <w:t>项目</w:t>
      </w:r>
      <w:r>
        <w:rPr>
          <w:color w:val="000000" w:themeColor="text1"/>
          <w:spacing w:val="-3"/>
          <w:sz w:val="24"/>
          <w:szCs w:val="24"/>
          <w:highlight w:val="none"/>
          <w14:textFill>
            <w14:solidFill>
              <w14:schemeClr w14:val="tx1"/>
            </w14:solidFill>
          </w14:textFill>
        </w:rPr>
        <w:t>名</w:t>
      </w:r>
      <w:r>
        <w:rPr>
          <w:color w:val="000000" w:themeColor="text1"/>
          <w:sz w:val="24"/>
          <w:szCs w:val="24"/>
          <w:highlight w:val="none"/>
          <w14:textFill>
            <w14:solidFill>
              <w14:schemeClr w14:val="tx1"/>
            </w14:solidFill>
          </w14:textFill>
        </w:rPr>
        <w:t>称） 合同</w:t>
      </w:r>
      <w:r>
        <w:rPr>
          <w:color w:val="000000" w:themeColor="text1"/>
          <w:spacing w:val="-3"/>
          <w:sz w:val="24"/>
          <w:szCs w:val="24"/>
          <w:highlight w:val="none"/>
          <w14:textFill>
            <w14:solidFill>
              <w14:schemeClr w14:val="tx1"/>
            </w14:solidFill>
          </w14:textFill>
        </w:rPr>
        <w:t>设</w:t>
      </w:r>
      <w:r>
        <w:rPr>
          <w:color w:val="000000" w:themeColor="text1"/>
          <w:sz w:val="24"/>
          <w:szCs w:val="24"/>
          <w:highlight w:val="none"/>
          <w14:textFill>
            <w14:solidFill>
              <w14:schemeClr w14:val="tx1"/>
            </w14:solidFill>
          </w14:textFill>
        </w:rPr>
        <w:t>备</w:t>
      </w:r>
      <w:r>
        <w:rPr>
          <w:color w:val="000000" w:themeColor="text1"/>
          <w:spacing w:val="-3"/>
          <w:sz w:val="24"/>
          <w:szCs w:val="24"/>
          <w:highlight w:val="none"/>
          <w14:textFill>
            <w14:solidFill>
              <w14:schemeClr w14:val="tx1"/>
            </w14:solidFill>
          </w14:textFill>
        </w:rPr>
        <w:t>和</w:t>
      </w:r>
      <w:r>
        <w:rPr>
          <w:color w:val="000000" w:themeColor="text1"/>
          <w:sz w:val="24"/>
          <w:szCs w:val="24"/>
          <w:highlight w:val="none"/>
          <w14:textFill>
            <w14:solidFill>
              <w14:schemeClr w14:val="tx1"/>
            </w14:solidFill>
          </w14:textFill>
        </w:rPr>
        <w:t>技</w:t>
      </w:r>
      <w:r>
        <w:rPr>
          <w:color w:val="000000" w:themeColor="text1"/>
          <w:spacing w:val="-3"/>
          <w:sz w:val="24"/>
          <w:szCs w:val="24"/>
          <w:highlight w:val="none"/>
          <w14:textFill>
            <w14:solidFill>
              <w14:schemeClr w14:val="tx1"/>
            </w14:solidFill>
          </w14:textFill>
        </w:rPr>
        <w:t>术</w:t>
      </w:r>
      <w:r>
        <w:rPr>
          <w:color w:val="000000" w:themeColor="text1"/>
          <w:sz w:val="24"/>
          <w:szCs w:val="24"/>
          <w:highlight w:val="none"/>
          <w14:textFill>
            <w14:solidFill>
              <w14:schemeClr w14:val="tx1"/>
            </w14:solidFill>
          </w14:textFill>
        </w:rPr>
        <w:t>服</w:t>
      </w:r>
      <w:r>
        <w:rPr>
          <w:color w:val="000000" w:themeColor="text1"/>
          <w:spacing w:val="-3"/>
          <w:sz w:val="24"/>
          <w:szCs w:val="24"/>
          <w:highlight w:val="none"/>
          <w14:textFill>
            <w14:solidFill>
              <w14:schemeClr w14:val="tx1"/>
            </w14:solidFill>
          </w14:textFill>
        </w:rPr>
        <w:t>务</w:t>
      </w:r>
      <w:r>
        <w:rPr>
          <w:color w:val="000000" w:themeColor="text1"/>
          <w:sz w:val="24"/>
          <w:szCs w:val="24"/>
          <w:highlight w:val="none"/>
          <w14:textFill>
            <w14:solidFill>
              <w14:schemeClr w14:val="tx1"/>
            </w14:solidFill>
          </w14:textFill>
        </w:rPr>
        <w:t>和</w:t>
      </w:r>
      <w:r>
        <w:rPr>
          <w:color w:val="000000" w:themeColor="text1"/>
          <w:spacing w:val="-3"/>
          <w:sz w:val="24"/>
          <w:szCs w:val="24"/>
          <w:highlight w:val="none"/>
          <w14:textFill>
            <w14:solidFill>
              <w14:schemeClr w14:val="tx1"/>
            </w14:solidFill>
          </w14:textFill>
        </w:rPr>
        <w:t>质</w:t>
      </w:r>
      <w:r>
        <w:rPr>
          <w:color w:val="000000" w:themeColor="text1"/>
          <w:sz w:val="24"/>
          <w:szCs w:val="24"/>
          <w:highlight w:val="none"/>
          <w14:textFill>
            <w14:solidFill>
              <w14:schemeClr w14:val="tx1"/>
            </w14:solidFill>
          </w14:textFill>
        </w:rPr>
        <w:t>保期</w:t>
      </w:r>
      <w:r>
        <w:rPr>
          <w:color w:val="000000" w:themeColor="text1"/>
          <w:spacing w:val="-3"/>
          <w:sz w:val="24"/>
          <w:szCs w:val="24"/>
          <w:highlight w:val="none"/>
          <w14:textFill>
            <w14:solidFill>
              <w14:schemeClr w14:val="tx1"/>
            </w14:solidFill>
          </w14:textFill>
        </w:rPr>
        <w:t>服务</w:t>
      </w:r>
      <w:r>
        <w:rPr>
          <w:color w:val="000000" w:themeColor="text1"/>
          <w:spacing w:val="-87"/>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已</w:t>
      </w:r>
      <w:r>
        <w:rPr>
          <w:color w:val="000000" w:themeColor="text1"/>
          <w:sz w:val="24"/>
          <w:szCs w:val="24"/>
          <w:highlight w:val="none"/>
          <w14:textFill>
            <w14:solidFill>
              <w14:schemeClr w14:val="tx1"/>
            </w14:solidFill>
          </w14:textFill>
        </w:rPr>
        <w:t>接</w:t>
      </w:r>
      <w:r>
        <w:rPr>
          <w:color w:val="000000" w:themeColor="text1"/>
          <w:spacing w:val="-3"/>
          <w:sz w:val="24"/>
          <w:szCs w:val="24"/>
          <w:highlight w:val="none"/>
          <w14:textFill>
            <w14:solidFill>
              <w14:schemeClr w14:val="tx1"/>
            </w14:solidFill>
          </w14:textFill>
        </w:rPr>
        <w:t>受</w:t>
      </w:r>
      <w:r>
        <w:rPr>
          <w:rFonts w:ascii="Times New Roman" w:hAnsi="Times New Roman" w:eastAsia="Times New Roman"/>
          <w:color w:val="000000" w:themeColor="text1"/>
          <w:spacing w:val="-3"/>
          <w:sz w:val="24"/>
          <w:szCs w:val="24"/>
          <w:highlight w:val="none"/>
          <w:u w:val="single"/>
          <w14:textFill>
            <w14:solidFill>
              <w14:schemeClr w14:val="tx1"/>
            </w14:solidFill>
          </w14:textFill>
        </w:rPr>
        <w:t xml:space="preserve"> </w:t>
      </w:r>
      <w:r>
        <w:rPr>
          <w:rFonts w:ascii="Times New Roman" w:hAnsi="Times New Roman" w:eastAsia="Times New Roman"/>
          <w:color w:val="000000" w:themeColor="text1"/>
          <w:spacing w:val="-3"/>
          <w:sz w:val="24"/>
          <w:szCs w:val="24"/>
          <w:highlight w:val="none"/>
          <w:u w:val="single"/>
          <w14:textFill>
            <w14:solidFill>
              <w14:schemeClr w14:val="tx1"/>
            </w14:solidFill>
          </w14:textFill>
        </w:rPr>
        <w:tab/>
      </w:r>
      <w:r>
        <w:rPr>
          <w:color w:val="000000" w:themeColor="text1"/>
          <w:w w:val="95"/>
          <w:sz w:val="24"/>
          <w:szCs w:val="24"/>
          <w:highlight w:val="none"/>
          <w:u w:val="single"/>
          <w14:textFill>
            <w14:solidFill>
              <w14:schemeClr w14:val="tx1"/>
            </w14:solidFill>
          </w14:textFill>
        </w:rPr>
        <w:t>（</w:t>
      </w:r>
      <w:r>
        <w:rPr>
          <w:color w:val="000000" w:themeColor="text1"/>
          <w:spacing w:val="-3"/>
          <w:w w:val="95"/>
          <w:sz w:val="24"/>
          <w:szCs w:val="24"/>
          <w:highlight w:val="none"/>
          <w14:textFill>
            <w14:solidFill>
              <w14:schemeClr w14:val="tx1"/>
            </w14:solidFill>
          </w14:textFill>
        </w:rPr>
        <w:t>卖</w:t>
      </w:r>
      <w:r>
        <w:rPr>
          <w:color w:val="000000" w:themeColor="text1"/>
          <w:w w:val="95"/>
          <w:sz w:val="24"/>
          <w:szCs w:val="24"/>
          <w:highlight w:val="none"/>
          <w14:textFill>
            <w14:solidFill>
              <w14:schemeClr w14:val="tx1"/>
            </w14:solidFill>
          </w14:textFill>
        </w:rPr>
        <w:t>方</w:t>
      </w:r>
      <w:r>
        <w:rPr>
          <w:color w:val="000000" w:themeColor="text1"/>
          <w:spacing w:val="-3"/>
          <w:w w:val="95"/>
          <w:sz w:val="24"/>
          <w:szCs w:val="24"/>
          <w:highlight w:val="none"/>
          <w14:textFill>
            <w14:solidFill>
              <w14:schemeClr w14:val="tx1"/>
            </w14:solidFill>
          </w14:textFill>
        </w:rPr>
        <w:t>名称</w:t>
      </w:r>
      <w:r>
        <w:rPr>
          <w:color w:val="000000" w:themeColor="text1"/>
          <w:spacing w:val="-89"/>
          <w:w w:val="95"/>
          <w:sz w:val="24"/>
          <w:szCs w:val="24"/>
          <w:highlight w:val="none"/>
          <w14:textFill>
            <w14:solidFill>
              <w14:schemeClr w14:val="tx1"/>
            </w14:solidFill>
          </w14:textFill>
        </w:rPr>
        <w:t>，</w:t>
      </w:r>
      <w:r>
        <w:rPr>
          <w:color w:val="000000" w:themeColor="text1"/>
          <w:w w:val="95"/>
          <w:sz w:val="24"/>
          <w:szCs w:val="24"/>
          <w:highlight w:val="none"/>
          <w14:textFill>
            <w14:solidFill>
              <w14:schemeClr w14:val="tx1"/>
            </w14:solidFill>
          </w14:textFill>
        </w:rPr>
        <w:t>以下</w:t>
      </w:r>
      <w:r>
        <w:rPr>
          <w:color w:val="000000" w:themeColor="text1"/>
          <w:spacing w:val="-3"/>
          <w:w w:val="95"/>
          <w:sz w:val="24"/>
          <w:szCs w:val="24"/>
          <w:highlight w:val="none"/>
          <w14:textFill>
            <w14:solidFill>
              <w14:schemeClr w14:val="tx1"/>
            </w14:solidFill>
          </w14:textFill>
        </w:rPr>
        <w:t>简</w:t>
      </w:r>
      <w:r>
        <w:rPr>
          <w:color w:val="000000" w:themeColor="text1"/>
          <w:w w:val="95"/>
          <w:sz w:val="24"/>
          <w:szCs w:val="24"/>
          <w:highlight w:val="none"/>
          <w14:textFill>
            <w14:solidFill>
              <w14:schemeClr w14:val="tx1"/>
            </w14:solidFill>
          </w14:textFill>
        </w:rPr>
        <w:t>称</w:t>
      </w:r>
      <w:r>
        <w:rPr>
          <w:rFonts w:ascii="Times New Roman" w:hAnsi="Times New Roman" w:eastAsia="Times New Roman"/>
          <w:i/>
          <w:color w:val="000000" w:themeColor="text1"/>
          <w:spacing w:val="-3"/>
          <w:w w:val="95"/>
          <w:sz w:val="24"/>
          <w:szCs w:val="24"/>
          <w:highlight w:val="none"/>
          <w14:textFill>
            <w14:solidFill>
              <w14:schemeClr w14:val="tx1"/>
            </w14:solidFill>
          </w14:textFill>
        </w:rPr>
        <w:t>“</w:t>
      </w:r>
      <w:r>
        <w:rPr>
          <w:color w:val="000000" w:themeColor="text1"/>
          <w:w w:val="95"/>
          <w:sz w:val="24"/>
          <w:szCs w:val="24"/>
          <w:highlight w:val="none"/>
          <w14:textFill>
            <w14:solidFill>
              <w14:schemeClr w14:val="tx1"/>
            </w14:solidFill>
          </w14:textFill>
        </w:rPr>
        <w:t>卖方</w:t>
      </w:r>
      <w:r>
        <w:rPr>
          <w:rFonts w:ascii="Times New Roman" w:hAnsi="Times New Roman" w:eastAsia="Times New Roman"/>
          <w:i/>
          <w:color w:val="000000" w:themeColor="text1"/>
          <w:w w:val="95"/>
          <w:sz w:val="24"/>
          <w:szCs w:val="24"/>
          <w:highlight w:val="none"/>
          <w14:textFill>
            <w14:solidFill>
              <w14:schemeClr w14:val="tx1"/>
            </w14:solidFill>
          </w14:textFill>
        </w:rPr>
        <w:t>”</w:t>
      </w:r>
      <w:r>
        <w:rPr>
          <w:color w:val="000000" w:themeColor="text1"/>
          <w:w w:val="95"/>
          <w:sz w:val="24"/>
          <w:szCs w:val="24"/>
          <w:highlight w:val="none"/>
          <w14:textFill>
            <w14:solidFill>
              <w14:schemeClr w14:val="tx1"/>
            </w14:solidFill>
          </w14:textFill>
        </w:rPr>
        <w:t>）</w:t>
      </w:r>
    </w:p>
    <w:p w14:paraId="5182BE73">
      <w:pPr>
        <w:pStyle w:val="7"/>
        <w:keepNext w:val="0"/>
        <w:keepLines w:val="0"/>
        <w:pageBreakBefore w:val="0"/>
        <w:widowControl w:val="0"/>
        <w:kinsoku/>
        <w:wordWrap/>
        <w:overflowPunct/>
        <w:topLinePunct w:val="0"/>
        <w:autoSpaceDE/>
        <w:autoSpaceDN/>
        <w:bidi w:val="0"/>
        <w:adjustRightInd/>
        <w:snapToGrid/>
        <w:spacing w:before="27" w:line="360" w:lineRule="auto"/>
        <w:ind w:left="100"/>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为提供上述合同设备和技术服务和质保期服务所作的投标，买方和卖方共同达成如下协议：</w:t>
      </w:r>
    </w:p>
    <w:p w14:paraId="3D494112">
      <w:pPr>
        <w:pStyle w:val="22"/>
        <w:keepNext w:val="0"/>
        <w:keepLines w:val="0"/>
        <w:pageBreakBefore w:val="0"/>
        <w:widowControl w:val="0"/>
        <w:numPr>
          <w:ilvl w:val="0"/>
          <w:numId w:val="10"/>
        </w:numPr>
        <w:tabs>
          <w:tab w:val="left" w:pos="785"/>
        </w:tabs>
        <w:kinsoku/>
        <w:wordWrap/>
        <w:overflowPunct/>
        <w:topLinePunct w:val="0"/>
        <w:autoSpaceDE/>
        <w:autoSpaceDN/>
        <w:bidi w:val="0"/>
        <w:adjustRightInd/>
        <w:snapToGrid/>
        <w:spacing w:before="163" w:after="0" w:line="360" w:lineRule="auto"/>
        <w:ind w:left="100" w:right="0" w:firstLine="420"/>
        <w:jc w:val="left"/>
        <w:textAlignment w:val="auto"/>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本协议书与下列文件一起构成合同文件：</w:t>
      </w:r>
    </w:p>
    <w:p w14:paraId="258DADEF">
      <w:pPr>
        <w:pStyle w:val="7"/>
        <w:keepNext w:val="0"/>
        <w:keepLines w:val="0"/>
        <w:pageBreakBefore w:val="0"/>
        <w:widowControl w:val="0"/>
        <w:kinsoku/>
        <w:wordWrap/>
        <w:overflowPunct/>
        <w:topLinePunct w:val="0"/>
        <w:autoSpaceDE/>
        <w:autoSpaceDN/>
        <w:bidi w:val="0"/>
        <w:adjustRightInd/>
        <w:snapToGrid/>
        <w:spacing w:before="150" w:line="360" w:lineRule="auto"/>
        <w:ind w:left="520"/>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1</w:t>
      </w:r>
      <w:r>
        <w:rPr>
          <w:color w:val="000000" w:themeColor="text1"/>
          <w:sz w:val="24"/>
          <w:szCs w:val="24"/>
          <w:highlight w:val="none"/>
          <w14:textFill>
            <w14:solidFill>
              <w14:schemeClr w14:val="tx1"/>
            </w14:solidFill>
          </w14:textFill>
        </w:rPr>
        <w:t>）中标通知书；</w:t>
      </w:r>
    </w:p>
    <w:p w14:paraId="2B04E3A5">
      <w:pPr>
        <w:pStyle w:val="7"/>
        <w:keepNext w:val="0"/>
        <w:keepLines w:val="0"/>
        <w:pageBreakBefore w:val="0"/>
        <w:widowControl w:val="0"/>
        <w:kinsoku/>
        <w:wordWrap/>
        <w:overflowPunct/>
        <w:topLinePunct w:val="0"/>
        <w:autoSpaceDE/>
        <w:autoSpaceDN/>
        <w:bidi w:val="0"/>
        <w:adjustRightInd/>
        <w:snapToGrid/>
        <w:spacing w:before="148" w:line="360" w:lineRule="auto"/>
        <w:ind w:left="520"/>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2</w:t>
      </w:r>
      <w:r>
        <w:rPr>
          <w:color w:val="000000" w:themeColor="text1"/>
          <w:sz w:val="24"/>
          <w:szCs w:val="24"/>
          <w:highlight w:val="none"/>
          <w14:textFill>
            <w14:solidFill>
              <w14:schemeClr w14:val="tx1"/>
            </w14:solidFill>
          </w14:textFill>
        </w:rPr>
        <w:t>）投标函；</w:t>
      </w:r>
    </w:p>
    <w:p w14:paraId="74368CDE">
      <w:pPr>
        <w:pStyle w:val="7"/>
        <w:keepNext w:val="0"/>
        <w:keepLines w:val="0"/>
        <w:pageBreakBefore w:val="0"/>
        <w:widowControl w:val="0"/>
        <w:kinsoku/>
        <w:wordWrap/>
        <w:overflowPunct/>
        <w:topLinePunct w:val="0"/>
        <w:autoSpaceDE/>
        <w:autoSpaceDN/>
        <w:bidi w:val="0"/>
        <w:adjustRightInd/>
        <w:snapToGrid/>
        <w:spacing w:before="148" w:line="360" w:lineRule="auto"/>
        <w:ind w:left="520"/>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3</w:t>
      </w:r>
      <w:r>
        <w:rPr>
          <w:color w:val="000000" w:themeColor="text1"/>
          <w:sz w:val="24"/>
          <w:szCs w:val="24"/>
          <w:highlight w:val="none"/>
          <w14:textFill>
            <w14:solidFill>
              <w14:schemeClr w14:val="tx1"/>
            </w14:solidFill>
          </w14:textFill>
        </w:rPr>
        <w:t>）商务和技术偏差表；</w:t>
      </w:r>
    </w:p>
    <w:p w14:paraId="16DA5EAB">
      <w:pPr>
        <w:pStyle w:val="7"/>
        <w:keepNext w:val="0"/>
        <w:keepLines w:val="0"/>
        <w:pageBreakBefore w:val="0"/>
        <w:widowControl w:val="0"/>
        <w:kinsoku/>
        <w:wordWrap/>
        <w:overflowPunct/>
        <w:topLinePunct w:val="0"/>
        <w:autoSpaceDE/>
        <w:autoSpaceDN/>
        <w:bidi w:val="0"/>
        <w:adjustRightInd/>
        <w:snapToGrid/>
        <w:spacing w:before="150" w:line="360" w:lineRule="auto"/>
        <w:ind w:left="520"/>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4</w:t>
      </w:r>
      <w:r>
        <w:rPr>
          <w:color w:val="000000" w:themeColor="text1"/>
          <w:sz w:val="24"/>
          <w:szCs w:val="24"/>
          <w:highlight w:val="none"/>
          <w14:textFill>
            <w14:solidFill>
              <w14:schemeClr w14:val="tx1"/>
            </w14:solidFill>
          </w14:textFill>
        </w:rPr>
        <w:t>）专用合同条款；</w:t>
      </w:r>
    </w:p>
    <w:p w14:paraId="0EFC9DBD">
      <w:pPr>
        <w:pStyle w:val="7"/>
        <w:keepNext w:val="0"/>
        <w:keepLines w:val="0"/>
        <w:pageBreakBefore w:val="0"/>
        <w:widowControl w:val="0"/>
        <w:kinsoku/>
        <w:wordWrap/>
        <w:overflowPunct/>
        <w:topLinePunct w:val="0"/>
        <w:autoSpaceDE/>
        <w:autoSpaceDN/>
        <w:bidi w:val="0"/>
        <w:adjustRightInd/>
        <w:snapToGrid/>
        <w:spacing w:before="147" w:line="360" w:lineRule="auto"/>
        <w:ind w:left="520"/>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5</w:t>
      </w:r>
      <w:r>
        <w:rPr>
          <w:color w:val="000000" w:themeColor="text1"/>
          <w:sz w:val="24"/>
          <w:szCs w:val="24"/>
          <w:highlight w:val="none"/>
          <w14:textFill>
            <w14:solidFill>
              <w14:schemeClr w14:val="tx1"/>
            </w14:solidFill>
          </w14:textFill>
        </w:rPr>
        <w:t>）通用合同条款；</w:t>
      </w:r>
    </w:p>
    <w:p w14:paraId="3586152B">
      <w:pPr>
        <w:pStyle w:val="7"/>
        <w:keepNext w:val="0"/>
        <w:keepLines w:val="0"/>
        <w:pageBreakBefore w:val="0"/>
        <w:widowControl w:val="0"/>
        <w:kinsoku/>
        <w:wordWrap/>
        <w:overflowPunct/>
        <w:topLinePunct w:val="0"/>
        <w:autoSpaceDE/>
        <w:autoSpaceDN/>
        <w:bidi w:val="0"/>
        <w:adjustRightInd/>
        <w:snapToGrid/>
        <w:spacing w:before="148" w:line="360" w:lineRule="auto"/>
        <w:ind w:left="520"/>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6</w:t>
      </w:r>
      <w:r>
        <w:rPr>
          <w:color w:val="000000" w:themeColor="text1"/>
          <w:sz w:val="24"/>
          <w:szCs w:val="24"/>
          <w:highlight w:val="none"/>
          <w14:textFill>
            <w14:solidFill>
              <w14:schemeClr w14:val="tx1"/>
            </w14:solidFill>
          </w14:textFill>
        </w:rPr>
        <w:t>）供货要求；</w:t>
      </w:r>
    </w:p>
    <w:p w14:paraId="581B9EDC">
      <w:pPr>
        <w:pStyle w:val="7"/>
        <w:keepNext w:val="0"/>
        <w:keepLines w:val="0"/>
        <w:pageBreakBefore w:val="0"/>
        <w:widowControl w:val="0"/>
        <w:kinsoku/>
        <w:wordWrap/>
        <w:overflowPunct/>
        <w:topLinePunct w:val="0"/>
        <w:autoSpaceDE/>
        <w:autoSpaceDN/>
        <w:bidi w:val="0"/>
        <w:adjustRightInd/>
        <w:snapToGrid/>
        <w:spacing w:before="150" w:line="360" w:lineRule="auto"/>
        <w:ind w:left="520"/>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7</w:t>
      </w:r>
      <w:r>
        <w:rPr>
          <w:color w:val="000000" w:themeColor="text1"/>
          <w:sz w:val="24"/>
          <w:szCs w:val="24"/>
          <w:highlight w:val="none"/>
          <w14:textFill>
            <w14:solidFill>
              <w14:schemeClr w14:val="tx1"/>
            </w14:solidFill>
          </w14:textFill>
        </w:rPr>
        <w:t>）分项报价表；</w:t>
      </w:r>
    </w:p>
    <w:p w14:paraId="624AE577">
      <w:pPr>
        <w:pStyle w:val="7"/>
        <w:keepNext w:val="0"/>
        <w:keepLines w:val="0"/>
        <w:pageBreakBefore w:val="0"/>
        <w:widowControl w:val="0"/>
        <w:kinsoku/>
        <w:wordWrap/>
        <w:overflowPunct/>
        <w:topLinePunct w:val="0"/>
        <w:autoSpaceDE/>
        <w:autoSpaceDN/>
        <w:bidi w:val="0"/>
        <w:adjustRightInd/>
        <w:snapToGrid/>
        <w:spacing w:before="147" w:line="360" w:lineRule="auto"/>
        <w:ind w:left="520"/>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8</w:t>
      </w:r>
      <w:r>
        <w:rPr>
          <w:color w:val="000000" w:themeColor="text1"/>
          <w:sz w:val="24"/>
          <w:szCs w:val="24"/>
          <w:highlight w:val="none"/>
          <w14:textFill>
            <w14:solidFill>
              <w14:schemeClr w14:val="tx1"/>
            </w14:solidFill>
          </w14:textFill>
        </w:rPr>
        <w:t>）中标设备技术性能指标的详细描述；</w:t>
      </w:r>
    </w:p>
    <w:p w14:paraId="4887BF88">
      <w:pPr>
        <w:pStyle w:val="7"/>
        <w:keepNext w:val="0"/>
        <w:keepLines w:val="0"/>
        <w:pageBreakBefore w:val="0"/>
        <w:widowControl w:val="0"/>
        <w:kinsoku/>
        <w:wordWrap/>
        <w:overflowPunct/>
        <w:topLinePunct w:val="0"/>
        <w:autoSpaceDE/>
        <w:autoSpaceDN/>
        <w:bidi w:val="0"/>
        <w:adjustRightInd/>
        <w:snapToGrid/>
        <w:spacing w:before="147" w:line="360" w:lineRule="auto"/>
        <w:ind w:left="520"/>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9</w:t>
      </w:r>
      <w:r>
        <w:rPr>
          <w:color w:val="000000" w:themeColor="text1"/>
          <w:sz w:val="24"/>
          <w:szCs w:val="24"/>
          <w:highlight w:val="none"/>
          <w14:textFill>
            <w14:solidFill>
              <w14:schemeClr w14:val="tx1"/>
            </w14:solidFill>
          </w14:textFill>
        </w:rPr>
        <w:t>）技术服务和质保期服务计划；</w:t>
      </w:r>
    </w:p>
    <w:p w14:paraId="5D2E3CB5">
      <w:pPr>
        <w:pStyle w:val="7"/>
        <w:keepNext w:val="0"/>
        <w:keepLines w:val="0"/>
        <w:pageBreakBefore w:val="0"/>
        <w:widowControl w:val="0"/>
        <w:kinsoku/>
        <w:wordWrap/>
        <w:overflowPunct/>
        <w:topLinePunct w:val="0"/>
        <w:autoSpaceDE/>
        <w:autoSpaceDN/>
        <w:bidi w:val="0"/>
        <w:adjustRightInd/>
        <w:snapToGrid/>
        <w:spacing w:before="150" w:line="360" w:lineRule="auto"/>
        <w:ind w:left="520"/>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w:t>
      </w:r>
      <w:r>
        <w:rPr>
          <w:rFonts w:ascii="Times New Roman" w:eastAsia="Times New Roman"/>
          <w:color w:val="000000" w:themeColor="text1"/>
          <w:sz w:val="24"/>
          <w:szCs w:val="24"/>
          <w:highlight w:val="none"/>
          <w14:textFill>
            <w14:solidFill>
              <w14:schemeClr w14:val="tx1"/>
            </w14:solidFill>
          </w14:textFill>
        </w:rPr>
        <w:t>10</w:t>
      </w:r>
      <w:r>
        <w:rPr>
          <w:color w:val="000000" w:themeColor="text1"/>
          <w:sz w:val="24"/>
          <w:szCs w:val="24"/>
          <w:highlight w:val="none"/>
          <w14:textFill>
            <w14:solidFill>
              <w14:schemeClr w14:val="tx1"/>
            </w14:solidFill>
          </w14:textFill>
        </w:rPr>
        <w:t>）其他合同文件。</w:t>
      </w:r>
    </w:p>
    <w:p w14:paraId="28986143">
      <w:pPr>
        <w:pStyle w:val="22"/>
        <w:keepNext w:val="0"/>
        <w:keepLines w:val="0"/>
        <w:pageBreakBefore w:val="0"/>
        <w:widowControl w:val="0"/>
        <w:numPr>
          <w:ilvl w:val="0"/>
          <w:numId w:val="10"/>
        </w:numPr>
        <w:tabs>
          <w:tab w:val="left" w:pos="785"/>
        </w:tabs>
        <w:kinsoku/>
        <w:wordWrap/>
        <w:overflowPunct/>
        <w:topLinePunct w:val="0"/>
        <w:autoSpaceDE/>
        <w:autoSpaceDN/>
        <w:bidi w:val="0"/>
        <w:adjustRightInd/>
        <w:snapToGrid/>
        <w:spacing w:before="148" w:after="0" w:line="360" w:lineRule="auto"/>
        <w:ind w:left="100" w:right="213" w:firstLine="420"/>
        <w:jc w:val="left"/>
        <w:textAlignment w:val="auto"/>
        <w:rPr>
          <w:color w:val="000000" w:themeColor="text1"/>
          <w:sz w:val="24"/>
          <w:szCs w:val="24"/>
          <w:highlight w:val="none"/>
          <w14:textFill>
            <w14:solidFill>
              <w14:schemeClr w14:val="tx1"/>
            </w14:solidFill>
          </w14:textFill>
        </w:rPr>
      </w:pPr>
      <w:r>
        <w:rPr>
          <w:color w:val="000000" w:themeColor="text1"/>
          <w:spacing w:val="-5"/>
          <w:sz w:val="24"/>
          <w:szCs w:val="24"/>
          <w:highlight w:val="none"/>
          <w14:textFill>
            <w14:solidFill>
              <w14:schemeClr w14:val="tx1"/>
            </w14:solidFill>
          </w14:textFill>
        </w:rPr>
        <w:t>上述合同文件互相补充和解释。如果合同文件之间存在矛盾或不一致之处，以上述文件</w:t>
      </w:r>
      <w:r>
        <w:rPr>
          <w:color w:val="000000" w:themeColor="text1"/>
          <w:spacing w:val="-4"/>
          <w:sz w:val="24"/>
          <w:szCs w:val="24"/>
          <w:highlight w:val="none"/>
          <w14:textFill>
            <w14:solidFill>
              <w14:schemeClr w14:val="tx1"/>
            </w14:solidFill>
          </w14:textFill>
        </w:rPr>
        <w:t>的排列顺序在先者为准。</w:t>
      </w:r>
    </w:p>
    <w:p w14:paraId="3300DC29">
      <w:pPr>
        <w:pStyle w:val="22"/>
        <w:keepNext w:val="0"/>
        <w:keepLines w:val="0"/>
        <w:pageBreakBefore w:val="0"/>
        <w:widowControl w:val="0"/>
        <w:numPr>
          <w:ilvl w:val="0"/>
          <w:numId w:val="10"/>
        </w:numPr>
        <w:tabs>
          <w:tab w:val="left" w:pos="785"/>
          <w:tab w:val="left" w:pos="4984"/>
          <w:tab w:val="left" w:pos="6768"/>
        </w:tabs>
        <w:kinsoku/>
        <w:wordWrap/>
        <w:overflowPunct/>
        <w:topLinePunct w:val="0"/>
        <w:autoSpaceDE/>
        <w:autoSpaceDN/>
        <w:bidi w:val="0"/>
        <w:adjustRightInd/>
        <w:snapToGrid/>
        <w:spacing w:before="59" w:after="0" w:line="360" w:lineRule="auto"/>
        <w:ind w:left="784" w:right="0" w:hanging="264"/>
        <w:jc w:val="left"/>
        <w:textAlignment w:val="auto"/>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签</w:t>
      </w:r>
      <w:r>
        <w:rPr>
          <w:color w:val="000000" w:themeColor="text1"/>
          <w:sz w:val="24"/>
          <w:szCs w:val="24"/>
          <w:highlight w:val="none"/>
          <w14:textFill>
            <w14:solidFill>
              <w14:schemeClr w14:val="tx1"/>
            </w14:solidFill>
          </w14:textFill>
        </w:rPr>
        <w:t>约</w:t>
      </w:r>
      <w:r>
        <w:rPr>
          <w:color w:val="000000" w:themeColor="text1"/>
          <w:spacing w:val="-3"/>
          <w:sz w:val="24"/>
          <w:szCs w:val="24"/>
          <w:highlight w:val="none"/>
          <w14:textFill>
            <w14:solidFill>
              <w14:schemeClr w14:val="tx1"/>
            </w14:solidFill>
          </w14:textFill>
        </w:rPr>
        <w:t>合</w:t>
      </w:r>
      <w:r>
        <w:rPr>
          <w:color w:val="000000" w:themeColor="text1"/>
          <w:sz w:val="24"/>
          <w:szCs w:val="24"/>
          <w:highlight w:val="none"/>
          <w14:textFill>
            <w14:solidFill>
              <w14:schemeClr w14:val="tx1"/>
            </w14:solidFill>
          </w14:textFill>
        </w:rPr>
        <w:t>同</w:t>
      </w:r>
      <w:r>
        <w:rPr>
          <w:color w:val="000000" w:themeColor="text1"/>
          <w:spacing w:val="-3"/>
          <w:sz w:val="24"/>
          <w:szCs w:val="24"/>
          <w:highlight w:val="none"/>
          <w14:textFill>
            <w14:solidFill>
              <w14:schemeClr w14:val="tx1"/>
            </w14:solidFill>
          </w14:textFill>
        </w:rPr>
        <w:t>价</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人</w:t>
      </w:r>
      <w:r>
        <w:rPr>
          <w:color w:val="000000" w:themeColor="text1"/>
          <w:sz w:val="24"/>
          <w:szCs w:val="24"/>
          <w:highlight w:val="none"/>
          <w14:textFill>
            <w14:solidFill>
              <w14:schemeClr w14:val="tx1"/>
            </w14:solidFill>
          </w14:textFill>
        </w:rPr>
        <w:t>民</w:t>
      </w:r>
      <w:r>
        <w:rPr>
          <w:color w:val="000000" w:themeColor="text1"/>
          <w:spacing w:val="-3"/>
          <w:sz w:val="24"/>
          <w:szCs w:val="24"/>
          <w:highlight w:val="none"/>
          <w14:textFill>
            <w14:solidFill>
              <w14:schemeClr w14:val="tx1"/>
            </w14:solidFill>
          </w14:textFill>
        </w:rPr>
        <w:t>币（</w:t>
      </w:r>
      <w:r>
        <w:rPr>
          <w:color w:val="000000" w:themeColor="text1"/>
          <w:sz w:val="24"/>
          <w:szCs w:val="24"/>
          <w:highlight w:val="none"/>
          <w14:textFill>
            <w14:solidFill>
              <w14:schemeClr w14:val="tx1"/>
            </w14:solidFill>
          </w14:textFill>
        </w:rPr>
        <w:t>大写</w:t>
      </w:r>
      <w:r>
        <w:rPr>
          <w:color w:val="000000" w:themeColor="text1"/>
          <w:spacing w:val="-3"/>
          <w:sz w:val="24"/>
          <w:szCs w:val="24"/>
          <w:highlight w:val="none"/>
          <w14:textFill>
            <w14:solidFill>
              <w14:schemeClr w14:val="tx1"/>
            </w14:solidFill>
          </w14:textFill>
        </w:rPr>
        <w:t>）</w:t>
      </w:r>
      <w:r>
        <w:rPr>
          <w:rFonts w:ascii="Times New Roman" w:hAnsi="Times New Roman" w:eastAsia="Times New Roman"/>
          <w:color w:val="000000" w:themeColor="text1"/>
          <w:spacing w:val="-3"/>
          <w:sz w:val="24"/>
          <w:szCs w:val="24"/>
          <w:highlight w:val="none"/>
          <w:u w:val="single"/>
          <w14:textFill>
            <w14:solidFill>
              <w14:schemeClr w14:val="tx1"/>
            </w14:solidFill>
          </w14:textFill>
        </w:rPr>
        <w:t xml:space="preserve"> </w:t>
      </w:r>
      <w:r>
        <w:rPr>
          <w:rFonts w:ascii="Times New Roman" w:hAnsi="Times New Roman" w:eastAsia="Times New Roman"/>
          <w:color w:val="000000" w:themeColor="text1"/>
          <w:spacing w:val="-3"/>
          <w:sz w:val="24"/>
          <w:szCs w:val="24"/>
          <w:highlight w:val="none"/>
          <w:u w:val="single"/>
          <w14:textFill>
            <w14:solidFill>
              <w14:schemeClr w14:val="tx1"/>
            </w14:solidFill>
          </w14:textFill>
        </w:rPr>
        <w:tab/>
      </w:r>
      <w:r>
        <w:rPr>
          <w:color w:val="000000" w:themeColor="text1"/>
          <w:spacing w:val="-3"/>
          <w:sz w:val="24"/>
          <w:szCs w:val="24"/>
          <w:highlight w:val="none"/>
          <w14:textFill>
            <w14:solidFill>
              <w14:schemeClr w14:val="tx1"/>
            </w14:solidFill>
          </w14:textFill>
        </w:rPr>
        <w:t>（</w:t>
      </w:r>
      <w:r>
        <w:rPr>
          <w:rFonts w:ascii="Times New Roman" w:hAnsi="Times New Roman" w:eastAsia="Times New Roman"/>
          <w:color w:val="000000" w:themeColor="text1"/>
          <w:spacing w:val="-3"/>
          <w:sz w:val="24"/>
          <w:szCs w:val="24"/>
          <w:highlight w:val="none"/>
          <w14:textFill>
            <w14:solidFill>
              <w14:schemeClr w14:val="tx1"/>
            </w14:solidFill>
          </w14:textFill>
        </w:rPr>
        <w:t>¥</w:t>
      </w:r>
      <w:r>
        <w:rPr>
          <w:rFonts w:ascii="Times New Roman" w:hAnsi="Times New Roman" w:eastAsia="Times New Roman"/>
          <w:color w:val="000000" w:themeColor="text1"/>
          <w:spacing w:val="-3"/>
          <w:sz w:val="24"/>
          <w:szCs w:val="24"/>
          <w:highlight w:val="none"/>
          <w:u w:val="single"/>
          <w14:textFill>
            <w14:solidFill>
              <w14:schemeClr w14:val="tx1"/>
            </w14:solidFill>
          </w14:textFill>
        </w:rPr>
        <w:t xml:space="preserve"> </w:t>
      </w:r>
      <w:r>
        <w:rPr>
          <w:rFonts w:ascii="Times New Roman" w:hAnsi="Times New Roman" w:eastAsia="Times New Roman"/>
          <w:color w:val="000000" w:themeColor="text1"/>
          <w:spacing w:val="-3"/>
          <w:sz w:val="24"/>
          <w:szCs w:val="24"/>
          <w:highlight w:val="none"/>
          <w:u w:val="single"/>
          <w14:textFill>
            <w14:solidFill>
              <w14:schemeClr w14:val="tx1"/>
            </w14:solidFill>
          </w14:textFill>
        </w:rPr>
        <w:tab/>
      </w:r>
      <w:r>
        <w:rPr>
          <w:color w:val="000000" w:themeColor="text1"/>
          <w:spacing w:val="-106"/>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w:t>
      </w:r>
    </w:p>
    <w:p w14:paraId="5024C353">
      <w:pPr>
        <w:pStyle w:val="22"/>
        <w:keepNext w:val="0"/>
        <w:keepLines w:val="0"/>
        <w:pageBreakBefore w:val="0"/>
        <w:widowControl w:val="0"/>
        <w:numPr>
          <w:ilvl w:val="0"/>
          <w:numId w:val="10"/>
        </w:numPr>
        <w:tabs>
          <w:tab w:val="left" w:pos="785"/>
        </w:tabs>
        <w:kinsoku/>
        <w:wordWrap/>
        <w:overflowPunct/>
        <w:topLinePunct w:val="0"/>
        <w:autoSpaceDE/>
        <w:autoSpaceDN/>
        <w:bidi w:val="0"/>
        <w:adjustRightInd/>
        <w:snapToGrid/>
        <w:spacing w:before="148" w:after="0" w:line="360" w:lineRule="auto"/>
        <w:ind w:left="784" w:right="0" w:hanging="264"/>
        <w:jc w:val="left"/>
        <w:textAlignment w:val="auto"/>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卖方承诺保证完全按照合同约定提供合同设备和技术服务和质保期服务并修补缺陷。</w:t>
      </w:r>
    </w:p>
    <w:p w14:paraId="34CFA6D7">
      <w:pPr>
        <w:pStyle w:val="22"/>
        <w:keepNext w:val="0"/>
        <w:keepLines w:val="0"/>
        <w:pageBreakBefore w:val="0"/>
        <w:widowControl w:val="0"/>
        <w:numPr>
          <w:ilvl w:val="0"/>
          <w:numId w:val="10"/>
        </w:numPr>
        <w:tabs>
          <w:tab w:val="left" w:pos="785"/>
        </w:tabs>
        <w:kinsoku/>
        <w:wordWrap/>
        <w:overflowPunct/>
        <w:topLinePunct w:val="0"/>
        <w:autoSpaceDE/>
        <w:autoSpaceDN/>
        <w:bidi w:val="0"/>
        <w:adjustRightInd/>
        <w:snapToGrid/>
        <w:spacing w:before="148" w:after="0" w:line="360" w:lineRule="auto"/>
        <w:ind w:left="784" w:right="0" w:hanging="264"/>
        <w:jc w:val="left"/>
        <w:textAlignment w:val="auto"/>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买方承诺保证按照合同约定的条件、时间和方式向卖方支付合同价款。</w:t>
      </w:r>
    </w:p>
    <w:p w14:paraId="45B990EC">
      <w:pPr>
        <w:pStyle w:val="22"/>
        <w:keepNext w:val="0"/>
        <w:keepLines w:val="0"/>
        <w:pageBreakBefore w:val="0"/>
        <w:widowControl w:val="0"/>
        <w:numPr>
          <w:ilvl w:val="0"/>
          <w:numId w:val="10"/>
        </w:numPr>
        <w:tabs>
          <w:tab w:val="left" w:pos="785"/>
          <w:tab w:val="left" w:pos="3199"/>
          <w:tab w:val="left" w:pos="5614"/>
        </w:tabs>
        <w:kinsoku/>
        <w:wordWrap/>
        <w:overflowPunct/>
        <w:topLinePunct w:val="0"/>
        <w:autoSpaceDE/>
        <w:autoSpaceDN/>
        <w:bidi w:val="0"/>
        <w:adjustRightInd/>
        <w:snapToGrid/>
        <w:spacing w:before="150" w:after="0" w:line="360" w:lineRule="auto"/>
        <w:ind w:left="784" w:right="0" w:hanging="264"/>
        <w:jc w:val="left"/>
        <w:textAlignment w:val="auto"/>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本</w:t>
      </w:r>
      <w:r>
        <w:rPr>
          <w:color w:val="000000" w:themeColor="text1"/>
          <w:sz w:val="24"/>
          <w:szCs w:val="24"/>
          <w:highlight w:val="none"/>
          <w14:textFill>
            <w14:solidFill>
              <w14:schemeClr w14:val="tx1"/>
            </w14:solidFill>
          </w14:textFill>
        </w:rPr>
        <w:t>合</w:t>
      </w:r>
      <w:r>
        <w:rPr>
          <w:color w:val="000000" w:themeColor="text1"/>
          <w:spacing w:val="-3"/>
          <w:sz w:val="24"/>
          <w:szCs w:val="24"/>
          <w:highlight w:val="none"/>
          <w14:textFill>
            <w14:solidFill>
              <w14:schemeClr w14:val="tx1"/>
            </w14:solidFill>
          </w14:textFill>
        </w:rPr>
        <w:t>同</w:t>
      </w:r>
      <w:r>
        <w:rPr>
          <w:color w:val="000000" w:themeColor="text1"/>
          <w:sz w:val="24"/>
          <w:szCs w:val="24"/>
          <w:highlight w:val="none"/>
          <w14:textFill>
            <w14:solidFill>
              <w14:schemeClr w14:val="tx1"/>
            </w14:solidFill>
          </w14:textFill>
        </w:rPr>
        <w:t>协</w:t>
      </w:r>
      <w:r>
        <w:rPr>
          <w:color w:val="000000" w:themeColor="text1"/>
          <w:spacing w:val="-3"/>
          <w:sz w:val="24"/>
          <w:szCs w:val="24"/>
          <w:highlight w:val="none"/>
          <w14:textFill>
            <w14:solidFill>
              <w14:schemeClr w14:val="tx1"/>
            </w14:solidFill>
          </w14:textFill>
        </w:rPr>
        <w:t>议</w:t>
      </w:r>
      <w:r>
        <w:rPr>
          <w:color w:val="000000" w:themeColor="text1"/>
          <w:sz w:val="24"/>
          <w:szCs w:val="24"/>
          <w:highlight w:val="none"/>
          <w14:textFill>
            <w14:solidFill>
              <w14:schemeClr w14:val="tx1"/>
            </w14:solidFill>
          </w14:textFill>
        </w:rPr>
        <w:t>书</w:t>
      </w:r>
      <w:r>
        <w:rPr>
          <w:color w:val="000000" w:themeColor="text1"/>
          <w:spacing w:val="-3"/>
          <w:sz w:val="24"/>
          <w:szCs w:val="24"/>
          <w:highlight w:val="none"/>
          <w14:textFill>
            <w14:solidFill>
              <w14:schemeClr w14:val="tx1"/>
            </w14:solidFill>
          </w14:textFill>
        </w:rPr>
        <w:t>一</w:t>
      </w:r>
      <w:r>
        <w:rPr>
          <w:color w:val="000000" w:themeColor="text1"/>
          <w:sz w:val="24"/>
          <w:szCs w:val="24"/>
          <w:highlight w:val="none"/>
          <w14:textFill>
            <w14:solidFill>
              <w14:schemeClr w14:val="tx1"/>
            </w14:solidFill>
          </w14:textFill>
        </w:rPr>
        <w:t>式</w:t>
      </w:r>
      <w:r>
        <w:rPr>
          <w:rFonts w:ascii="Times New Roman" w:eastAsia="Times New Roman"/>
          <w:color w:val="000000" w:themeColor="text1"/>
          <w:sz w:val="24"/>
          <w:szCs w:val="24"/>
          <w:highlight w:val="none"/>
          <w:u w:val="single"/>
          <w14:textFill>
            <w14:solidFill>
              <w14:schemeClr w14:val="tx1"/>
            </w14:solidFill>
          </w14:textFill>
        </w:rPr>
        <w:t xml:space="preserve"> </w:t>
      </w:r>
      <w:r>
        <w:rPr>
          <w:rFonts w:ascii="Times New Roman" w:eastAsia="Times New Roman"/>
          <w:color w:val="000000" w:themeColor="text1"/>
          <w:sz w:val="24"/>
          <w:szCs w:val="24"/>
          <w:highlight w:val="none"/>
          <w:u w:val="single"/>
          <w14:textFill>
            <w14:solidFill>
              <w14:schemeClr w14:val="tx1"/>
            </w14:solidFill>
          </w14:textFill>
        </w:rPr>
        <w:tab/>
      </w:r>
      <w:r>
        <w:rPr>
          <w:color w:val="000000" w:themeColor="text1"/>
          <w:spacing w:val="-3"/>
          <w:sz w:val="24"/>
          <w:szCs w:val="24"/>
          <w:highlight w:val="none"/>
          <w14:textFill>
            <w14:solidFill>
              <w14:schemeClr w14:val="tx1"/>
            </w14:solidFill>
          </w14:textFill>
        </w:rPr>
        <w:t>份</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合</w:t>
      </w:r>
      <w:r>
        <w:rPr>
          <w:color w:val="000000" w:themeColor="text1"/>
          <w:sz w:val="24"/>
          <w:szCs w:val="24"/>
          <w:highlight w:val="none"/>
          <w14:textFill>
            <w14:solidFill>
              <w14:schemeClr w14:val="tx1"/>
            </w14:solidFill>
          </w14:textFill>
        </w:rPr>
        <w:t>同</w:t>
      </w:r>
      <w:r>
        <w:rPr>
          <w:color w:val="000000" w:themeColor="text1"/>
          <w:spacing w:val="-3"/>
          <w:sz w:val="24"/>
          <w:szCs w:val="24"/>
          <w:highlight w:val="none"/>
          <w14:textFill>
            <w14:solidFill>
              <w14:schemeClr w14:val="tx1"/>
            </w14:solidFill>
          </w14:textFill>
        </w:rPr>
        <w:t>双</w:t>
      </w:r>
      <w:r>
        <w:rPr>
          <w:color w:val="000000" w:themeColor="text1"/>
          <w:sz w:val="24"/>
          <w:szCs w:val="24"/>
          <w:highlight w:val="none"/>
          <w14:textFill>
            <w14:solidFill>
              <w14:schemeClr w14:val="tx1"/>
            </w14:solidFill>
          </w14:textFill>
        </w:rPr>
        <w:t>方</w:t>
      </w:r>
      <w:r>
        <w:rPr>
          <w:color w:val="000000" w:themeColor="text1"/>
          <w:spacing w:val="-3"/>
          <w:sz w:val="24"/>
          <w:szCs w:val="24"/>
          <w:highlight w:val="none"/>
          <w14:textFill>
            <w14:solidFill>
              <w14:schemeClr w14:val="tx1"/>
            </w14:solidFill>
          </w14:textFill>
        </w:rPr>
        <w:t>各</w:t>
      </w:r>
      <w:r>
        <w:rPr>
          <w:color w:val="000000" w:themeColor="text1"/>
          <w:sz w:val="24"/>
          <w:szCs w:val="24"/>
          <w:highlight w:val="none"/>
          <w14:textFill>
            <w14:solidFill>
              <w14:schemeClr w14:val="tx1"/>
            </w14:solidFill>
          </w14:textFill>
        </w:rPr>
        <w:t>执</w:t>
      </w:r>
      <w:r>
        <w:rPr>
          <w:rFonts w:ascii="Times New Roman" w:eastAsia="Times New Roman"/>
          <w:color w:val="000000" w:themeColor="text1"/>
          <w:sz w:val="24"/>
          <w:szCs w:val="24"/>
          <w:highlight w:val="none"/>
          <w:u w:val="single"/>
          <w14:textFill>
            <w14:solidFill>
              <w14:schemeClr w14:val="tx1"/>
            </w14:solidFill>
          </w14:textFill>
        </w:rPr>
        <w:t xml:space="preserve"> </w:t>
      </w:r>
      <w:r>
        <w:rPr>
          <w:rFonts w:ascii="Times New Roman" w:eastAsia="Times New Roman"/>
          <w:color w:val="000000" w:themeColor="text1"/>
          <w:sz w:val="24"/>
          <w:szCs w:val="24"/>
          <w:highlight w:val="none"/>
          <w:u w:val="single"/>
          <w14:textFill>
            <w14:solidFill>
              <w14:schemeClr w14:val="tx1"/>
            </w14:solidFill>
          </w14:textFill>
        </w:rPr>
        <w:tab/>
      </w:r>
      <w:r>
        <w:rPr>
          <w:color w:val="000000" w:themeColor="text1"/>
          <w:spacing w:val="-3"/>
          <w:sz w:val="24"/>
          <w:szCs w:val="24"/>
          <w:highlight w:val="none"/>
          <w14:textFill>
            <w14:solidFill>
              <w14:schemeClr w14:val="tx1"/>
            </w14:solidFill>
          </w14:textFill>
        </w:rPr>
        <w:t>份。</w:t>
      </w:r>
    </w:p>
    <w:p w14:paraId="356228BE">
      <w:pPr>
        <w:pStyle w:val="22"/>
        <w:keepNext w:val="0"/>
        <w:keepLines w:val="0"/>
        <w:pageBreakBefore w:val="0"/>
        <w:widowControl w:val="0"/>
        <w:numPr>
          <w:ilvl w:val="0"/>
          <w:numId w:val="10"/>
        </w:numPr>
        <w:tabs>
          <w:tab w:val="left" w:pos="785"/>
        </w:tabs>
        <w:kinsoku/>
        <w:wordWrap/>
        <w:overflowPunct/>
        <w:topLinePunct w:val="0"/>
        <w:autoSpaceDE/>
        <w:autoSpaceDN/>
        <w:bidi w:val="0"/>
        <w:adjustRightInd/>
        <w:snapToGrid/>
        <w:spacing w:before="148" w:after="0" w:line="360" w:lineRule="auto"/>
        <w:ind w:left="784" w:right="0" w:hanging="264"/>
        <w:jc w:val="left"/>
        <w:textAlignment w:val="auto"/>
        <w:rPr>
          <w:color w:val="000000" w:themeColor="text1"/>
          <w:sz w:val="24"/>
          <w:szCs w:val="24"/>
          <w:highlight w:val="none"/>
          <w14:textFill>
            <w14:solidFill>
              <w14:schemeClr w14:val="tx1"/>
            </w14:solidFill>
          </w14:textFill>
        </w:rPr>
      </w:pPr>
      <w:r>
        <w:rPr>
          <w:color w:val="000000" w:themeColor="text1"/>
          <w:spacing w:val="-3"/>
          <w:sz w:val="24"/>
          <w:szCs w:val="24"/>
          <w:highlight w:val="none"/>
          <w14:textFill>
            <w14:solidFill>
              <w14:schemeClr w14:val="tx1"/>
            </w14:solidFill>
          </w14:textFill>
        </w:rPr>
        <w:t>合同未尽事宜，双方另行签订补充协议，补充协议是合同的组成部分。</w:t>
      </w:r>
    </w:p>
    <w:p w14:paraId="55EE239B">
      <w:pPr>
        <w:pStyle w:val="7"/>
        <w:keepNext w:val="0"/>
        <w:keepLines w:val="0"/>
        <w:pageBreakBefore w:val="0"/>
        <w:widowControl w:val="0"/>
        <w:kinsoku/>
        <w:wordWrap/>
        <w:overflowPunct/>
        <w:topLinePunct w:val="0"/>
        <w:autoSpaceDE/>
        <w:autoSpaceDN/>
        <w:bidi w:val="0"/>
        <w:adjustRightInd/>
        <w:snapToGrid/>
        <w:spacing w:before="11" w:line="360" w:lineRule="auto"/>
        <w:textAlignment w:val="auto"/>
        <w:rPr>
          <w:color w:val="000000" w:themeColor="text1"/>
          <w:sz w:val="24"/>
          <w:szCs w:val="24"/>
          <w:highlight w:val="none"/>
          <w14:textFill>
            <w14:solidFill>
              <w14:schemeClr w14:val="tx1"/>
            </w14:solidFill>
          </w14:textFill>
        </w:rPr>
      </w:pPr>
    </w:p>
    <w:p w14:paraId="7F8EE9D5">
      <w:pPr>
        <w:pStyle w:val="7"/>
        <w:keepNext w:val="0"/>
        <w:keepLines w:val="0"/>
        <w:pageBreakBefore w:val="0"/>
        <w:widowControl w:val="0"/>
        <w:tabs>
          <w:tab w:val="left" w:pos="7466"/>
        </w:tabs>
        <w:kinsoku/>
        <w:wordWrap/>
        <w:overflowPunct/>
        <w:topLinePunct w:val="0"/>
        <w:autoSpaceDE/>
        <w:autoSpaceDN/>
        <w:bidi w:val="0"/>
        <w:adjustRightInd/>
        <w:snapToGrid/>
        <w:spacing w:line="360" w:lineRule="auto"/>
        <w:ind w:left="2726" w:firstLine="480" w:firstLineChars="200"/>
        <w:textAlignment w:val="auto"/>
        <w:rPr>
          <w:rFonts w:hint="eastAsia" w:eastAsia="宋体"/>
          <w:color w:val="000000" w:themeColor="text1"/>
          <w:sz w:val="24"/>
          <w:szCs w:val="24"/>
          <w:highlight w:val="none"/>
          <w:lang w:eastAsia="zh-CN"/>
          <w14:textFill>
            <w14:solidFill>
              <w14:schemeClr w14:val="tx1"/>
            </w14:solidFill>
          </w14:textFill>
        </w:rPr>
      </w:pPr>
      <w:r>
        <w:rPr>
          <w:color w:val="000000" w:themeColor="text1"/>
          <w:sz w:val="24"/>
          <w:szCs w:val="24"/>
          <w:highlight w:val="none"/>
          <w14:textFill>
            <w14:solidFill>
              <w14:schemeClr w14:val="tx1"/>
            </w14:solidFill>
          </w14:textFill>
        </w:rPr>
        <w:t>买方：</w:t>
      </w:r>
      <w:r>
        <w:rPr>
          <w:rFonts w:ascii="Times New Roman" w:eastAsia="Times New Roman"/>
          <w:color w:val="000000" w:themeColor="text1"/>
          <w:sz w:val="24"/>
          <w:szCs w:val="24"/>
          <w:highlight w:val="none"/>
          <w:u w:val="single"/>
          <w14:textFill>
            <w14:solidFill>
              <w14:schemeClr w14:val="tx1"/>
            </w14:solidFill>
          </w14:textFill>
        </w:rPr>
        <w:t xml:space="preserve"> </w:t>
      </w:r>
      <w:r>
        <w:rPr>
          <w:rFonts w:hint="eastAsia" w:ascii="Times New Roman"/>
          <w:color w:val="000000" w:themeColor="text1"/>
          <w:sz w:val="24"/>
          <w:szCs w:val="24"/>
          <w:highlight w:val="none"/>
          <w:u w:val="single"/>
          <w:lang w:val="en-US" w:eastAsia="zh-CN"/>
          <w14:textFill>
            <w14:solidFill>
              <w14:schemeClr w14:val="tx1"/>
            </w14:solidFill>
          </w14:textFill>
        </w:rPr>
        <w:t xml:space="preserve">              </w:t>
      </w:r>
      <w:r>
        <w:rPr>
          <w:color w:val="000000" w:themeColor="text1"/>
          <w:sz w:val="24"/>
          <w:szCs w:val="24"/>
          <w:highlight w:val="none"/>
          <w14:textFill>
            <w14:solidFill>
              <w14:schemeClr w14:val="tx1"/>
            </w14:solidFill>
          </w14:textFill>
        </w:rPr>
        <w:t>（盖单位章</w:t>
      </w:r>
      <w:r>
        <w:rPr>
          <w:rFonts w:hint="eastAsia"/>
          <w:color w:val="000000" w:themeColor="text1"/>
          <w:sz w:val="24"/>
          <w:szCs w:val="24"/>
          <w:highlight w:val="none"/>
          <w:lang w:eastAsia="zh-CN"/>
          <w14:textFill>
            <w14:solidFill>
              <w14:schemeClr w14:val="tx1"/>
            </w14:solidFill>
          </w14:textFill>
        </w:rPr>
        <w:t>）</w:t>
      </w:r>
    </w:p>
    <w:p w14:paraId="34AD3900">
      <w:pPr>
        <w:pStyle w:val="7"/>
        <w:keepNext w:val="0"/>
        <w:keepLines w:val="0"/>
        <w:pageBreakBefore w:val="0"/>
        <w:widowControl w:val="0"/>
        <w:tabs>
          <w:tab w:val="left" w:pos="7466"/>
        </w:tabs>
        <w:kinsoku/>
        <w:wordWrap/>
        <w:overflowPunct/>
        <w:topLinePunct w:val="0"/>
        <w:autoSpaceDE/>
        <w:autoSpaceDN/>
        <w:bidi w:val="0"/>
        <w:adjustRightInd/>
        <w:snapToGrid/>
        <w:spacing w:line="360" w:lineRule="auto"/>
        <w:ind w:firstLine="3120" w:firstLineChars="1300"/>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法定</w:t>
      </w:r>
      <w:r>
        <w:rPr>
          <w:color w:val="000000" w:themeColor="text1"/>
          <w:spacing w:val="-3"/>
          <w:sz w:val="24"/>
          <w:szCs w:val="24"/>
          <w:highlight w:val="none"/>
          <w14:textFill>
            <w14:solidFill>
              <w14:schemeClr w14:val="tx1"/>
            </w14:solidFill>
          </w14:textFill>
        </w:rPr>
        <w:t>代</w:t>
      </w:r>
      <w:r>
        <w:rPr>
          <w:color w:val="000000" w:themeColor="text1"/>
          <w:sz w:val="24"/>
          <w:szCs w:val="24"/>
          <w:highlight w:val="none"/>
          <w14:textFill>
            <w14:solidFill>
              <w14:schemeClr w14:val="tx1"/>
            </w14:solidFill>
          </w14:textFill>
        </w:rPr>
        <w:t>表</w:t>
      </w:r>
      <w:r>
        <w:rPr>
          <w:color w:val="000000" w:themeColor="text1"/>
          <w:spacing w:val="-3"/>
          <w:sz w:val="24"/>
          <w:szCs w:val="24"/>
          <w:highlight w:val="none"/>
          <w14:textFill>
            <w14:solidFill>
              <w14:schemeClr w14:val="tx1"/>
            </w14:solidFill>
          </w14:textFill>
        </w:rPr>
        <w:t>人</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单</w:t>
      </w:r>
      <w:r>
        <w:rPr>
          <w:color w:val="000000" w:themeColor="text1"/>
          <w:sz w:val="24"/>
          <w:szCs w:val="24"/>
          <w:highlight w:val="none"/>
          <w14:textFill>
            <w14:solidFill>
              <w14:schemeClr w14:val="tx1"/>
            </w14:solidFill>
          </w14:textFill>
        </w:rPr>
        <w:t>位</w:t>
      </w:r>
      <w:r>
        <w:rPr>
          <w:color w:val="000000" w:themeColor="text1"/>
          <w:spacing w:val="-3"/>
          <w:sz w:val="24"/>
          <w:szCs w:val="24"/>
          <w:highlight w:val="none"/>
          <w14:textFill>
            <w14:solidFill>
              <w14:schemeClr w14:val="tx1"/>
            </w14:solidFill>
          </w14:textFill>
        </w:rPr>
        <w:t>负</w:t>
      </w:r>
      <w:r>
        <w:rPr>
          <w:color w:val="000000" w:themeColor="text1"/>
          <w:sz w:val="24"/>
          <w:szCs w:val="24"/>
          <w:highlight w:val="none"/>
          <w14:textFill>
            <w14:solidFill>
              <w14:schemeClr w14:val="tx1"/>
            </w14:solidFill>
          </w14:textFill>
        </w:rPr>
        <w:t>责</w:t>
      </w:r>
      <w:r>
        <w:rPr>
          <w:color w:val="000000" w:themeColor="text1"/>
          <w:spacing w:val="-3"/>
          <w:sz w:val="24"/>
          <w:szCs w:val="24"/>
          <w:highlight w:val="none"/>
          <w14:textFill>
            <w14:solidFill>
              <w14:schemeClr w14:val="tx1"/>
            </w14:solidFill>
          </w14:textFill>
        </w:rPr>
        <w:t>人</w:t>
      </w:r>
      <w:r>
        <w:rPr>
          <w:color w:val="000000" w:themeColor="text1"/>
          <w:sz w:val="24"/>
          <w:szCs w:val="24"/>
          <w:highlight w:val="none"/>
          <w14:textFill>
            <w14:solidFill>
              <w14:schemeClr w14:val="tx1"/>
            </w14:solidFill>
          </w14:textFill>
        </w:rPr>
        <w:t>）或</w:t>
      </w:r>
      <w:r>
        <w:rPr>
          <w:color w:val="000000" w:themeColor="text1"/>
          <w:spacing w:val="-3"/>
          <w:sz w:val="24"/>
          <w:szCs w:val="24"/>
          <w:highlight w:val="none"/>
          <w14:textFill>
            <w14:solidFill>
              <w14:schemeClr w14:val="tx1"/>
            </w14:solidFill>
          </w14:textFill>
        </w:rPr>
        <w:t>其</w:t>
      </w:r>
      <w:r>
        <w:rPr>
          <w:color w:val="000000" w:themeColor="text1"/>
          <w:sz w:val="24"/>
          <w:szCs w:val="24"/>
          <w:highlight w:val="none"/>
          <w14:textFill>
            <w14:solidFill>
              <w14:schemeClr w14:val="tx1"/>
            </w14:solidFill>
          </w14:textFill>
        </w:rPr>
        <w:t>委</w:t>
      </w:r>
      <w:r>
        <w:rPr>
          <w:color w:val="000000" w:themeColor="text1"/>
          <w:spacing w:val="-3"/>
          <w:sz w:val="24"/>
          <w:szCs w:val="24"/>
          <w:highlight w:val="none"/>
          <w14:textFill>
            <w14:solidFill>
              <w14:schemeClr w14:val="tx1"/>
            </w14:solidFill>
          </w14:textFill>
        </w:rPr>
        <w:t>托</w:t>
      </w:r>
      <w:r>
        <w:rPr>
          <w:color w:val="000000" w:themeColor="text1"/>
          <w:sz w:val="24"/>
          <w:szCs w:val="24"/>
          <w:highlight w:val="none"/>
          <w14:textFill>
            <w14:solidFill>
              <w14:schemeClr w14:val="tx1"/>
            </w14:solidFill>
          </w14:textFill>
        </w:rPr>
        <w:t>代</w:t>
      </w:r>
      <w:r>
        <w:rPr>
          <w:color w:val="000000" w:themeColor="text1"/>
          <w:spacing w:val="-3"/>
          <w:sz w:val="24"/>
          <w:szCs w:val="24"/>
          <w:highlight w:val="none"/>
          <w14:textFill>
            <w14:solidFill>
              <w14:schemeClr w14:val="tx1"/>
            </w14:solidFill>
          </w14:textFill>
        </w:rPr>
        <w:t>理</w:t>
      </w:r>
      <w:r>
        <w:rPr>
          <w:color w:val="000000" w:themeColor="text1"/>
          <w:sz w:val="24"/>
          <w:szCs w:val="24"/>
          <w:highlight w:val="none"/>
          <w14:textFill>
            <w14:solidFill>
              <w14:schemeClr w14:val="tx1"/>
            </w14:solidFill>
          </w14:textFill>
        </w:rPr>
        <w:t>人</w:t>
      </w:r>
      <w:r>
        <w:rPr>
          <w:color w:val="000000" w:themeColor="text1"/>
          <w:spacing w:val="-3"/>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签</w:t>
      </w:r>
      <w:r>
        <w:rPr>
          <w:color w:val="000000" w:themeColor="text1"/>
          <w:spacing w:val="-3"/>
          <w:sz w:val="24"/>
          <w:szCs w:val="24"/>
          <w:highlight w:val="none"/>
          <w14:textFill>
            <w14:solidFill>
              <w14:schemeClr w14:val="tx1"/>
            </w14:solidFill>
          </w14:textFill>
        </w:rPr>
        <w:t>字</w:t>
      </w:r>
      <w:r>
        <w:rPr>
          <w:color w:val="000000" w:themeColor="text1"/>
          <w:sz w:val="24"/>
          <w:szCs w:val="24"/>
          <w:highlight w:val="none"/>
          <w14:textFill>
            <w14:solidFill>
              <w14:schemeClr w14:val="tx1"/>
            </w14:solidFill>
          </w14:textFill>
        </w:rPr>
        <w:t>）</w:t>
      </w:r>
    </w:p>
    <w:p w14:paraId="24A5CD41">
      <w:pPr>
        <w:pStyle w:val="7"/>
        <w:keepNext w:val="0"/>
        <w:keepLines w:val="0"/>
        <w:pageBreakBefore w:val="0"/>
        <w:widowControl w:val="0"/>
        <w:kinsoku/>
        <w:wordWrap/>
        <w:overflowPunct/>
        <w:topLinePunct w:val="0"/>
        <w:autoSpaceDE/>
        <w:autoSpaceDN/>
        <w:bidi w:val="0"/>
        <w:adjustRightInd/>
        <w:snapToGrid/>
        <w:spacing w:line="360" w:lineRule="auto"/>
        <w:textAlignment w:val="auto"/>
        <w:rPr>
          <w:color w:val="000000" w:themeColor="text1"/>
          <w:sz w:val="24"/>
          <w:szCs w:val="24"/>
          <w:highlight w:val="none"/>
          <w14:textFill>
            <w14:solidFill>
              <w14:schemeClr w14:val="tx1"/>
            </w14:solidFill>
          </w14:textFill>
        </w:rPr>
      </w:pPr>
    </w:p>
    <w:p w14:paraId="188B5D56">
      <w:pPr>
        <w:pStyle w:val="7"/>
        <w:keepNext w:val="0"/>
        <w:keepLines w:val="0"/>
        <w:pageBreakBefore w:val="0"/>
        <w:widowControl w:val="0"/>
        <w:tabs>
          <w:tab w:val="left" w:pos="5438"/>
          <w:tab w:val="left" w:pos="6383"/>
          <w:tab w:val="left" w:pos="7326"/>
        </w:tabs>
        <w:kinsoku/>
        <w:wordWrap/>
        <w:overflowPunct/>
        <w:topLinePunct w:val="0"/>
        <w:autoSpaceDE/>
        <w:autoSpaceDN/>
        <w:bidi w:val="0"/>
        <w:adjustRightInd/>
        <w:snapToGrid/>
        <w:spacing w:before="43" w:line="360" w:lineRule="auto"/>
        <w:ind w:firstLine="5280" w:firstLineChars="2200"/>
        <w:textAlignment w:val="auto"/>
        <w:rPr>
          <w:color w:val="000000" w:themeColor="text1"/>
          <w:sz w:val="24"/>
          <w:szCs w:val="24"/>
          <w:highlight w:val="none"/>
          <w14:textFill>
            <w14:solidFill>
              <w14:schemeClr w14:val="tx1"/>
            </w14:solidFill>
          </w14:textFill>
        </w:rPr>
      </w:pPr>
      <w:r>
        <w:rPr>
          <w:rFonts w:ascii="Times New Roman" w:eastAsia="Times New Roman"/>
          <w:color w:val="000000" w:themeColor="text1"/>
          <w:w w:val="100"/>
          <w:sz w:val="24"/>
          <w:szCs w:val="24"/>
          <w:highlight w:val="none"/>
          <w:u w:val="single"/>
          <w14:textFill>
            <w14:solidFill>
              <w14:schemeClr w14:val="tx1"/>
            </w14:solidFill>
          </w14:textFill>
        </w:rPr>
        <w:t xml:space="preserve"> </w:t>
      </w:r>
      <w:r>
        <w:rPr>
          <w:rFonts w:ascii="Times New Roman" w:eastAsia="Times New Roman"/>
          <w:color w:val="000000" w:themeColor="text1"/>
          <w:sz w:val="24"/>
          <w:szCs w:val="24"/>
          <w:highlight w:val="none"/>
          <w:u w:val="single"/>
          <w14:textFill>
            <w14:solidFill>
              <w14:schemeClr w14:val="tx1"/>
            </w14:solidFill>
          </w14:textFill>
        </w:rPr>
        <w:tab/>
      </w:r>
      <w:r>
        <w:rPr>
          <w:color w:val="000000" w:themeColor="text1"/>
          <w:sz w:val="24"/>
          <w:szCs w:val="24"/>
          <w:highlight w:val="none"/>
          <w14:textFill>
            <w14:solidFill>
              <w14:schemeClr w14:val="tx1"/>
            </w14:solidFill>
          </w14:textFill>
        </w:rPr>
        <w:t>年</w:t>
      </w:r>
      <w:r>
        <w:rPr>
          <w:rFonts w:ascii="Times New Roman" w:eastAsia="Times New Roman"/>
          <w:color w:val="000000" w:themeColor="text1"/>
          <w:sz w:val="24"/>
          <w:szCs w:val="24"/>
          <w:highlight w:val="none"/>
          <w:u w:val="single"/>
          <w14:textFill>
            <w14:solidFill>
              <w14:schemeClr w14:val="tx1"/>
            </w14:solidFill>
          </w14:textFill>
        </w:rPr>
        <w:t xml:space="preserve"> </w:t>
      </w:r>
      <w:r>
        <w:rPr>
          <w:rFonts w:ascii="Times New Roman" w:eastAsia="Times New Roman"/>
          <w:color w:val="000000" w:themeColor="text1"/>
          <w:sz w:val="24"/>
          <w:szCs w:val="24"/>
          <w:highlight w:val="none"/>
          <w:u w:val="single"/>
          <w14:textFill>
            <w14:solidFill>
              <w14:schemeClr w14:val="tx1"/>
            </w14:solidFill>
          </w14:textFill>
        </w:rPr>
        <w:tab/>
      </w:r>
      <w:r>
        <w:rPr>
          <w:color w:val="000000" w:themeColor="text1"/>
          <w:spacing w:val="-3"/>
          <w:sz w:val="24"/>
          <w:szCs w:val="24"/>
          <w:highlight w:val="none"/>
          <w14:textFill>
            <w14:solidFill>
              <w14:schemeClr w14:val="tx1"/>
            </w14:solidFill>
          </w14:textFill>
        </w:rPr>
        <w:t>月</w:t>
      </w:r>
      <w:r>
        <w:rPr>
          <w:rFonts w:ascii="Times New Roman" w:eastAsia="Times New Roman"/>
          <w:color w:val="000000" w:themeColor="text1"/>
          <w:spacing w:val="-3"/>
          <w:sz w:val="24"/>
          <w:szCs w:val="24"/>
          <w:highlight w:val="none"/>
          <w:u w:val="single"/>
          <w14:textFill>
            <w14:solidFill>
              <w14:schemeClr w14:val="tx1"/>
            </w14:solidFill>
          </w14:textFill>
        </w:rPr>
        <w:t xml:space="preserve"> </w:t>
      </w:r>
      <w:r>
        <w:rPr>
          <w:rFonts w:ascii="Times New Roman" w:eastAsia="Times New Roman"/>
          <w:color w:val="000000" w:themeColor="text1"/>
          <w:spacing w:val="-3"/>
          <w:sz w:val="24"/>
          <w:szCs w:val="24"/>
          <w:highlight w:val="none"/>
          <w:u w:val="single"/>
          <w14:textFill>
            <w14:solidFill>
              <w14:schemeClr w14:val="tx1"/>
            </w14:solidFill>
          </w14:textFill>
        </w:rPr>
        <w:tab/>
      </w:r>
      <w:r>
        <w:rPr>
          <w:color w:val="000000" w:themeColor="text1"/>
          <w:sz w:val="24"/>
          <w:szCs w:val="24"/>
          <w:highlight w:val="none"/>
          <w14:textFill>
            <w14:solidFill>
              <w14:schemeClr w14:val="tx1"/>
            </w14:solidFill>
          </w14:textFill>
        </w:rPr>
        <w:t>日</w:t>
      </w:r>
    </w:p>
    <w:p w14:paraId="496839C7">
      <w:pPr>
        <w:pStyle w:val="7"/>
        <w:keepNext w:val="0"/>
        <w:keepLines w:val="0"/>
        <w:pageBreakBefore w:val="0"/>
        <w:widowControl w:val="0"/>
        <w:kinsoku/>
        <w:wordWrap/>
        <w:overflowPunct/>
        <w:topLinePunct w:val="0"/>
        <w:autoSpaceDE/>
        <w:autoSpaceDN/>
        <w:bidi w:val="0"/>
        <w:adjustRightInd/>
        <w:snapToGrid/>
        <w:spacing w:line="360" w:lineRule="auto"/>
        <w:textAlignment w:val="auto"/>
        <w:rPr>
          <w:color w:val="000000" w:themeColor="text1"/>
          <w:sz w:val="24"/>
          <w:szCs w:val="24"/>
          <w:highlight w:val="none"/>
          <w14:textFill>
            <w14:solidFill>
              <w14:schemeClr w14:val="tx1"/>
            </w14:solidFill>
          </w14:textFill>
        </w:rPr>
      </w:pPr>
    </w:p>
    <w:p w14:paraId="5D9C94FD">
      <w:pPr>
        <w:pStyle w:val="7"/>
        <w:keepNext w:val="0"/>
        <w:keepLines w:val="0"/>
        <w:pageBreakBefore w:val="0"/>
        <w:widowControl w:val="0"/>
        <w:kinsoku/>
        <w:wordWrap/>
        <w:overflowPunct/>
        <w:topLinePunct w:val="0"/>
        <w:autoSpaceDE/>
        <w:autoSpaceDN/>
        <w:bidi w:val="0"/>
        <w:adjustRightInd/>
        <w:snapToGrid/>
        <w:spacing w:line="360" w:lineRule="auto"/>
        <w:textAlignment w:val="auto"/>
        <w:rPr>
          <w:color w:val="000000" w:themeColor="text1"/>
          <w:sz w:val="24"/>
          <w:szCs w:val="24"/>
          <w:highlight w:val="none"/>
          <w14:textFill>
            <w14:solidFill>
              <w14:schemeClr w14:val="tx1"/>
            </w14:solidFill>
          </w14:textFill>
        </w:rPr>
      </w:pPr>
    </w:p>
    <w:p w14:paraId="6884110F">
      <w:pPr>
        <w:pStyle w:val="7"/>
        <w:keepNext w:val="0"/>
        <w:keepLines w:val="0"/>
        <w:pageBreakBefore w:val="0"/>
        <w:widowControl w:val="0"/>
        <w:kinsoku/>
        <w:wordWrap/>
        <w:overflowPunct/>
        <w:topLinePunct w:val="0"/>
        <w:autoSpaceDE/>
        <w:autoSpaceDN/>
        <w:bidi w:val="0"/>
        <w:adjustRightInd/>
        <w:snapToGrid/>
        <w:spacing w:line="360" w:lineRule="auto"/>
        <w:textAlignment w:val="auto"/>
        <w:rPr>
          <w:color w:val="000000" w:themeColor="text1"/>
          <w:sz w:val="24"/>
          <w:szCs w:val="24"/>
          <w:highlight w:val="none"/>
          <w14:textFill>
            <w14:solidFill>
              <w14:schemeClr w14:val="tx1"/>
            </w14:solidFill>
          </w14:textFill>
        </w:rPr>
      </w:pPr>
    </w:p>
    <w:p w14:paraId="737D4A97">
      <w:pPr>
        <w:pStyle w:val="7"/>
        <w:keepNext w:val="0"/>
        <w:keepLines w:val="0"/>
        <w:pageBreakBefore w:val="0"/>
        <w:widowControl w:val="0"/>
        <w:kinsoku/>
        <w:wordWrap/>
        <w:overflowPunct/>
        <w:topLinePunct w:val="0"/>
        <w:autoSpaceDE/>
        <w:autoSpaceDN/>
        <w:bidi w:val="0"/>
        <w:adjustRightInd/>
        <w:snapToGrid/>
        <w:spacing w:before="2" w:line="360" w:lineRule="auto"/>
        <w:textAlignment w:val="auto"/>
        <w:rPr>
          <w:color w:val="000000" w:themeColor="text1"/>
          <w:sz w:val="24"/>
          <w:szCs w:val="24"/>
          <w:highlight w:val="none"/>
          <w14:textFill>
            <w14:solidFill>
              <w14:schemeClr w14:val="tx1"/>
            </w14:solidFill>
          </w14:textFill>
        </w:rPr>
      </w:pPr>
    </w:p>
    <w:p w14:paraId="1150AB74">
      <w:pPr>
        <w:pStyle w:val="7"/>
        <w:keepNext w:val="0"/>
        <w:keepLines w:val="0"/>
        <w:pageBreakBefore w:val="0"/>
        <w:widowControl w:val="0"/>
        <w:tabs>
          <w:tab w:val="left" w:pos="7430"/>
        </w:tabs>
        <w:kinsoku/>
        <w:wordWrap/>
        <w:overflowPunct/>
        <w:topLinePunct w:val="0"/>
        <w:autoSpaceDE/>
        <w:autoSpaceDN/>
        <w:bidi w:val="0"/>
        <w:adjustRightInd/>
        <w:snapToGrid/>
        <w:spacing w:before="43" w:line="360" w:lineRule="auto"/>
        <w:ind w:firstLine="2400" w:firstLineChars="1000"/>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卖方</w:t>
      </w:r>
      <w:r>
        <w:rPr>
          <w:color w:val="000000" w:themeColor="text1"/>
          <w:spacing w:val="-3"/>
          <w:sz w:val="24"/>
          <w:szCs w:val="24"/>
          <w:highlight w:val="none"/>
          <w14:textFill>
            <w14:solidFill>
              <w14:schemeClr w14:val="tx1"/>
            </w14:solidFill>
          </w14:textFill>
        </w:rPr>
        <w:t>：</w:t>
      </w:r>
      <w:r>
        <w:rPr>
          <w:rFonts w:ascii="Times New Roman" w:eastAsia="Times New Roman"/>
          <w:color w:val="000000" w:themeColor="text1"/>
          <w:spacing w:val="-3"/>
          <w:sz w:val="24"/>
          <w:szCs w:val="24"/>
          <w:highlight w:val="none"/>
          <w:u w:val="single"/>
          <w14:textFill>
            <w14:solidFill>
              <w14:schemeClr w14:val="tx1"/>
            </w14:solidFill>
          </w14:textFill>
        </w:rPr>
        <w:t xml:space="preserve"> </w:t>
      </w:r>
      <w:r>
        <w:rPr>
          <w:rFonts w:ascii="Times New Roman" w:eastAsia="Times New Roman"/>
          <w:color w:val="000000" w:themeColor="text1"/>
          <w:spacing w:val="-3"/>
          <w:sz w:val="24"/>
          <w:szCs w:val="24"/>
          <w:highlight w:val="none"/>
          <w:u w:val="single"/>
          <w14:textFill>
            <w14:solidFill>
              <w14:schemeClr w14:val="tx1"/>
            </w14:solidFill>
          </w14:textFill>
        </w:rPr>
        <w:tab/>
      </w:r>
      <w:r>
        <w:rPr>
          <w:color w:val="000000" w:themeColor="text1"/>
          <w:sz w:val="24"/>
          <w:szCs w:val="24"/>
          <w:highlight w:val="none"/>
          <w14:textFill>
            <w14:solidFill>
              <w14:schemeClr w14:val="tx1"/>
            </w14:solidFill>
          </w14:textFill>
        </w:rPr>
        <w:t>（盖</w:t>
      </w:r>
      <w:r>
        <w:rPr>
          <w:color w:val="000000" w:themeColor="text1"/>
          <w:spacing w:val="-3"/>
          <w:sz w:val="24"/>
          <w:szCs w:val="24"/>
          <w:highlight w:val="none"/>
          <w14:textFill>
            <w14:solidFill>
              <w14:schemeClr w14:val="tx1"/>
            </w14:solidFill>
          </w14:textFill>
        </w:rPr>
        <w:t>单</w:t>
      </w:r>
      <w:r>
        <w:rPr>
          <w:color w:val="000000" w:themeColor="text1"/>
          <w:sz w:val="24"/>
          <w:szCs w:val="24"/>
          <w:highlight w:val="none"/>
          <w14:textFill>
            <w14:solidFill>
              <w14:schemeClr w14:val="tx1"/>
            </w14:solidFill>
          </w14:textFill>
        </w:rPr>
        <w:t>位</w:t>
      </w:r>
      <w:r>
        <w:rPr>
          <w:color w:val="000000" w:themeColor="text1"/>
          <w:spacing w:val="-3"/>
          <w:sz w:val="24"/>
          <w:szCs w:val="24"/>
          <w:highlight w:val="none"/>
          <w14:textFill>
            <w14:solidFill>
              <w14:schemeClr w14:val="tx1"/>
            </w14:solidFill>
          </w14:textFill>
        </w:rPr>
        <w:t>章</w:t>
      </w:r>
      <w:r>
        <w:rPr>
          <w:color w:val="000000" w:themeColor="text1"/>
          <w:sz w:val="24"/>
          <w:szCs w:val="24"/>
          <w:highlight w:val="none"/>
          <w14:textFill>
            <w14:solidFill>
              <w14:schemeClr w14:val="tx1"/>
            </w14:solidFill>
          </w14:textFill>
        </w:rPr>
        <w:t>）</w:t>
      </w:r>
    </w:p>
    <w:p w14:paraId="0776F8BF">
      <w:pPr>
        <w:pStyle w:val="7"/>
        <w:keepNext w:val="0"/>
        <w:keepLines w:val="0"/>
        <w:pageBreakBefore w:val="0"/>
        <w:widowControl w:val="0"/>
        <w:kinsoku/>
        <w:wordWrap/>
        <w:overflowPunct/>
        <w:topLinePunct w:val="0"/>
        <w:autoSpaceDE/>
        <w:autoSpaceDN/>
        <w:bidi w:val="0"/>
        <w:adjustRightInd/>
        <w:snapToGrid/>
        <w:spacing w:before="3" w:line="360" w:lineRule="auto"/>
        <w:textAlignment w:val="auto"/>
        <w:rPr>
          <w:color w:val="000000" w:themeColor="text1"/>
          <w:sz w:val="24"/>
          <w:szCs w:val="24"/>
          <w:highlight w:val="none"/>
          <w14:textFill>
            <w14:solidFill>
              <w14:schemeClr w14:val="tx1"/>
            </w14:solidFill>
          </w14:textFill>
        </w:rPr>
      </w:pPr>
    </w:p>
    <w:p w14:paraId="5B27F742">
      <w:pPr>
        <w:pStyle w:val="7"/>
        <w:keepNext w:val="0"/>
        <w:keepLines w:val="0"/>
        <w:pageBreakBefore w:val="0"/>
        <w:widowControl w:val="0"/>
        <w:tabs>
          <w:tab w:val="left" w:pos="7852"/>
        </w:tabs>
        <w:kinsoku/>
        <w:wordWrap/>
        <w:overflowPunct/>
        <w:topLinePunct w:val="0"/>
        <w:autoSpaceDE/>
        <w:autoSpaceDN/>
        <w:bidi w:val="0"/>
        <w:adjustRightInd/>
        <w:snapToGrid/>
        <w:spacing w:before="43" w:line="360" w:lineRule="auto"/>
        <w:ind w:firstLine="2400" w:firstLineChars="1000"/>
        <w:textAlignment w:val="auto"/>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法定</w:t>
      </w:r>
      <w:r>
        <w:rPr>
          <w:color w:val="000000" w:themeColor="text1"/>
          <w:spacing w:val="-3"/>
          <w:sz w:val="24"/>
          <w:szCs w:val="24"/>
          <w:highlight w:val="none"/>
          <w14:textFill>
            <w14:solidFill>
              <w14:schemeClr w14:val="tx1"/>
            </w14:solidFill>
          </w14:textFill>
        </w:rPr>
        <w:t>代</w:t>
      </w:r>
      <w:r>
        <w:rPr>
          <w:color w:val="000000" w:themeColor="text1"/>
          <w:sz w:val="24"/>
          <w:szCs w:val="24"/>
          <w:highlight w:val="none"/>
          <w14:textFill>
            <w14:solidFill>
              <w14:schemeClr w14:val="tx1"/>
            </w14:solidFill>
          </w14:textFill>
        </w:rPr>
        <w:t>表</w:t>
      </w:r>
      <w:r>
        <w:rPr>
          <w:color w:val="000000" w:themeColor="text1"/>
          <w:spacing w:val="-3"/>
          <w:sz w:val="24"/>
          <w:szCs w:val="24"/>
          <w:highlight w:val="none"/>
          <w14:textFill>
            <w14:solidFill>
              <w14:schemeClr w14:val="tx1"/>
            </w14:solidFill>
          </w14:textFill>
        </w:rPr>
        <w:t>人</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单</w:t>
      </w:r>
      <w:r>
        <w:rPr>
          <w:color w:val="000000" w:themeColor="text1"/>
          <w:sz w:val="24"/>
          <w:szCs w:val="24"/>
          <w:highlight w:val="none"/>
          <w14:textFill>
            <w14:solidFill>
              <w14:schemeClr w14:val="tx1"/>
            </w14:solidFill>
          </w14:textFill>
        </w:rPr>
        <w:t>位</w:t>
      </w:r>
      <w:r>
        <w:rPr>
          <w:color w:val="000000" w:themeColor="text1"/>
          <w:spacing w:val="-3"/>
          <w:sz w:val="24"/>
          <w:szCs w:val="24"/>
          <w:highlight w:val="none"/>
          <w14:textFill>
            <w14:solidFill>
              <w14:schemeClr w14:val="tx1"/>
            </w14:solidFill>
          </w14:textFill>
        </w:rPr>
        <w:t>负</w:t>
      </w:r>
      <w:r>
        <w:rPr>
          <w:color w:val="000000" w:themeColor="text1"/>
          <w:sz w:val="24"/>
          <w:szCs w:val="24"/>
          <w:highlight w:val="none"/>
          <w14:textFill>
            <w14:solidFill>
              <w14:schemeClr w14:val="tx1"/>
            </w14:solidFill>
          </w14:textFill>
        </w:rPr>
        <w:t>责</w:t>
      </w:r>
      <w:r>
        <w:rPr>
          <w:color w:val="000000" w:themeColor="text1"/>
          <w:spacing w:val="-3"/>
          <w:sz w:val="24"/>
          <w:szCs w:val="24"/>
          <w:highlight w:val="none"/>
          <w14:textFill>
            <w14:solidFill>
              <w14:schemeClr w14:val="tx1"/>
            </w14:solidFill>
          </w14:textFill>
        </w:rPr>
        <w:t>人</w:t>
      </w:r>
      <w:r>
        <w:rPr>
          <w:color w:val="000000" w:themeColor="text1"/>
          <w:sz w:val="24"/>
          <w:szCs w:val="24"/>
          <w:highlight w:val="none"/>
          <w14:textFill>
            <w14:solidFill>
              <w14:schemeClr w14:val="tx1"/>
            </w14:solidFill>
          </w14:textFill>
        </w:rPr>
        <w:t>）或</w:t>
      </w:r>
      <w:r>
        <w:rPr>
          <w:color w:val="000000" w:themeColor="text1"/>
          <w:spacing w:val="-3"/>
          <w:sz w:val="24"/>
          <w:szCs w:val="24"/>
          <w:highlight w:val="none"/>
          <w14:textFill>
            <w14:solidFill>
              <w14:schemeClr w14:val="tx1"/>
            </w14:solidFill>
          </w14:textFill>
        </w:rPr>
        <w:t>其</w:t>
      </w:r>
      <w:r>
        <w:rPr>
          <w:color w:val="000000" w:themeColor="text1"/>
          <w:sz w:val="24"/>
          <w:szCs w:val="24"/>
          <w:highlight w:val="none"/>
          <w14:textFill>
            <w14:solidFill>
              <w14:schemeClr w14:val="tx1"/>
            </w14:solidFill>
          </w14:textFill>
        </w:rPr>
        <w:t>委</w:t>
      </w:r>
      <w:r>
        <w:rPr>
          <w:color w:val="000000" w:themeColor="text1"/>
          <w:spacing w:val="-3"/>
          <w:sz w:val="24"/>
          <w:szCs w:val="24"/>
          <w:highlight w:val="none"/>
          <w14:textFill>
            <w14:solidFill>
              <w14:schemeClr w14:val="tx1"/>
            </w14:solidFill>
          </w14:textFill>
        </w:rPr>
        <w:t>托</w:t>
      </w:r>
      <w:r>
        <w:rPr>
          <w:color w:val="000000" w:themeColor="text1"/>
          <w:sz w:val="24"/>
          <w:szCs w:val="24"/>
          <w:highlight w:val="none"/>
          <w14:textFill>
            <w14:solidFill>
              <w14:schemeClr w14:val="tx1"/>
            </w14:solidFill>
          </w14:textFill>
        </w:rPr>
        <w:t>代</w:t>
      </w:r>
      <w:r>
        <w:rPr>
          <w:color w:val="000000" w:themeColor="text1"/>
          <w:spacing w:val="-3"/>
          <w:sz w:val="24"/>
          <w:szCs w:val="24"/>
          <w:highlight w:val="none"/>
          <w14:textFill>
            <w14:solidFill>
              <w14:schemeClr w14:val="tx1"/>
            </w14:solidFill>
          </w14:textFill>
        </w:rPr>
        <w:t>理</w:t>
      </w:r>
      <w:r>
        <w:rPr>
          <w:color w:val="000000" w:themeColor="text1"/>
          <w:sz w:val="24"/>
          <w:szCs w:val="24"/>
          <w:highlight w:val="none"/>
          <w14:textFill>
            <w14:solidFill>
              <w14:schemeClr w14:val="tx1"/>
            </w14:solidFill>
          </w14:textFill>
        </w:rPr>
        <w:t>人</w:t>
      </w:r>
      <w:r>
        <w:rPr>
          <w:color w:val="000000" w:themeColor="text1"/>
          <w:spacing w:val="-3"/>
          <w:sz w:val="24"/>
          <w:szCs w:val="24"/>
          <w:highlight w:val="none"/>
          <w14:textFill>
            <w14:solidFill>
              <w14:schemeClr w14:val="tx1"/>
            </w14:solidFill>
          </w14:textFill>
        </w:rPr>
        <w:t>：</w:t>
      </w:r>
      <w:r>
        <w:rPr>
          <w:rFonts w:ascii="Times New Roman" w:eastAsia="Times New Roman"/>
          <w:color w:val="000000" w:themeColor="text1"/>
          <w:spacing w:val="-3"/>
          <w:sz w:val="24"/>
          <w:szCs w:val="24"/>
          <w:highlight w:val="none"/>
          <w:u w:val="single"/>
          <w14:textFill>
            <w14:solidFill>
              <w14:schemeClr w14:val="tx1"/>
            </w14:solidFill>
          </w14:textFill>
        </w:rPr>
        <w:t xml:space="preserve"> </w:t>
      </w:r>
      <w:r>
        <w:rPr>
          <w:rFonts w:hint="eastAsia" w:ascii="Times New Roman"/>
          <w:color w:val="000000" w:themeColor="text1"/>
          <w:spacing w:val="-3"/>
          <w:sz w:val="24"/>
          <w:szCs w:val="24"/>
          <w:highlight w:val="none"/>
          <w:u w:val="single"/>
          <w:lang w:val="en-US" w:eastAsia="zh-CN"/>
          <w14:textFill>
            <w14:solidFill>
              <w14:schemeClr w14:val="tx1"/>
            </w14:solidFill>
          </w14:textFill>
        </w:rPr>
        <w:t xml:space="preserve">       </w:t>
      </w:r>
      <w:r>
        <w:rPr>
          <w:color w:val="000000" w:themeColor="text1"/>
          <w:sz w:val="24"/>
          <w:szCs w:val="24"/>
          <w:highlight w:val="none"/>
          <w14:textFill>
            <w14:solidFill>
              <w14:schemeClr w14:val="tx1"/>
            </w14:solidFill>
          </w14:textFill>
        </w:rPr>
        <w:t>（</w:t>
      </w:r>
      <w:r>
        <w:rPr>
          <w:color w:val="000000" w:themeColor="text1"/>
          <w:spacing w:val="-3"/>
          <w:sz w:val="24"/>
          <w:szCs w:val="24"/>
          <w:highlight w:val="none"/>
          <w14:textFill>
            <w14:solidFill>
              <w14:schemeClr w14:val="tx1"/>
            </w14:solidFill>
          </w14:textFill>
        </w:rPr>
        <w:t>签</w:t>
      </w:r>
      <w:r>
        <w:rPr>
          <w:color w:val="000000" w:themeColor="text1"/>
          <w:sz w:val="24"/>
          <w:szCs w:val="24"/>
          <w:highlight w:val="none"/>
          <w14:textFill>
            <w14:solidFill>
              <w14:schemeClr w14:val="tx1"/>
            </w14:solidFill>
          </w14:textFill>
        </w:rPr>
        <w:t>字）</w:t>
      </w:r>
    </w:p>
    <w:p w14:paraId="1F7BDD46">
      <w:pPr>
        <w:pStyle w:val="7"/>
        <w:keepNext w:val="0"/>
        <w:keepLines w:val="0"/>
        <w:pageBreakBefore w:val="0"/>
        <w:widowControl w:val="0"/>
        <w:kinsoku/>
        <w:wordWrap/>
        <w:overflowPunct/>
        <w:topLinePunct w:val="0"/>
        <w:autoSpaceDE/>
        <w:autoSpaceDN/>
        <w:bidi w:val="0"/>
        <w:adjustRightInd/>
        <w:snapToGrid/>
        <w:spacing w:before="9" w:line="360" w:lineRule="auto"/>
        <w:textAlignment w:val="auto"/>
        <w:rPr>
          <w:color w:val="000000" w:themeColor="text1"/>
          <w:sz w:val="24"/>
          <w:szCs w:val="24"/>
          <w:highlight w:val="none"/>
          <w14:textFill>
            <w14:solidFill>
              <w14:schemeClr w14:val="tx1"/>
            </w14:solidFill>
          </w14:textFill>
        </w:rPr>
      </w:pPr>
    </w:p>
    <w:p w14:paraId="23D44C77">
      <w:pPr>
        <w:pStyle w:val="7"/>
        <w:keepNext w:val="0"/>
        <w:keepLines w:val="0"/>
        <w:pageBreakBefore w:val="0"/>
        <w:widowControl w:val="0"/>
        <w:tabs>
          <w:tab w:val="left" w:pos="5077"/>
          <w:tab w:val="left" w:pos="6023"/>
          <w:tab w:val="left" w:pos="6966"/>
        </w:tabs>
        <w:kinsoku/>
        <w:wordWrap/>
        <w:overflowPunct/>
        <w:topLinePunct w:val="0"/>
        <w:autoSpaceDE/>
        <w:autoSpaceDN/>
        <w:bidi w:val="0"/>
        <w:adjustRightInd/>
        <w:snapToGrid/>
        <w:spacing w:before="36" w:line="360" w:lineRule="auto"/>
        <w:ind w:firstLine="5040" w:firstLineChars="2100"/>
        <w:textAlignment w:val="auto"/>
        <w:rPr>
          <w:rFonts w:hint="eastAsia" w:eastAsia="宋体"/>
          <w:color w:val="000000" w:themeColor="text1"/>
          <w:sz w:val="24"/>
          <w:szCs w:val="24"/>
          <w:highlight w:val="none"/>
          <w:lang w:val="en-US" w:eastAsia="zh-CN"/>
          <w14:textFill>
            <w14:solidFill>
              <w14:schemeClr w14:val="tx1"/>
            </w14:solidFill>
          </w14:textFill>
        </w:rPr>
        <w:sectPr>
          <w:footerReference r:id="rId3" w:type="default"/>
          <w:pgSz w:w="12240" w:h="15840"/>
          <w:pgMar w:top="1500" w:right="1720" w:bottom="1120" w:left="1720" w:header="0" w:footer="921" w:gutter="0"/>
          <w:cols w:space="720" w:num="1"/>
        </w:sectPr>
      </w:pPr>
      <w:r>
        <w:rPr>
          <w:rFonts w:ascii="Times New Roman" w:eastAsia="Times New Roman"/>
          <w:color w:val="000000" w:themeColor="text1"/>
          <w:w w:val="100"/>
          <w:sz w:val="24"/>
          <w:szCs w:val="24"/>
          <w:highlight w:val="none"/>
          <w:u w:val="single"/>
          <w14:textFill>
            <w14:solidFill>
              <w14:schemeClr w14:val="tx1"/>
            </w14:solidFill>
          </w14:textFill>
        </w:rPr>
        <w:t xml:space="preserve"> </w:t>
      </w:r>
      <w:r>
        <w:rPr>
          <w:rFonts w:ascii="Times New Roman" w:eastAsia="Times New Roman"/>
          <w:color w:val="000000" w:themeColor="text1"/>
          <w:sz w:val="24"/>
          <w:szCs w:val="24"/>
          <w:highlight w:val="none"/>
          <w:u w:val="single"/>
          <w14:textFill>
            <w14:solidFill>
              <w14:schemeClr w14:val="tx1"/>
            </w14:solidFill>
          </w14:textFill>
        </w:rPr>
        <w:tab/>
      </w:r>
      <w:r>
        <w:rPr>
          <w:color w:val="000000" w:themeColor="text1"/>
          <w:sz w:val="24"/>
          <w:szCs w:val="24"/>
          <w:highlight w:val="none"/>
          <w14:textFill>
            <w14:solidFill>
              <w14:schemeClr w14:val="tx1"/>
            </w14:solidFill>
          </w14:textFill>
        </w:rPr>
        <w:t>年</w:t>
      </w:r>
      <w:r>
        <w:rPr>
          <w:rFonts w:ascii="Times New Roman" w:eastAsia="Times New Roman"/>
          <w:color w:val="000000" w:themeColor="text1"/>
          <w:sz w:val="24"/>
          <w:szCs w:val="24"/>
          <w:highlight w:val="none"/>
          <w:u w:val="single"/>
          <w14:textFill>
            <w14:solidFill>
              <w14:schemeClr w14:val="tx1"/>
            </w14:solidFill>
          </w14:textFill>
        </w:rPr>
        <w:t xml:space="preserve"> </w:t>
      </w:r>
      <w:r>
        <w:rPr>
          <w:rFonts w:ascii="Times New Roman" w:eastAsia="Times New Roman"/>
          <w:color w:val="000000" w:themeColor="text1"/>
          <w:sz w:val="24"/>
          <w:szCs w:val="24"/>
          <w:highlight w:val="none"/>
          <w:u w:val="single"/>
          <w14:textFill>
            <w14:solidFill>
              <w14:schemeClr w14:val="tx1"/>
            </w14:solidFill>
          </w14:textFill>
        </w:rPr>
        <w:tab/>
      </w:r>
      <w:r>
        <w:rPr>
          <w:color w:val="000000" w:themeColor="text1"/>
          <w:spacing w:val="-3"/>
          <w:sz w:val="24"/>
          <w:szCs w:val="24"/>
          <w:highlight w:val="none"/>
          <w14:textFill>
            <w14:solidFill>
              <w14:schemeClr w14:val="tx1"/>
            </w14:solidFill>
          </w14:textFill>
        </w:rPr>
        <w:t>月</w:t>
      </w:r>
      <w:r>
        <w:rPr>
          <w:rFonts w:ascii="Times New Roman" w:eastAsia="Times New Roman"/>
          <w:color w:val="000000" w:themeColor="text1"/>
          <w:spacing w:val="-3"/>
          <w:sz w:val="24"/>
          <w:szCs w:val="24"/>
          <w:highlight w:val="none"/>
          <w:u w:val="single"/>
          <w14:textFill>
            <w14:solidFill>
              <w14:schemeClr w14:val="tx1"/>
            </w14:solidFill>
          </w14:textFill>
        </w:rPr>
        <w:t xml:space="preserve"> </w:t>
      </w:r>
      <w:r>
        <w:rPr>
          <w:rFonts w:hint="eastAsia" w:ascii="Times New Roman"/>
          <w:color w:val="000000" w:themeColor="text1"/>
          <w:spacing w:val="-3"/>
          <w:sz w:val="24"/>
          <w:szCs w:val="24"/>
          <w:highlight w:val="none"/>
          <w:u w:val="single"/>
          <w:lang w:val="en-US" w:eastAsia="zh-CN"/>
          <w14:textFill>
            <w14:solidFill>
              <w14:schemeClr w14:val="tx1"/>
            </w14:solidFill>
          </w14:textFill>
        </w:rPr>
        <w:t xml:space="preserve">    </w:t>
      </w:r>
      <w:r>
        <w:rPr>
          <w:rFonts w:ascii="Times New Roman" w:eastAsia="Times New Roman"/>
          <w:color w:val="000000" w:themeColor="text1"/>
          <w:spacing w:val="-3"/>
          <w:sz w:val="24"/>
          <w:szCs w:val="24"/>
          <w:highlight w:val="none"/>
          <w:u w:val="single"/>
          <w14:textFill>
            <w14:solidFill>
              <w14:schemeClr w14:val="tx1"/>
            </w14:solidFill>
          </w14:textFill>
        </w:rPr>
        <w:tab/>
      </w:r>
      <w:r>
        <w:rPr>
          <w:rFonts w:hint="eastAsia" w:ascii="Times New Roman"/>
          <w:color w:val="000000" w:themeColor="text1"/>
          <w:spacing w:val="-3"/>
          <w:sz w:val="24"/>
          <w:szCs w:val="24"/>
          <w:highlight w:val="none"/>
          <w:u w:val="single"/>
          <w:lang w:eastAsia="zh-CN"/>
          <w14:textFill>
            <w14:solidFill>
              <w14:schemeClr w14:val="tx1"/>
            </w14:solidFill>
          </w14:textFill>
        </w:rPr>
        <w:t>日</w:t>
      </w:r>
    </w:p>
    <w:p w14:paraId="26460B21">
      <w:pPr>
        <w:pStyle w:val="7"/>
        <w:spacing w:before="3" w:line="360" w:lineRule="auto"/>
        <w:rPr>
          <w:rFonts w:hint="eastAsia" w:ascii="Microsoft JhengHei" w:eastAsia="宋体"/>
          <w:b/>
          <w:color w:val="000000" w:themeColor="text1"/>
          <w:sz w:val="24"/>
          <w:szCs w:val="24"/>
          <w:highlight w:val="none"/>
          <w:lang w:eastAsia="zh-CN"/>
          <w14:textFill>
            <w14:solidFill>
              <w14:schemeClr w14:val="tx1"/>
            </w14:solidFill>
          </w14:textFill>
        </w:rPr>
      </w:pPr>
      <w:bookmarkStart w:id="77" w:name="_bookmark145"/>
      <w:bookmarkEnd w:id="77"/>
      <w:bookmarkStart w:id="78" w:name="_bookmark146"/>
      <w:bookmarkEnd w:id="78"/>
      <w:r>
        <w:rPr>
          <w:rFonts w:hint="eastAsia" w:ascii="Microsoft JhengHei"/>
          <w:b/>
          <w:color w:val="000000" w:themeColor="text1"/>
          <w:sz w:val="24"/>
          <w:szCs w:val="24"/>
          <w:highlight w:val="none"/>
          <w:lang w:eastAsia="zh-CN"/>
          <w14:textFill>
            <w14:solidFill>
              <w14:schemeClr w14:val="tx1"/>
            </w14:solidFill>
          </w14:textFill>
        </w:rPr>
        <w:t>附件二：</w:t>
      </w:r>
    </w:p>
    <w:p w14:paraId="423F70AF">
      <w:pPr>
        <w:jc w:val="center"/>
        <w:rPr>
          <w:rFonts w:hint="eastAsia" w:ascii="方正小标宋简体" w:hAnsi="方正小标宋简体" w:eastAsia="方正小标宋简体" w:cs="方正小标宋简体"/>
          <w:b w:val="0"/>
          <w:bCs/>
          <w:color w:val="000000" w:themeColor="text1"/>
          <w:sz w:val="30"/>
          <w:szCs w:val="30"/>
          <w:highlight w:val="none"/>
          <w:lang w:eastAsia="zh-CN"/>
          <w14:textFill>
            <w14:solidFill>
              <w14:schemeClr w14:val="tx1"/>
            </w14:solidFill>
          </w14:textFill>
        </w:rPr>
      </w:pPr>
      <w:bookmarkStart w:id="79" w:name="_bookmark147"/>
      <w:bookmarkEnd w:id="79"/>
      <w:r>
        <w:rPr>
          <w:rFonts w:hint="eastAsia" w:ascii="方正小标宋简体" w:hAnsi="方正小标宋简体" w:eastAsia="方正小标宋简体" w:cs="方正小标宋简体"/>
          <w:b w:val="0"/>
          <w:bCs/>
          <w:color w:val="000000" w:themeColor="text1"/>
          <w:sz w:val="30"/>
          <w:szCs w:val="30"/>
          <w:highlight w:val="none"/>
          <w:lang w:eastAsia="zh-CN"/>
          <w14:textFill>
            <w14:solidFill>
              <w14:schemeClr w14:val="tx1"/>
            </w14:solidFill>
          </w14:textFill>
        </w:rPr>
        <w:t>供货设备技术参数明细及要求</w:t>
      </w:r>
    </w:p>
    <w:p w14:paraId="33DBCDF4">
      <w:pPr>
        <w:spacing w:line="360" w:lineRule="auto"/>
        <w:ind w:firstLine="480" w:firstLineChars="200"/>
        <w:rPr>
          <w:rFonts w:hint="eastAsia" w:eastAsia="宋体"/>
          <w:color w:val="000000" w:themeColor="text1"/>
          <w:sz w:val="24"/>
          <w:szCs w:val="24"/>
          <w:highlight w:val="none"/>
          <w:lang w:val="en-US" w:eastAsia="zh-CN"/>
          <w14:textFill>
            <w14:solidFill>
              <w14:schemeClr w14:val="tx1"/>
            </w14:solidFill>
          </w14:textFill>
        </w:rPr>
      </w:pPr>
      <w:bookmarkStart w:id="80" w:name="_bookmark148"/>
      <w:bookmarkEnd w:id="80"/>
      <w:r>
        <w:rPr>
          <w:rFonts w:hint="eastAsia"/>
          <w:color w:val="000000" w:themeColor="text1"/>
          <w:sz w:val="24"/>
          <w:szCs w:val="24"/>
          <w:highlight w:val="none"/>
          <w14:textFill>
            <w14:solidFill>
              <w14:schemeClr w14:val="tx1"/>
            </w14:solidFill>
          </w14:textFill>
        </w:rPr>
        <w:t>一、项目概况及总体要求</w:t>
      </w:r>
    </w:p>
    <w:p w14:paraId="04E54B28">
      <w:pPr>
        <w:spacing w:line="360" w:lineRule="auto"/>
        <w:ind w:firstLine="480" w:firstLineChars="200"/>
        <w:rPr>
          <w:rFonts w:hint="eastAsia"/>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招标人可根据需要对工程项目的概况进行介绍，以使投标人更清晰地了解供货的总体要求和相关信息。</w:t>
      </w:r>
    </w:p>
    <w:p w14:paraId="6A1ACDE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bookmarkStart w:id="81" w:name="_bookmark149"/>
      <w:bookmarkEnd w:id="81"/>
      <w:r>
        <w:rPr>
          <w:rFonts w:hint="eastAsia"/>
          <w:color w:val="000000" w:themeColor="text1"/>
          <w:sz w:val="24"/>
          <w:szCs w:val="24"/>
          <w:highlight w:val="none"/>
          <w14:textFill>
            <w14:solidFill>
              <w14:schemeClr w14:val="tx1"/>
            </w14:solidFill>
          </w14:textFill>
        </w:rPr>
        <w:t>二、设备需求</w:t>
      </w:r>
      <w:r>
        <w:rPr>
          <w:rFonts w:hint="eastAsia"/>
          <w:color w:val="000000" w:themeColor="text1"/>
          <w:sz w:val="24"/>
          <w:szCs w:val="24"/>
          <w:highlight w:val="none"/>
          <w:lang w:eastAsia="zh-CN"/>
          <w14:textFill>
            <w14:solidFill>
              <w14:schemeClr w14:val="tx1"/>
            </w14:solidFill>
          </w14:textFill>
        </w:rPr>
        <w:t>清单</w:t>
      </w:r>
    </w:p>
    <w:tbl>
      <w:tblPr>
        <w:tblStyle w:val="10"/>
        <w:tblW w:w="8455" w:type="dxa"/>
        <w:tblInd w:w="1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6"/>
        <w:gridCol w:w="1636"/>
        <w:gridCol w:w="1030"/>
        <w:gridCol w:w="1405"/>
        <w:gridCol w:w="1127"/>
        <w:gridCol w:w="1405"/>
        <w:gridCol w:w="1036"/>
      </w:tblGrid>
      <w:tr w14:paraId="5054C8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exact"/>
        </w:trPr>
        <w:tc>
          <w:tcPr>
            <w:tcW w:w="816" w:type="dxa"/>
            <w:noWrap w:val="0"/>
            <w:vAlign w:val="center"/>
          </w:tcPr>
          <w:p w14:paraId="7CC7732D">
            <w:pPr>
              <w:pStyle w:val="23"/>
              <w:spacing w:before="107" w:line="360" w:lineRule="auto"/>
              <w:ind w:left="173"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636" w:type="dxa"/>
            <w:noWrap w:val="0"/>
            <w:vAlign w:val="center"/>
          </w:tcPr>
          <w:p w14:paraId="01BFB9A6">
            <w:pPr>
              <w:pStyle w:val="23"/>
              <w:spacing w:before="107" w:line="360" w:lineRule="auto"/>
              <w:ind w:left="398"/>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设备名称</w:t>
            </w:r>
          </w:p>
        </w:tc>
        <w:tc>
          <w:tcPr>
            <w:tcW w:w="1030" w:type="dxa"/>
            <w:noWrap w:val="0"/>
            <w:vAlign w:val="center"/>
          </w:tcPr>
          <w:p w14:paraId="3685F614">
            <w:pPr>
              <w:pStyle w:val="23"/>
              <w:spacing w:before="107" w:line="360" w:lineRule="auto"/>
              <w:ind w:left="302"/>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w:t>
            </w:r>
          </w:p>
        </w:tc>
        <w:tc>
          <w:tcPr>
            <w:tcW w:w="1405" w:type="dxa"/>
            <w:noWrap w:val="0"/>
            <w:vAlign w:val="center"/>
          </w:tcPr>
          <w:p w14:paraId="5CB96774">
            <w:pPr>
              <w:pStyle w:val="23"/>
              <w:spacing w:before="107" w:line="360" w:lineRule="auto"/>
              <w:ind w:left="177"/>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数量及单位</w:t>
            </w:r>
          </w:p>
        </w:tc>
        <w:tc>
          <w:tcPr>
            <w:tcW w:w="1127" w:type="dxa"/>
            <w:noWrap w:val="0"/>
            <w:vAlign w:val="center"/>
          </w:tcPr>
          <w:p w14:paraId="4D6E903C">
            <w:pPr>
              <w:pStyle w:val="23"/>
              <w:spacing w:before="107" w:line="360" w:lineRule="auto"/>
              <w:ind w:left="245"/>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交货期</w:t>
            </w:r>
          </w:p>
        </w:tc>
        <w:tc>
          <w:tcPr>
            <w:tcW w:w="1405" w:type="dxa"/>
            <w:noWrap w:val="0"/>
            <w:vAlign w:val="center"/>
          </w:tcPr>
          <w:p w14:paraId="677C4904">
            <w:pPr>
              <w:pStyle w:val="23"/>
              <w:spacing w:before="107" w:line="360" w:lineRule="auto"/>
              <w:ind w:left="283"/>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交货地点</w:t>
            </w:r>
          </w:p>
        </w:tc>
        <w:tc>
          <w:tcPr>
            <w:tcW w:w="1036" w:type="dxa"/>
            <w:noWrap w:val="0"/>
            <w:vAlign w:val="center"/>
          </w:tcPr>
          <w:p w14:paraId="603260B6">
            <w:pPr>
              <w:pStyle w:val="23"/>
              <w:spacing w:before="156" w:line="360" w:lineRule="auto"/>
              <w:jc w:val="center"/>
              <w:rPr>
                <w:rFonts w:hint="eastAsia" w:ascii="宋体" w:hAnsi="宋体" w:eastAsia="宋体" w:cs="宋体"/>
                <w:i/>
                <w:color w:val="000000" w:themeColor="text1"/>
                <w:sz w:val="24"/>
                <w:szCs w:val="24"/>
                <w:highlight w:val="none"/>
                <w14:textFill>
                  <w14:solidFill>
                    <w14:schemeClr w14:val="tx1"/>
                  </w14:solidFill>
                </w14:textFill>
              </w:rPr>
            </w:pPr>
            <w:r>
              <w:rPr>
                <w:rFonts w:hint="eastAsia" w:ascii="宋体" w:hAnsi="宋体" w:eastAsia="宋体" w:cs="宋体"/>
                <w:i/>
                <w:color w:val="000000" w:themeColor="text1"/>
                <w:w w:val="115"/>
                <w:sz w:val="24"/>
                <w:szCs w:val="24"/>
                <w:highlight w:val="none"/>
                <w14:textFill>
                  <w14:solidFill>
                    <w14:schemeClr w14:val="tx1"/>
                  </w14:solidFill>
                </w14:textFill>
              </w:rPr>
              <w:t>……</w:t>
            </w:r>
          </w:p>
        </w:tc>
      </w:tr>
      <w:tr w14:paraId="656699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3" w:hRule="exact"/>
        </w:trPr>
        <w:tc>
          <w:tcPr>
            <w:tcW w:w="816" w:type="dxa"/>
            <w:noWrap w:val="0"/>
            <w:vAlign w:val="center"/>
          </w:tcPr>
          <w:p w14:paraId="4C9DF46A">
            <w:pPr>
              <w:pStyle w:val="23"/>
              <w:spacing w:before="156"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w w:val="100"/>
                <w:sz w:val="24"/>
                <w:szCs w:val="24"/>
                <w:highlight w:val="none"/>
                <w14:textFill>
                  <w14:solidFill>
                    <w14:schemeClr w14:val="tx1"/>
                  </w14:solidFill>
                </w14:textFill>
              </w:rPr>
              <w:t>1</w:t>
            </w:r>
          </w:p>
        </w:tc>
        <w:tc>
          <w:tcPr>
            <w:tcW w:w="1636" w:type="dxa"/>
            <w:noWrap w:val="0"/>
            <w:vAlign w:val="center"/>
          </w:tcPr>
          <w:p w14:paraId="0AA704F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030" w:type="dxa"/>
            <w:noWrap w:val="0"/>
            <w:vAlign w:val="center"/>
          </w:tcPr>
          <w:p w14:paraId="028BD62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05" w:type="dxa"/>
            <w:noWrap w:val="0"/>
            <w:vAlign w:val="center"/>
          </w:tcPr>
          <w:p w14:paraId="718E5C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noWrap w:val="0"/>
            <w:vAlign w:val="center"/>
          </w:tcPr>
          <w:p w14:paraId="73DA902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05" w:type="dxa"/>
            <w:noWrap w:val="0"/>
            <w:vAlign w:val="center"/>
          </w:tcPr>
          <w:p w14:paraId="596F799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036" w:type="dxa"/>
            <w:noWrap w:val="0"/>
            <w:vAlign w:val="center"/>
          </w:tcPr>
          <w:p w14:paraId="74BC4B4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01391A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exact"/>
        </w:trPr>
        <w:tc>
          <w:tcPr>
            <w:tcW w:w="816" w:type="dxa"/>
            <w:noWrap w:val="0"/>
            <w:vAlign w:val="center"/>
          </w:tcPr>
          <w:p w14:paraId="47608C3A">
            <w:pPr>
              <w:pStyle w:val="23"/>
              <w:spacing w:before="156"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w w:val="100"/>
                <w:sz w:val="24"/>
                <w:szCs w:val="24"/>
                <w:highlight w:val="none"/>
                <w14:textFill>
                  <w14:solidFill>
                    <w14:schemeClr w14:val="tx1"/>
                  </w14:solidFill>
                </w14:textFill>
              </w:rPr>
              <w:t>2</w:t>
            </w:r>
          </w:p>
        </w:tc>
        <w:tc>
          <w:tcPr>
            <w:tcW w:w="1636" w:type="dxa"/>
            <w:noWrap w:val="0"/>
            <w:vAlign w:val="center"/>
          </w:tcPr>
          <w:p w14:paraId="472BE2F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030" w:type="dxa"/>
            <w:noWrap w:val="0"/>
            <w:vAlign w:val="center"/>
          </w:tcPr>
          <w:p w14:paraId="288749E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05" w:type="dxa"/>
            <w:noWrap w:val="0"/>
            <w:vAlign w:val="center"/>
          </w:tcPr>
          <w:p w14:paraId="419A79E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noWrap w:val="0"/>
            <w:vAlign w:val="center"/>
          </w:tcPr>
          <w:p w14:paraId="5181106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05" w:type="dxa"/>
            <w:noWrap w:val="0"/>
            <w:vAlign w:val="center"/>
          </w:tcPr>
          <w:p w14:paraId="5A756A7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036" w:type="dxa"/>
            <w:noWrap w:val="0"/>
            <w:vAlign w:val="center"/>
          </w:tcPr>
          <w:p w14:paraId="3491785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6B9AC0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3" w:hRule="exact"/>
        </w:trPr>
        <w:tc>
          <w:tcPr>
            <w:tcW w:w="816" w:type="dxa"/>
            <w:noWrap w:val="0"/>
            <w:vAlign w:val="center"/>
          </w:tcPr>
          <w:p w14:paraId="066F377B">
            <w:pPr>
              <w:pStyle w:val="23"/>
              <w:spacing w:before="156"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w w:val="100"/>
                <w:sz w:val="24"/>
                <w:szCs w:val="24"/>
                <w:highlight w:val="none"/>
                <w14:textFill>
                  <w14:solidFill>
                    <w14:schemeClr w14:val="tx1"/>
                  </w14:solidFill>
                </w14:textFill>
              </w:rPr>
              <w:t>3</w:t>
            </w:r>
          </w:p>
        </w:tc>
        <w:tc>
          <w:tcPr>
            <w:tcW w:w="1636" w:type="dxa"/>
            <w:noWrap w:val="0"/>
            <w:vAlign w:val="center"/>
          </w:tcPr>
          <w:p w14:paraId="4E16057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030" w:type="dxa"/>
            <w:noWrap w:val="0"/>
            <w:vAlign w:val="center"/>
          </w:tcPr>
          <w:p w14:paraId="56ED815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05" w:type="dxa"/>
            <w:noWrap w:val="0"/>
            <w:vAlign w:val="center"/>
          </w:tcPr>
          <w:p w14:paraId="3653C53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noWrap w:val="0"/>
            <w:vAlign w:val="center"/>
          </w:tcPr>
          <w:p w14:paraId="5F4B57D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05" w:type="dxa"/>
            <w:noWrap w:val="0"/>
            <w:vAlign w:val="center"/>
          </w:tcPr>
          <w:p w14:paraId="0ACC490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036" w:type="dxa"/>
            <w:noWrap w:val="0"/>
            <w:vAlign w:val="center"/>
          </w:tcPr>
          <w:p w14:paraId="06DA99B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1E0885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exact"/>
        </w:trPr>
        <w:tc>
          <w:tcPr>
            <w:tcW w:w="816" w:type="dxa"/>
            <w:noWrap w:val="0"/>
            <w:vAlign w:val="center"/>
          </w:tcPr>
          <w:p w14:paraId="4D0E473A">
            <w:pPr>
              <w:pStyle w:val="23"/>
              <w:spacing w:before="156"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w w:val="100"/>
                <w:sz w:val="24"/>
                <w:szCs w:val="24"/>
                <w:highlight w:val="none"/>
                <w14:textFill>
                  <w14:solidFill>
                    <w14:schemeClr w14:val="tx1"/>
                  </w14:solidFill>
                </w14:textFill>
              </w:rPr>
              <w:t>4</w:t>
            </w:r>
          </w:p>
        </w:tc>
        <w:tc>
          <w:tcPr>
            <w:tcW w:w="1636" w:type="dxa"/>
            <w:noWrap w:val="0"/>
            <w:vAlign w:val="center"/>
          </w:tcPr>
          <w:p w14:paraId="3D947AC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030" w:type="dxa"/>
            <w:noWrap w:val="0"/>
            <w:vAlign w:val="center"/>
          </w:tcPr>
          <w:p w14:paraId="0D76850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05" w:type="dxa"/>
            <w:noWrap w:val="0"/>
            <w:vAlign w:val="center"/>
          </w:tcPr>
          <w:p w14:paraId="1B3BD6B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noWrap w:val="0"/>
            <w:vAlign w:val="center"/>
          </w:tcPr>
          <w:p w14:paraId="5A703B6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05" w:type="dxa"/>
            <w:noWrap w:val="0"/>
            <w:vAlign w:val="center"/>
          </w:tcPr>
          <w:p w14:paraId="6F28FFA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036" w:type="dxa"/>
            <w:noWrap w:val="0"/>
            <w:vAlign w:val="center"/>
          </w:tcPr>
          <w:p w14:paraId="6A4C538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r>
      <w:tr w14:paraId="70062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exact"/>
        </w:trPr>
        <w:tc>
          <w:tcPr>
            <w:tcW w:w="816" w:type="dxa"/>
            <w:noWrap w:val="0"/>
            <w:vAlign w:val="center"/>
          </w:tcPr>
          <w:p w14:paraId="583C7FCD">
            <w:pPr>
              <w:pStyle w:val="23"/>
              <w:spacing w:before="156" w:line="480" w:lineRule="auto"/>
              <w:ind w:left="173" w:right="171"/>
              <w:jc w:val="center"/>
              <w:rPr>
                <w:rFonts w:hint="eastAsia" w:ascii="宋体" w:hAnsi="宋体" w:eastAsia="宋体" w:cs="宋体"/>
                <w:i/>
                <w:color w:val="000000" w:themeColor="text1"/>
                <w:sz w:val="24"/>
                <w:szCs w:val="24"/>
                <w:highlight w:val="none"/>
                <w14:textFill>
                  <w14:solidFill>
                    <w14:schemeClr w14:val="tx1"/>
                  </w14:solidFill>
                </w14:textFill>
              </w:rPr>
            </w:pPr>
            <w:r>
              <w:rPr>
                <w:rFonts w:hint="eastAsia" w:ascii="宋体" w:hAnsi="宋体" w:eastAsia="宋体" w:cs="宋体"/>
                <w:i/>
                <w:color w:val="000000" w:themeColor="text1"/>
                <w:w w:val="115"/>
                <w:sz w:val="24"/>
                <w:szCs w:val="24"/>
                <w:highlight w:val="none"/>
                <w14:textFill>
                  <w14:solidFill>
                    <w14:schemeClr w14:val="tx1"/>
                  </w14:solidFill>
                </w14:textFill>
              </w:rPr>
              <w:t>……</w:t>
            </w:r>
          </w:p>
        </w:tc>
        <w:tc>
          <w:tcPr>
            <w:tcW w:w="1636" w:type="dxa"/>
            <w:noWrap w:val="0"/>
            <w:vAlign w:val="center"/>
          </w:tcPr>
          <w:p w14:paraId="487B0F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030" w:type="dxa"/>
            <w:noWrap w:val="0"/>
            <w:vAlign w:val="center"/>
          </w:tcPr>
          <w:p w14:paraId="0716B93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05" w:type="dxa"/>
            <w:noWrap w:val="0"/>
            <w:vAlign w:val="center"/>
          </w:tcPr>
          <w:p w14:paraId="132F783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noWrap w:val="0"/>
            <w:vAlign w:val="center"/>
          </w:tcPr>
          <w:p w14:paraId="34DAD1C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405" w:type="dxa"/>
            <w:noWrap w:val="0"/>
            <w:vAlign w:val="center"/>
          </w:tcPr>
          <w:p w14:paraId="4F804CE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1036" w:type="dxa"/>
            <w:noWrap w:val="0"/>
            <w:vAlign w:val="center"/>
          </w:tcPr>
          <w:p w14:paraId="7AD5C6A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r>
    </w:tbl>
    <w:p w14:paraId="368E2B5D">
      <w:pPr>
        <w:spacing w:line="360" w:lineRule="auto"/>
        <w:ind w:firstLine="480" w:firstLineChars="200"/>
        <w:rPr>
          <w:rFonts w:hint="eastAsia"/>
          <w:color w:val="000000" w:themeColor="text1"/>
          <w:sz w:val="24"/>
          <w:szCs w:val="24"/>
          <w:highlight w:val="none"/>
          <w14:textFill>
            <w14:solidFill>
              <w14:schemeClr w14:val="tx1"/>
            </w14:solidFill>
          </w14:textFill>
        </w:rPr>
      </w:pPr>
      <w:bookmarkStart w:id="82" w:name="_bookmark150"/>
      <w:bookmarkEnd w:id="82"/>
      <w:r>
        <w:rPr>
          <w:rFonts w:hint="eastAsia"/>
          <w:color w:val="000000" w:themeColor="text1"/>
          <w:sz w:val="24"/>
          <w:szCs w:val="24"/>
          <w:highlight w:val="none"/>
          <w14:textFill>
            <w14:solidFill>
              <w14:schemeClr w14:val="tx1"/>
            </w14:solidFill>
          </w14:textFill>
        </w:rPr>
        <w:t>三、技术性能指标</w:t>
      </w:r>
    </w:p>
    <w:p w14:paraId="1F65FA0A">
      <w:pPr>
        <w:spacing w:line="360" w:lineRule="auto"/>
        <w:ind w:firstLine="480" w:firstLineChars="200"/>
        <w:rPr>
          <w:rFonts w:hint="eastAsia"/>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招标人应编制详细的技术性能指标并考虑以下因素：</w:t>
      </w:r>
    </w:p>
    <w:p w14:paraId="5A2584EC">
      <w:pPr>
        <w:spacing w:line="360" w:lineRule="auto"/>
        <w:ind w:firstLine="480" w:firstLineChars="200"/>
        <w:rPr>
          <w:rFonts w:hint="eastAsia"/>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1.技术性能指标构成评标委员会评价投标文件技术响应性的标准。因此，定义明确的技术性能指标有助于投标人编制响应性的投标文件，也有助于评标委员会审查、评审和比较投标文件。</w:t>
      </w:r>
    </w:p>
    <w:p w14:paraId="3BC53EE6">
      <w:pPr>
        <w:spacing w:line="360" w:lineRule="auto"/>
        <w:ind w:firstLine="480" w:firstLineChars="200"/>
        <w:rPr>
          <w:rFonts w:hint="eastAsia"/>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2.技术性能指标应具有足够的广泛性，以免在生产制造设备时对普遍使用的工艺、材料和设备造成限制。</w:t>
      </w:r>
    </w:p>
    <w:p w14:paraId="79E893CA">
      <w:pPr>
        <w:spacing w:line="360" w:lineRule="auto"/>
        <w:ind w:firstLine="480" w:firstLineChars="200"/>
        <w:rPr>
          <w:rFonts w:hint="eastAsia"/>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招标文件中规定的工艺、材料和设备的标准不得有限制性，应尽可能地采用国家标准。法律法规对设备安全性有特殊要求的，应当符合有关产品质量的强制性国家标准、行业标准。</w:t>
      </w:r>
    </w:p>
    <w:p w14:paraId="718B789F">
      <w:pPr>
        <w:spacing w:line="360" w:lineRule="auto"/>
        <w:ind w:firstLine="480" w:firstLineChars="200"/>
        <w:rPr>
          <w:rFonts w:hint="eastAsia"/>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技术性能指标不得限定或者指定特定的专利、商标、品牌、原产地或者供应商，不得含有倾向或者排斥投标人的其他内容。在引用不可能避免时，该引用后应注明“或相当于”的字样。</w:t>
      </w:r>
    </w:p>
    <w:p w14:paraId="3C9E5EA6">
      <w:pPr>
        <w:spacing w:line="360" w:lineRule="auto"/>
        <w:ind w:firstLine="480" w:firstLineChars="200"/>
        <w:rPr>
          <w:rFonts w:hint="eastAsia"/>
          <w:color w:val="000000" w:themeColor="text1"/>
          <w:sz w:val="24"/>
          <w:szCs w:val="24"/>
          <w:highlight w:val="none"/>
          <w14:textFill>
            <w14:solidFill>
              <w14:schemeClr w14:val="tx1"/>
            </w14:solidFill>
          </w14:textFill>
        </w:rPr>
      </w:pPr>
      <w:bookmarkStart w:id="83" w:name="_bookmark151"/>
      <w:bookmarkEnd w:id="83"/>
      <w:r>
        <w:rPr>
          <w:rFonts w:hint="eastAsia"/>
          <w:color w:val="000000" w:themeColor="text1"/>
          <w:sz w:val="24"/>
          <w:szCs w:val="24"/>
          <w:highlight w:val="none"/>
          <w14:textFill>
            <w14:solidFill>
              <w14:schemeClr w14:val="tx1"/>
            </w14:solidFill>
          </w14:textFill>
        </w:rPr>
        <w:t>四、检验考核要求</w:t>
      </w:r>
    </w:p>
    <w:p w14:paraId="23F30274">
      <w:pPr>
        <w:spacing w:line="360" w:lineRule="auto"/>
        <w:ind w:firstLine="480" w:firstLineChars="200"/>
        <w:rPr>
          <w:rFonts w:hint="eastAsia"/>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招标人应对合同设备在考核中应达到的技术性能考核指标进行规定，并可根据合同设备的实际情况，规定可以接受的合同设备的最低技术性能考核指标。</w:t>
      </w:r>
    </w:p>
    <w:p w14:paraId="47FC6878">
      <w:pPr>
        <w:spacing w:line="360" w:lineRule="auto"/>
        <w:ind w:firstLine="480" w:firstLineChars="200"/>
        <w:rPr>
          <w:rFonts w:hint="eastAsia"/>
          <w:color w:val="000000" w:themeColor="text1"/>
          <w:sz w:val="24"/>
          <w:szCs w:val="24"/>
          <w:highlight w:val="none"/>
          <w:lang w:eastAsia="zh-CN"/>
          <w14:textFill>
            <w14:solidFill>
              <w14:schemeClr w14:val="tx1"/>
            </w14:solidFill>
          </w14:textFill>
        </w:rPr>
      </w:pPr>
      <w:bookmarkStart w:id="84" w:name="_bookmark152"/>
      <w:bookmarkEnd w:id="84"/>
      <w:r>
        <w:rPr>
          <w:rFonts w:hint="eastAsia"/>
          <w:color w:val="000000" w:themeColor="text1"/>
          <w:sz w:val="24"/>
          <w:szCs w:val="24"/>
          <w:highlight w:val="none"/>
          <w:lang w:eastAsia="zh-CN"/>
          <w14:textFill>
            <w14:solidFill>
              <w14:schemeClr w14:val="tx1"/>
            </w14:solidFill>
          </w14:textFill>
        </w:rPr>
        <w:t>五、</w:t>
      </w:r>
      <w:r>
        <w:rPr>
          <w:rFonts w:hint="eastAsia"/>
          <w:color w:val="000000" w:themeColor="text1"/>
          <w:sz w:val="24"/>
          <w:szCs w:val="24"/>
          <w:highlight w:val="none"/>
          <w14:textFill>
            <w14:solidFill>
              <w14:schemeClr w14:val="tx1"/>
            </w14:solidFill>
          </w14:textFill>
        </w:rPr>
        <w:t>技术服务和质保期服务要求</w:t>
      </w:r>
      <w:r>
        <w:rPr>
          <w:rFonts w:hint="eastAsia"/>
          <w:color w:val="000000" w:themeColor="text1"/>
          <w:sz w:val="24"/>
          <w:szCs w:val="24"/>
          <w:highlight w:val="none"/>
          <w:lang w:eastAsia="zh-CN"/>
          <w14:textFill>
            <w14:solidFill>
              <w14:schemeClr w14:val="tx1"/>
            </w14:solidFill>
          </w14:textFill>
        </w:rPr>
        <w:t>。</w:t>
      </w:r>
    </w:p>
    <w:p w14:paraId="44C8CCEB">
      <w:pPr>
        <w:spacing w:line="360" w:lineRule="auto"/>
        <w:rPr>
          <w:rFonts w:hint="eastAsia" w:ascii="宋体" w:hAnsi="宋体" w:cs="宋体"/>
          <w:b/>
          <w:color w:val="000000" w:themeColor="text1"/>
          <w:sz w:val="32"/>
          <w:szCs w:val="32"/>
          <w:highlight w:val="none"/>
          <w:lang w:val="en-US" w:eastAsia="zh-CN"/>
          <w14:textFill>
            <w14:solidFill>
              <w14:schemeClr w14:val="tx1"/>
            </w14:solidFill>
          </w14:textFill>
        </w:rPr>
      </w:pPr>
      <w:r>
        <w:rPr>
          <w:rFonts w:hint="eastAsia"/>
          <w:color w:val="000000" w:themeColor="text1"/>
          <w:sz w:val="24"/>
          <w:szCs w:val="24"/>
          <w:highlight w:val="none"/>
          <w:lang w:eastAsia="zh-CN"/>
          <w14:textFill>
            <w14:solidFill>
              <w14:schemeClr w14:val="tx1"/>
            </w14:solidFill>
          </w14:textFill>
        </w:rPr>
        <w:br w:type="page"/>
      </w:r>
      <w:r>
        <w:rPr>
          <w:rFonts w:hint="eastAsia" w:ascii="宋体" w:hAnsi="宋体" w:cs="宋体"/>
          <w:b/>
          <w:bCs w:val="0"/>
          <w:color w:val="000000" w:themeColor="text1"/>
          <w:sz w:val="24"/>
          <w:szCs w:val="24"/>
          <w:highlight w:val="none"/>
          <w14:textFill>
            <w14:solidFill>
              <w14:schemeClr w14:val="tx1"/>
            </w14:solidFill>
          </w14:textFill>
        </w:rPr>
        <w:t>附件</w:t>
      </w:r>
      <w:r>
        <w:rPr>
          <w:rFonts w:hint="eastAsia" w:ascii="宋体" w:hAnsi="宋体" w:cs="宋体"/>
          <w:b/>
          <w:bCs w:val="0"/>
          <w:color w:val="000000" w:themeColor="text1"/>
          <w:sz w:val="24"/>
          <w:szCs w:val="24"/>
          <w:highlight w:val="none"/>
          <w:lang w:val="en-US" w:eastAsia="zh-CN"/>
          <w14:textFill>
            <w14:solidFill>
              <w14:schemeClr w14:val="tx1"/>
            </w14:solidFill>
          </w14:textFill>
        </w:rPr>
        <w:t>三：</w:t>
      </w:r>
    </w:p>
    <w:p w14:paraId="22C59826">
      <w:pPr>
        <w:jc w:val="center"/>
        <w:rPr>
          <w:rFonts w:hint="eastAsia" w:ascii="方正小标宋简体" w:hAnsi="方正小标宋简体" w:eastAsia="方正小标宋简体" w:cs="方正小标宋简体"/>
          <w:b/>
          <w:color w:val="000000" w:themeColor="text1"/>
          <w:sz w:val="30"/>
          <w:szCs w:val="30"/>
          <w:highlight w:val="none"/>
          <w14:textFill>
            <w14:solidFill>
              <w14:schemeClr w14:val="tx1"/>
            </w14:solidFill>
          </w14:textFill>
        </w:rPr>
      </w:pPr>
      <w:r>
        <w:rPr>
          <w:rFonts w:hint="eastAsia" w:ascii="方正小标宋简体" w:hAnsi="方正小标宋简体" w:eastAsia="方正小标宋简体" w:cs="方正小标宋简体"/>
          <w:b w:val="0"/>
          <w:bCs/>
          <w:color w:val="000000" w:themeColor="text1"/>
          <w:sz w:val="30"/>
          <w:szCs w:val="30"/>
          <w:highlight w:val="none"/>
          <w:lang w:eastAsia="zh-CN"/>
          <w14:textFill>
            <w14:solidFill>
              <w14:schemeClr w14:val="tx1"/>
            </w14:solidFill>
          </w14:textFill>
        </w:rPr>
        <w:t>货物开箱</w:t>
      </w:r>
      <w:r>
        <w:rPr>
          <w:rFonts w:hint="eastAsia" w:ascii="方正小标宋简体" w:hAnsi="方正小标宋简体" w:eastAsia="方正小标宋简体" w:cs="方正小标宋简体"/>
          <w:b w:val="0"/>
          <w:bCs/>
          <w:color w:val="000000" w:themeColor="text1"/>
          <w:sz w:val="30"/>
          <w:szCs w:val="30"/>
          <w:highlight w:val="none"/>
          <w14:textFill>
            <w14:solidFill>
              <w14:schemeClr w14:val="tx1"/>
            </w14:solidFill>
          </w14:textFill>
        </w:rPr>
        <w:t>验收单</w:t>
      </w:r>
    </w:p>
    <w:tbl>
      <w:tblPr>
        <w:tblStyle w:val="10"/>
        <w:tblpPr w:leftFromText="180" w:rightFromText="180" w:vertAnchor="text" w:tblpXSpec="center" w:tblpY="626"/>
        <w:tblW w:w="8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1355"/>
        <w:gridCol w:w="1980"/>
        <w:gridCol w:w="527"/>
        <w:gridCol w:w="733"/>
        <w:gridCol w:w="900"/>
        <w:gridCol w:w="1450"/>
      </w:tblGrid>
      <w:tr w14:paraId="24AC0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14:paraId="250F651D">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项目名称</w:t>
            </w:r>
          </w:p>
        </w:tc>
        <w:tc>
          <w:tcPr>
            <w:tcW w:w="3862" w:type="dxa"/>
            <w:gridSpan w:val="3"/>
            <w:tcBorders>
              <w:top w:val="single" w:color="auto" w:sz="4" w:space="0"/>
              <w:left w:val="single" w:color="auto" w:sz="4" w:space="0"/>
              <w:bottom w:val="single" w:color="auto" w:sz="4" w:space="0"/>
              <w:right w:val="single" w:color="auto" w:sz="4" w:space="0"/>
            </w:tcBorders>
            <w:noWrap w:val="0"/>
            <w:vAlign w:val="center"/>
          </w:tcPr>
          <w:p w14:paraId="7A326728">
            <w:pPr>
              <w:jc w:val="center"/>
              <w:rPr>
                <w:rFonts w:hint="eastAsia" w:ascii="宋体" w:hAnsi="宋体" w:cs="宋体"/>
                <w:color w:val="000000" w:themeColor="text1"/>
                <w:sz w:val="24"/>
                <w:szCs w:val="24"/>
                <w:highlight w:val="none"/>
                <w14:textFill>
                  <w14:solidFill>
                    <w14:schemeClr w14:val="tx1"/>
                  </w14:solidFill>
                </w14:textFill>
              </w:rPr>
            </w:pPr>
          </w:p>
        </w:tc>
        <w:tc>
          <w:tcPr>
            <w:tcW w:w="1633" w:type="dxa"/>
            <w:gridSpan w:val="2"/>
            <w:tcBorders>
              <w:top w:val="single" w:color="auto" w:sz="4" w:space="0"/>
              <w:left w:val="single" w:color="auto" w:sz="4" w:space="0"/>
              <w:bottom w:val="single" w:color="auto" w:sz="4" w:space="0"/>
              <w:right w:val="single" w:color="auto" w:sz="4" w:space="0"/>
            </w:tcBorders>
            <w:noWrap w:val="0"/>
            <w:vAlign w:val="center"/>
          </w:tcPr>
          <w:p w14:paraId="75897842">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验收日期</w:t>
            </w:r>
          </w:p>
        </w:tc>
        <w:tc>
          <w:tcPr>
            <w:tcW w:w="1450" w:type="dxa"/>
            <w:tcBorders>
              <w:top w:val="single" w:color="auto" w:sz="4" w:space="0"/>
              <w:left w:val="single" w:color="auto" w:sz="4" w:space="0"/>
              <w:bottom w:val="single" w:color="auto" w:sz="4" w:space="0"/>
              <w:right w:val="single" w:color="auto" w:sz="4" w:space="0"/>
            </w:tcBorders>
            <w:noWrap w:val="0"/>
            <w:vAlign w:val="center"/>
          </w:tcPr>
          <w:p w14:paraId="49EAFC9B">
            <w:pPr>
              <w:jc w:val="center"/>
              <w:rPr>
                <w:rFonts w:hint="eastAsia" w:ascii="宋体" w:hAnsi="宋体" w:cs="宋体"/>
                <w:color w:val="000000" w:themeColor="text1"/>
                <w:sz w:val="24"/>
                <w:szCs w:val="24"/>
                <w:highlight w:val="none"/>
                <w14:textFill>
                  <w14:solidFill>
                    <w14:schemeClr w14:val="tx1"/>
                  </w14:solidFill>
                </w14:textFill>
              </w:rPr>
            </w:pPr>
          </w:p>
        </w:tc>
      </w:tr>
      <w:tr w14:paraId="07598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14:paraId="0BB26C0F">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采购单位</w:t>
            </w:r>
          </w:p>
        </w:tc>
        <w:tc>
          <w:tcPr>
            <w:tcW w:w="3862" w:type="dxa"/>
            <w:gridSpan w:val="3"/>
            <w:tcBorders>
              <w:top w:val="single" w:color="auto" w:sz="4" w:space="0"/>
              <w:left w:val="single" w:color="auto" w:sz="4" w:space="0"/>
              <w:bottom w:val="single" w:color="auto" w:sz="4" w:space="0"/>
              <w:right w:val="single" w:color="auto" w:sz="4" w:space="0"/>
            </w:tcBorders>
            <w:noWrap w:val="0"/>
            <w:vAlign w:val="center"/>
          </w:tcPr>
          <w:p w14:paraId="0F4DCAD0">
            <w:pPr>
              <w:jc w:val="center"/>
              <w:rPr>
                <w:rFonts w:hint="eastAsia" w:ascii="宋体" w:hAnsi="宋体" w:cs="宋体"/>
                <w:color w:val="000000" w:themeColor="text1"/>
                <w:sz w:val="24"/>
                <w:szCs w:val="24"/>
                <w:highlight w:val="none"/>
                <w14:textFill>
                  <w14:solidFill>
                    <w14:schemeClr w14:val="tx1"/>
                  </w14:solidFill>
                </w14:textFill>
              </w:rPr>
            </w:pPr>
          </w:p>
        </w:tc>
        <w:tc>
          <w:tcPr>
            <w:tcW w:w="1633" w:type="dxa"/>
            <w:gridSpan w:val="2"/>
            <w:tcBorders>
              <w:top w:val="single" w:color="auto" w:sz="4" w:space="0"/>
              <w:left w:val="single" w:color="auto" w:sz="4" w:space="0"/>
              <w:bottom w:val="single" w:color="auto" w:sz="4" w:space="0"/>
              <w:right w:val="single" w:color="auto" w:sz="4" w:space="0"/>
            </w:tcBorders>
            <w:noWrap w:val="0"/>
            <w:vAlign w:val="center"/>
          </w:tcPr>
          <w:p w14:paraId="1DCCFD62">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联系人</w:t>
            </w:r>
          </w:p>
        </w:tc>
        <w:tc>
          <w:tcPr>
            <w:tcW w:w="1450" w:type="dxa"/>
            <w:tcBorders>
              <w:top w:val="single" w:color="auto" w:sz="4" w:space="0"/>
              <w:left w:val="single" w:color="auto" w:sz="4" w:space="0"/>
              <w:bottom w:val="single" w:color="auto" w:sz="4" w:space="0"/>
              <w:right w:val="single" w:color="auto" w:sz="4" w:space="0"/>
            </w:tcBorders>
            <w:noWrap w:val="0"/>
            <w:vAlign w:val="center"/>
          </w:tcPr>
          <w:p w14:paraId="19E2AA95">
            <w:pPr>
              <w:jc w:val="center"/>
              <w:rPr>
                <w:rFonts w:hint="eastAsia" w:ascii="宋体" w:hAnsi="宋体" w:cs="宋体"/>
                <w:color w:val="000000" w:themeColor="text1"/>
                <w:sz w:val="24"/>
                <w:szCs w:val="24"/>
                <w:highlight w:val="none"/>
                <w14:textFill>
                  <w14:solidFill>
                    <w14:schemeClr w14:val="tx1"/>
                  </w14:solidFill>
                </w14:textFill>
              </w:rPr>
            </w:pPr>
          </w:p>
        </w:tc>
      </w:tr>
      <w:tr w14:paraId="5DAE5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14:paraId="2E40E283">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供应商</w:t>
            </w:r>
          </w:p>
        </w:tc>
        <w:tc>
          <w:tcPr>
            <w:tcW w:w="3862" w:type="dxa"/>
            <w:gridSpan w:val="3"/>
            <w:tcBorders>
              <w:top w:val="single" w:color="auto" w:sz="4" w:space="0"/>
              <w:left w:val="single" w:color="auto" w:sz="4" w:space="0"/>
              <w:bottom w:val="single" w:color="auto" w:sz="4" w:space="0"/>
              <w:right w:val="single" w:color="auto" w:sz="4" w:space="0"/>
            </w:tcBorders>
            <w:noWrap w:val="0"/>
            <w:vAlign w:val="center"/>
          </w:tcPr>
          <w:p w14:paraId="372763AD">
            <w:pPr>
              <w:jc w:val="center"/>
              <w:rPr>
                <w:rFonts w:hint="eastAsia" w:ascii="宋体" w:hAnsi="宋体" w:cs="宋体"/>
                <w:color w:val="000000" w:themeColor="text1"/>
                <w:sz w:val="24"/>
                <w:szCs w:val="24"/>
                <w:highlight w:val="none"/>
                <w14:textFill>
                  <w14:solidFill>
                    <w14:schemeClr w14:val="tx1"/>
                  </w14:solidFill>
                </w14:textFill>
              </w:rPr>
            </w:pPr>
          </w:p>
        </w:tc>
        <w:tc>
          <w:tcPr>
            <w:tcW w:w="1633" w:type="dxa"/>
            <w:gridSpan w:val="2"/>
            <w:tcBorders>
              <w:top w:val="single" w:color="auto" w:sz="4" w:space="0"/>
              <w:left w:val="single" w:color="auto" w:sz="4" w:space="0"/>
              <w:bottom w:val="single" w:color="auto" w:sz="4" w:space="0"/>
              <w:right w:val="single" w:color="auto" w:sz="4" w:space="0"/>
            </w:tcBorders>
            <w:noWrap w:val="0"/>
            <w:vAlign w:val="center"/>
          </w:tcPr>
          <w:p w14:paraId="63F95B69">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负责人</w:t>
            </w:r>
          </w:p>
        </w:tc>
        <w:tc>
          <w:tcPr>
            <w:tcW w:w="1450" w:type="dxa"/>
            <w:tcBorders>
              <w:top w:val="single" w:color="auto" w:sz="4" w:space="0"/>
              <w:left w:val="single" w:color="auto" w:sz="4" w:space="0"/>
              <w:bottom w:val="single" w:color="auto" w:sz="4" w:space="0"/>
              <w:right w:val="single" w:color="auto" w:sz="4" w:space="0"/>
            </w:tcBorders>
            <w:noWrap w:val="0"/>
            <w:vAlign w:val="center"/>
          </w:tcPr>
          <w:p w14:paraId="3A52FB5A">
            <w:pPr>
              <w:ind w:firstLine="600" w:firstLineChars="250"/>
              <w:jc w:val="center"/>
              <w:rPr>
                <w:rFonts w:hint="eastAsia" w:ascii="宋体" w:hAnsi="宋体" w:cs="宋体"/>
                <w:color w:val="000000" w:themeColor="text1"/>
                <w:sz w:val="24"/>
                <w:szCs w:val="24"/>
                <w:highlight w:val="none"/>
                <w14:textFill>
                  <w14:solidFill>
                    <w14:schemeClr w14:val="tx1"/>
                  </w14:solidFill>
                </w14:textFill>
              </w:rPr>
            </w:pPr>
          </w:p>
        </w:tc>
      </w:tr>
      <w:tr w14:paraId="217D8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0"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14:paraId="25098F45">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供 应 商</w:t>
            </w:r>
          </w:p>
          <w:p w14:paraId="545D72C5">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自检结论</w:t>
            </w:r>
          </w:p>
        </w:tc>
        <w:tc>
          <w:tcPr>
            <w:tcW w:w="6945" w:type="dxa"/>
            <w:gridSpan w:val="6"/>
            <w:tcBorders>
              <w:top w:val="single" w:color="auto" w:sz="4" w:space="0"/>
              <w:left w:val="single" w:color="auto" w:sz="4" w:space="0"/>
              <w:bottom w:val="single" w:color="auto" w:sz="4" w:space="0"/>
              <w:right w:val="single" w:color="auto" w:sz="4" w:space="0"/>
            </w:tcBorders>
            <w:noWrap w:val="0"/>
            <w:vAlign w:val="center"/>
          </w:tcPr>
          <w:p w14:paraId="35996C3F">
            <w:pPr>
              <w:jc w:val="center"/>
              <w:rPr>
                <w:rFonts w:hint="eastAsia" w:ascii="宋体" w:hAnsi="宋体" w:cs="宋体"/>
                <w:color w:val="000000" w:themeColor="text1"/>
                <w:sz w:val="24"/>
                <w:szCs w:val="24"/>
                <w:highlight w:val="none"/>
                <w14:textFill>
                  <w14:solidFill>
                    <w14:schemeClr w14:val="tx1"/>
                  </w14:solidFill>
                </w14:textFill>
              </w:rPr>
            </w:pPr>
          </w:p>
          <w:p w14:paraId="78767F15">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w:t>
            </w:r>
          </w:p>
          <w:p w14:paraId="7743527D">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供应商（盖章）</w:t>
            </w:r>
          </w:p>
          <w:p w14:paraId="784B168C">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年    月    日</w:t>
            </w:r>
          </w:p>
        </w:tc>
      </w:tr>
      <w:tr w14:paraId="37E5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14:paraId="72618364">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 购 人</w:t>
            </w:r>
          </w:p>
          <w:p w14:paraId="2A4DC9D7">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验收意见</w:t>
            </w:r>
          </w:p>
        </w:tc>
        <w:tc>
          <w:tcPr>
            <w:tcW w:w="6945" w:type="dxa"/>
            <w:gridSpan w:val="6"/>
            <w:tcBorders>
              <w:top w:val="single" w:color="auto" w:sz="4" w:space="0"/>
              <w:left w:val="single" w:color="auto" w:sz="4" w:space="0"/>
              <w:bottom w:val="single" w:color="auto" w:sz="4" w:space="0"/>
              <w:right w:val="single" w:color="auto" w:sz="4" w:space="0"/>
            </w:tcBorders>
            <w:noWrap w:val="0"/>
            <w:vAlign w:val="center"/>
          </w:tcPr>
          <w:p w14:paraId="52922750">
            <w:pPr>
              <w:jc w:val="center"/>
              <w:rPr>
                <w:rFonts w:hint="eastAsia" w:ascii="宋体" w:hAnsi="宋体" w:cs="宋体"/>
                <w:color w:val="000000" w:themeColor="text1"/>
                <w:sz w:val="24"/>
                <w:szCs w:val="24"/>
                <w:highlight w:val="none"/>
                <w14:textFill>
                  <w14:solidFill>
                    <w14:schemeClr w14:val="tx1"/>
                  </w14:solidFill>
                </w14:textFill>
              </w:rPr>
            </w:pPr>
          </w:p>
          <w:p w14:paraId="17941C2E">
            <w:pPr>
              <w:ind w:right="420" w:firstLine="3840" w:firstLineChars="1600"/>
              <w:jc w:val="center"/>
              <w:rPr>
                <w:rFonts w:hint="eastAsia" w:ascii="宋体" w:hAnsi="宋体" w:cs="宋体"/>
                <w:color w:val="000000" w:themeColor="text1"/>
                <w:sz w:val="24"/>
                <w:szCs w:val="24"/>
                <w:highlight w:val="none"/>
                <w14:textFill>
                  <w14:solidFill>
                    <w14:schemeClr w14:val="tx1"/>
                  </w14:solidFill>
                </w14:textFill>
              </w:rPr>
            </w:pPr>
          </w:p>
          <w:p w14:paraId="463B889C">
            <w:pPr>
              <w:ind w:right="420" w:firstLine="3600" w:firstLineChars="1500"/>
              <w:rPr>
                <w:rFonts w:hint="eastAsia" w:ascii="宋体" w:hAnsi="宋体" w:cs="宋体"/>
                <w:color w:val="000000" w:themeColor="text1"/>
                <w:sz w:val="24"/>
                <w:szCs w:val="24"/>
                <w:highlight w:val="none"/>
                <w14:textFill>
                  <w14:solidFill>
                    <w14:schemeClr w14:val="tx1"/>
                  </w14:solidFill>
                </w14:textFill>
              </w:rPr>
            </w:pPr>
          </w:p>
        </w:tc>
      </w:tr>
      <w:tr w14:paraId="72BC2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14:paraId="4B5B37C6">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使用部门</w:t>
            </w:r>
          </w:p>
        </w:tc>
        <w:tc>
          <w:tcPr>
            <w:tcW w:w="1355" w:type="dxa"/>
            <w:tcBorders>
              <w:top w:val="single" w:color="auto" w:sz="4" w:space="0"/>
              <w:left w:val="single" w:color="auto" w:sz="4" w:space="0"/>
              <w:bottom w:val="single" w:color="auto" w:sz="4" w:space="0"/>
              <w:right w:val="single" w:color="auto" w:sz="4" w:space="0"/>
            </w:tcBorders>
            <w:noWrap w:val="0"/>
            <w:vAlign w:val="center"/>
          </w:tcPr>
          <w:p w14:paraId="23C1E25F">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产品名称</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43D62332">
            <w:pPr>
              <w:ind w:left="105" w:hanging="120" w:hangingChars="50"/>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规格型号</w:t>
            </w: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14:paraId="2CE2FA8E">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金额</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17D30807">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数量</w:t>
            </w:r>
          </w:p>
        </w:tc>
        <w:tc>
          <w:tcPr>
            <w:tcW w:w="1450" w:type="dxa"/>
            <w:tcBorders>
              <w:top w:val="single" w:color="auto" w:sz="4" w:space="0"/>
              <w:left w:val="single" w:color="auto" w:sz="4" w:space="0"/>
              <w:bottom w:val="single" w:color="auto" w:sz="4" w:space="0"/>
              <w:right w:val="single" w:color="auto" w:sz="4" w:space="0"/>
            </w:tcBorders>
            <w:noWrap w:val="0"/>
            <w:vAlign w:val="center"/>
          </w:tcPr>
          <w:p w14:paraId="43DDF53F">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使用部门</w:t>
            </w:r>
          </w:p>
          <w:p w14:paraId="48F2618E">
            <w:pPr>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验收意见</w:t>
            </w:r>
          </w:p>
        </w:tc>
      </w:tr>
      <w:tr w14:paraId="6B600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14:paraId="68DA98B8">
            <w:pPr>
              <w:jc w:val="center"/>
              <w:rPr>
                <w:rFonts w:hint="eastAsia" w:ascii="宋体" w:hAnsi="宋体" w:cs="宋体"/>
                <w:color w:val="000000" w:themeColor="text1"/>
                <w:sz w:val="24"/>
                <w:szCs w:val="24"/>
                <w:highlight w:val="none"/>
                <w14:textFill>
                  <w14:solidFill>
                    <w14:schemeClr w14:val="tx1"/>
                  </w14:solidFill>
                </w14:textFill>
              </w:rPr>
            </w:pPr>
          </w:p>
        </w:tc>
        <w:tc>
          <w:tcPr>
            <w:tcW w:w="1355" w:type="dxa"/>
            <w:tcBorders>
              <w:top w:val="single" w:color="auto" w:sz="4" w:space="0"/>
              <w:left w:val="single" w:color="auto" w:sz="4" w:space="0"/>
              <w:bottom w:val="single" w:color="auto" w:sz="4" w:space="0"/>
              <w:right w:val="single" w:color="auto" w:sz="4" w:space="0"/>
            </w:tcBorders>
            <w:noWrap w:val="0"/>
            <w:vAlign w:val="center"/>
          </w:tcPr>
          <w:p w14:paraId="4447A8BF">
            <w:pPr>
              <w:ind w:left="210" w:hanging="240" w:hangingChars="100"/>
              <w:jc w:val="center"/>
              <w:rPr>
                <w:rFonts w:hint="eastAsia" w:ascii="宋体" w:hAnsi="宋体" w:cs="宋体"/>
                <w:color w:val="000000" w:themeColor="text1"/>
                <w:sz w:val="24"/>
                <w:szCs w:val="24"/>
                <w:highlight w:val="none"/>
                <w14:textFill>
                  <w14:solidFill>
                    <w14:schemeClr w14:val="tx1"/>
                  </w14:solidFill>
                </w14:textFill>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398525D3">
            <w:pPr>
              <w:jc w:val="center"/>
              <w:rPr>
                <w:rFonts w:hint="eastAsia" w:ascii="宋体" w:hAnsi="宋体" w:cs="宋体"/>
                <w:color w:val="000000" w:themeColor="text1"/>
                <w:sz w:val="24"/>
                <w:szCs w:val="24"/>
                <w:highlight w:val="none"/>
                <w14:textFill>
                  <w14:solidFill>
                    <w14:schemeClr w14:val="tx1"/>
                  </w14:solidFill>
                </w14:textFill>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14:paraId="1583551E">
            <w:pPr>
              <w:jc w:val="center"/>
              <w:rPr>
                <w:rFonts w:hint="eastAsia" w:ascii="宋体" w:hAnsi="宋体" w:cs="宋体"/>
                <w:color w:val="000000" w:themeColor="text1"/>
                <w:sz w:val="24"/>
                <w:szCs w:val="24"/>
                <w:highlight w:val="none"/>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70E5DF1F">
            <w:pPr>
              <w:jc w:val="center"/>
              <w:rPr>
                <w:rFonts w:hint="eastAsia" w:ascii="宋体" w:hAnsi="宋体" w:cs="宋体"/>
                <w:color w:val="000000" w:themeColor="text1"/>
                <w:sz w:val="24"/>
                <w:szCs w:val="24"/>
                <w:highlight w:val="none"/>
                <w14:textFill>
                  <w14:solidFill>
                    <w14:schemeClr w14:val="tx1"/>
                  </w14:solidFill>
                </w14:textFill>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14:paraId="4FFCB7E2">
            <w:pPr>
              <w:jc w:val="center"/>
              <w:rPr>
                <w:rFonts w:hint="eastAsia" w:ascii="宋体" w:hAnsi="宋体" w:cs="宋体"/>
                <w:color w:val="000000" w:themeColor="text1"/>
                <w:sz w:val="24"/>
                <w:szCs w:val="24"/>
                <w:highlight w:val="none"/>
                <w14:textFill>
                  <w14:solidFill>
                    <w14:schemeClr w14:val="tx1"/>
                  </w14:solidFill>
                </w14:textFill>
              </w:rPr>
            </w:pPr>
          </w:p>
        </w:tc>
      </w:tr>
      <w:tr w14:paraId="758F5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14:paraId="1CF04503">
            <w:pPr>
              <w:jc w:val="center"/>
              <w:rPr>
                <w:rFonts w:hint="eastAsia" w:ascii="宋体" w:hAnsi="宋体" w:cs="宋体"/>
                <w:color w:val="000000" w:themeColor="text1"/>
                <w:sz w:val="24"/>
                <w:szCs w:val="24"/>
                <w:highlight w:val="none"/>
                <w14:textFill>
                  <w14:solidFill>
                    <w14:schemeClr w14:val="tx1"/>
                  </w14:solidFill>
                </w14:textFill>
              </w:rPr>
            </w:pPr>
          </w:p>
        </w:tc>
        <w:tc>
          <w:tcPr>
            <w:tcW w:w="1355" w:type="dxa"/>
            <w:tcBorders>
              <w:top w:val="single" w:color="auto" w:sz="4" w:space="0"/>
              <w:left w:val="single" w:color="auto" w:sz="4" w:space="0"/>
              <w:bottom w:val="single" w:color="auto" w:sz="4" w:space="0"/>
              <w:right w:val="single" w:color="auto" w:sz="4" w:space="0"/>
            </w:tcBorders>
            <w:noWrap w:val="0"/>
            <w:vAlign w:val="center"/>
          </w:tcPr>
          <w:p w14:paraId="211E6E25">
            <w:pPr>
              <w:ind w:left="210" w:hanging="240" w:hangingChars="100"/>
              <w:jc w:val="center"/>
              <w:rPr>
                <w:rFonts w:hint="eastAsia" w:ascii="宋体" w:hAnsi="宋体" w:cs="宋体"/>
                <w:color w:val="000000" w:themeColor="text1"/>
                <w:sz w:val="24"/>
                <w:szCs w:val="24"/>
                <w:highlight w:val="none"/>
                <w14:textFill>
                  <w14:solidFill>
                    <w14:schemeClr w14:val="tx1"/>
                  </w14:solidFill>
                </w14:textFill>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1A9B4E95">
            <w:pPr>
              <w:jc w:val="center"/>
              <w:rPr>
                <w:rFonts w:hint="eastAsia" w:ascii="宋体" w:hAnsi="宋体" w:cs="宋体"/>
                <w:color w:val="000000" w:themeColor="text1"/>
                <w:sz w:val="24"/>
                <w:szCs w:val="24"/>
                <w:highlight w:val="none"/>
                <w14:textFill>
                  <w14:solidFill>
                    <w14:schemeClr w14:val="tx1"/>
                  </w14:solidFill>
                </w14:textFill>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14:paraId="3083BC4A">
            <w:pPr>
              <w:jc w:val="center"/>
              <w:rPr>
                <w:rFonts w:hint="eastAsia" w:ascii="宋体" w:hAnsi="宋体" w:cs="宋体"/>
                <w:color w:val="000000" w:themeColor="text1"/>
                <w:sz w:val="24"/>
                <w:szCs w:val="24"/>
                <w:highlight w:val="none"/>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F1C347A">
            <w:pPr>
              <w:jc w:val="center"/>
              <w:rPr>
                <w:rFonts w:hint="eastAsia" w:ascii="宋体" w:hAnsi="宋体" w:cs="宋体"/>
                <w:color w:val="000000" w:themeColor="text1"/>
                <w:sz w:val="24"/>
                <w:szCs w:val="24"/>
                <w:highlight w:val="none"/>
                <w14:textFill>
                  <w14:solidFill>
                    <w14:schemeClr w14:val="tx1"/>
                  </w14:solidFill>
                </w14:textFill>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14:paraId="6A25D720">
            <w:pPr>
              <w:jc w:val="center"/>
              <w:rPr>
                <w:rFonts w:hint="eastAsia" w:ascii="宋体" w:hAnsi="宋体" w:cs="宋体"/>
                <w:color w:val="000000" w:themeColor="text1"/>
                <w:sz w:val="24"/>
                <w:szCs w:val="24"/>
                <w:highlight w:val="none"/>
                <w14:textFill>
                  <w14:solidFill>
                    <w14:schemeClr w14:val="tx1"/>
                  </w14:solidFill>
                </w14:textFill>
              </w:rPr>
            </w:pPr>
          </w:p>
        </w:tc>
      </w:tr>
      <w:tr w14:paraId="2A7BE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14:paraId="34BF79AD">
            <w:pPr>
              <w:jc w:val="center"/>
              <w:rPr>
                <w:rFonts w:hint="eastAsia" w:ascii="宋体" w:hAnsi="宋体" w:cs="宋体"/>
                <w:color w:val="000000" w:themeColor="text1"/>
                <w:sz w:val="24"/>
                <w:szCs w:val="24"/>
                <w:highlight w:val="none"/>
                <w14:textFill>
                  <w14:solidFill>
                    <w14:schemeClr w14:val="tx1"/>
                  </w14:solidFill>
                </w14:textFill>
              </w:rPr>
            </w:pPr>
          </w:p>
        </w:tc>
        <w:tc>
          <w:tcPr>
            <w:tcW w:w="1355" w:type="dxa"/>
            <w:tcBorders>
              <w:top w:val="single" w:color="auto" w:sz="4" w:space="0"/>
              <w:left w:val="single" w:color="auto" w:sz="4" w:space="0"/>
              <w:bottom w:val="single" w:color="auto" w:sz="4" w:space="0"/>
              <w:right w:val="single" w:color="auto" w:sz="4" w:space="0"/>
            </w:tcBorders>
            <w:noWrap w:val="0"/>
            <w:vAlign w:val="center"/>
          </w:tcPr>
          <w:p w14:paraId="3DA5FF57">
            <w:pPr>
              <w:ind w:left="210" w:hanging="240" w:hangingChars="100"/>
              <w:jc w:val="center"/>
              <w:rPr>
                <w:rFonts w:hint="eastAsia" w:ascii="宋体" w:hAnsi="宋体" w:cs="宋体"/>
                <w:color w:val="000000" w:themeColor="text1"/>
                <w:sz w:val="24"/>
                <w:szCs w:val="24"/>
                <w:highlight w:val="none"/>
                <w14:textFill>
                  <w14:solidFill>
                    <w14:schemeClr w14:val="tx1"/>
                  </w14:solidFill>
                </w14:textFill>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4587B34B">
            <w:pPr>
              <w:jc w:val="center"/>
              <w:rPr>
                <w:rFonts w:hint="eastAsia" w:ascii="宋体" w:hAnsi="宋体" w:cs="宋体"/>
                <w:color w:val="000000" w:themeColor="text1"/>
                <w:sz w:val="24"/>
                <w:szCs w:val="24"/>
                <w:highlight w:val="none"/>
                <w14:textFill>
                  <w14:solidFill>
                    <w14:schemeClr w14:val="tx1"/>
                  </w14:solidFill>
                </w14:textFill>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14:paraId="5EFBCE7B">
            <w:pPr>
              <w:jc w:val="center"/>
              <w:rPr>
                <w:rFonts w:hint="eastAsia" w:ascii="宋体" w:hAnsi="宋体" w:cs="宋体"/>
                <w:color w:val="000000" w:themeColor="text1"/>
                <w:sz w:val="24"/>
                <w:szCs w:val="24"/>
                <w:highlight w:val="none"/>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13D511D5">
            <w:pPr>
              <w:jc w:val="center"/>
              <w:rPr>
                <w:rFonts w:hint="eastAsia" w:ascii="宋体" w:hAnsi="宋体" w:cs="宋体"/>
                <w:color w:val="000000" w:themeColor="text1"/>
                <w:sz w:val="24"/>
                <w:szCs w:val="24"/>
                <w:highlight w:val="none"/>
                <w14:textFill>
                  <w14:solidFill>
                    <w14:schemeClr w14:val="tx1"/>
                  </w14:solidFill>
                </w14:textFill>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14:paraId="7F5D3D85">
            <w:pPr>
              <w:jc w:val="center"/>
              <w:rPr>
                <w:rFonts w:hint="eastAsia" w:ascii="宋体" w:hAnsi="宋体" w:cs="宋体"/>
                <w:color w:val="000000" w:themeColor="text1"/>
                <w:sz w:val="24"/>
                <w:szCs w:val="24"/>
                <w:highlight w:val="none"/>
                <w14:textFill>
                  <w14:solidFill>
                    <w14:schemeClr w14:val="tx1"/>
                  </w14:solidFill>
                </w14:textFill>
              </w:rPr>
            </w:pPr>
          </w:p>
        </w:tc>
      </w:tr>
      <w:tr w14:paraId="2DA12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14:paraId="2E77D07A">
            <w:pPr>
              <w:jc w:val="center"/>
              <w:rPr>
                <w:rFonts w:hint="eastAsia" w:ascii="宋体" w:hAnsi="宋体" w:cs="宋体"/>
                <w:color w:val="000000" w:themeColor="text1"/>
                <w:sz w:val="24"/>
                <w:szCs w:val="24"/>
                <w:highlight w:val="none"/>
                <w14:textFill>
                  <w14:solidFill>
                    <w14:schemeClr w14:val="tx1"/>
                  </w14:solidFill>
                </w14:textFill>
              </w:rPr>
            </w:pPr>
          </w:p>
        </w:tc>
        <w:tc>
          <w:tcPr>
            <w:tcW w:w="1355" w:type="dxa"/>
            <w:tcBorders>
              <w:top w:val="single" w:color="auto" w:sz="4" w:space="0"/>
              <w:left w:val="single" w:color="auto" w:sz="4" w:space="0"/>
              <w:bottom w:val="single" w:color="auto" w:sz="4" w:space="0"/>
              <w:right w:val="single" w:color="auto" w:sz="4" w:space="0"/>
            </w:tcBorders>
            <w:noWrap w:val="0"/>
            <w:vAlign w:val="center"/>
          </w:tcPr>
          <w:p w14:paraId="5CF818F8">
            <w:pPr>
              <w:ind w:left="210" w:hanging="240" w:hangingChars="100"/>
              <w:jc w:val="center"/>
              <w:rPr>
                <w:rFonts w:hint="eastAsia" w:ascii="宋体" w:hAnsi="宋体" w:cs="宋体"/>
                <w:color w:val="000000" w:themeColor="text1"/>
                <w:sz w:val="24"/>
                <w:szCs w:val="24"/>
                <w:highlight w:val="none"/>
                <w14:textFill>
                  <w14:solidFill>
                    <w14:schemeClr w14:val="tx1"/>
                  </w14:solidFill>
                </w14:textFill>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6A8D97D">
            <w:pPr>
              <w:jc w:val="center"/>
              <w:rPr>
                <w:rFonts w:hint="eastAsia" w:ascii="宋体" w:hAnsi="宋体" w:cs="宋体"/>
                <w:color w:val="000000" w:themeColor="text1"/>
                <w:sz w:val="24"/>
                <w:szCs w:val="24"/>
                <w:highlight w:val="none"/>
                <w14:textFill>
                  <w14:solidFill>
                    <w14:schemeClr w14:val="tx1"/>
                  </w14:solidFill>
                </w14:textFill>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14:paraId="469C45F3">
            <w:pPr>
              <w:jc w:val="center"/>
              <w:rPr>
                <w:rFonts w:hint="eastAsia" w:ascii="宋体" w:hAnsi="宋体" w:cs="宋体"/>
                <w:color w:val="000000" w:themeColor="text1"/>
                <w:sz w:val="24"/>
                <w:szCs w:val="24"/>
                <w:highlight w:val="none"/>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6DF7067">
            <w:pPr>
              <w:jc w:val="center"/>
              <w:rPr>
                <w:rFonts w:hint="eastAsia" w:ascii="宋体" w:hAnsi="宋体" w:cs="宋体"/>
                <w:color w:val="000000" w:themeColor="text1"/>
                <w:sz w:val="24"/>
                <w:szCs w:val="24"/>
                <w:highlight w:val="none"/>
                <w14:textFill>
                  <w14:solidFill>
                    <w14:schemeClr w14:val="tx1"/>
                  </w14:solidFill>
                </w14:textFill>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14:paraId="0120AF25">
            <w:pPr>
              <w:jc w:val="center"/>
              <w:rPr>
                <w:rFonts w:hint="eastAsia" w:ascii="宋体" w:hAnsi="宋体" w:cs="宋体"/>
                <w:color w:val="000000" w:themeColor="text1"/>
                <w:sz w:val="24"/>
                <w:szCs w:val="24"/>
                <w:highlight w:val="none"/>
                <w14:textFill>
                  <w14:solidFill>
                    <w14:schemeClr w14:val="tx1"/>
                  </w14:solidFill>
                </w14:textFill>
              </w:rPr>
            </w:pPr>
          </w:p>
        </w:tc>
      </w:tr>
      <w:tr w14:paraId="0E097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14:paraId="3CA8E8A7">
            <w:pPr>
              <w:jc w:val="center"/>
              <w:rPr>
                <w:rFonts w:hint="eastAsia" w:ascii="宋体" w:hAnsi="宋体" w:cs="宋体"/>
                <w:color w:val="000000" w:themeColor="text1"/>
                <w:sz w:val="24"/>
                <w:szCs w:val="24"/>
                <w:highlight w:val="none"/>
                <w14:textFill>
                  <w14:solidFill>
                    <w14:schemeClr w14:val="tx1"/>
                  </w14:solidFill>
                </w14:textFill>
              </w:rPr>
            </w:pPr>
          </w:p>
        </w:tc>
        <w:tc>
          <w:tcPr>
            <w:tcW w:w="1355" w:type="dxa"/>
            <w:tcBorders>
              <w:top w:val="single" w:color="auto" w:sz="4" w:space="0"/>
              <w:left w:val="single" w:color="auto" w:sz="4" w:space="0"/>
              <w:bottom w:val="single" w:color="auto" w:sz="4" w:space="0"/>
              <w:right w:val="single" w:color="auto" w:sz="4" w:space="0"/>
            </w:tcBorders>
            <w:noWrap w:val="0"/>
            <w:vAlign w:val="center"/>
          </w:tcPr>
          <w:p w14:paraId="5EB023E9">
            <w:pPr>
              <w:ind w:left="210" w:hanging="240" w:hangingChars="100"/>
              <w:jc w:val="center"/>
              <w:rPr>
                <w:rFonts w:hint="eastAsia" w:ascii="宋体" w:hAnsi="宋体" w:cs="宋体"/>
                <w:color w:val="000000" w:themeColor="text1"/>
                <w:sz w:val="24"/>
                <w:szCs w:val="24"/>
                <w:highlight w:val="none"/>
                <w14:textFill>
                  <w14:solidFill>
                    <w14:schemeClr w14:val="tx1"/>
                  </w14:solidFill>
                </w14:textFill>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976BB4B">
            <w:pPr>
              <w:jc w:val="center"/>
              <w:rPr>
                <w:rFonts w:hint="eastAsia" w:ascii="宋体" w:hAnsi="宋体" w:cs="宋体"/>
                <w:color w:val="000000" w:themeColor="text1"/>
                <w:sz w:val="24"/>
                <w:szCs w:val="24"/>
                <w:highlight w:val="none"/>
                <w14:textFill>
                  <w14:solidFill>
                    <w14:schemeClr w14:val="tx1"/>
                  </w14:solidFill>
                </w14:textFill>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14:paraId="64E1279A">
            <w:pPr>
              <w:jc w:val="center"/>
              <w:rPr>
                <w:rFonts w:hint="eastAsia" w:ascii="宋体" w:hAnsi="宋体" w:cs="宋体"/>
                <w:color w:val="000000" w:themeColor="text1"/>
                <w:sz w:val="24"/>
                <w:szCs w:val="24"/>
                <w:highlight w:val="none"/>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134BF4D0">
            <w:pPr>
              <w:jc w:val="center"/>
              <w:rPr>
                <w:rFonts w:hint="eastAsia" w:ascii="宋体" w:hAnsi="宋体" w:cs="宋体"/>
                <w:color w:val="000000" w:themeColor="text1"/>
                <w:sz w:val="24"/>
                <w:szCs w:val="24"/>
                <w:highlight w:val="none"/>
                <w14:textFill>
                  <w14:solidFill>
                    <w14:schemeClr w14:val="tx1"/>
                  </w14:solidFill>
                </w14:textFill>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14:paraId="0A694131">
            <w:pPr>
              <w:jc w:val="center"/>
              <w:rPr>
                <w:rFonts w:hint="eastAsia" w:ascii="宋体" w:hAnsi="宋体" w:cs="宋体"/>
                <w:color w:val="000000" w:themeColor="text1"/>
                <w:sz w:val="24"/>
                <w:szCs w:val="24"/>
                <w:highlight w:val="none"/>
                <w14:textFill>
                  <w14:solidFill>
                    <w14:schemeClr w14:val="tx1"/>
                  </w14:solidFill>
                </w14:textFill>
              </w:rPr>
            </w:pPr>
          </w:p>
        </w:tc>
      </w:tr>
      <w:tr w14:paraId="08C60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65" w:type="dxa"/>
            <w:tcBorders>
              <w:top w:val="single" w:color="auto" w:sz="4" w:space="0"/>
              <w:left w:val="single" w:color="auto" w:sz="4" w:space="0"/>
              <w:bottom w:val="single" w:color="auto" w:sz="4" w:space="0"/>
              <w:right w:val="single" w:color="auto" w:sz="4" w:space="0"/>
            </w:tcBorders>
            <w:noWrap w:val="0"/>
            <w:vAlign w:val="center"/>
          </w:tcPr>
          <w:p w14:paraId="0BE345F3">
            <w:pPr>
              <w:jc w:val="center"/>
              <w:rPr>
                <w:rFonts w:hint="eastAsia" w:ascii="宋体" w:hAnsi="宋体" w:cs="宋体"/>
                <w:color w:val="000000" w:themeColor="text1"/>
                <w:sz w:val="24"/>
                <w:szCs w:val="24"/>
                <w:highlight w:val="none"/>
                <w14:textFill>
                  <w14:solidFill>
                    <w14:schemeClr w14:val="tx1"/>
                  </w14:solidFill>
                </w14:textFill>
              </w:rPr>
            </w:pPr>
          </w:p>
        </w:tc>
        <w:tc>
          <w:tcPr>
            <w:tcW w:w="1355" w:type="dxa"/>
            <w:tcBorders>
              <w:top w:val="single" w:color="auto" w:sz="4" w:space="0"/>
              <w:left w:val="single" w:color="auto" w:sz="4" w:space="0"/>
              <w:bottom w:val="single" w:color="auto" w:sz="4" w:space="0"/>
              <w:right w:val="single" w:color="auto" w:sz="4" w:space="0"/>
            </w:tcBorders>
            <w:noWrap w:val="0"/>
            <w:vAlign w:val="center"/>
          </w:tcPr>
          <w:p w14:paraId="502D4934">
            <w:pPr>
              <w:ind w:left="210" w:hanging="240" w:hangingChars="100"/>
              <w:jc w:val="center"/>
              <w:rPr>
                <w:rFonts w:hint="eastAsia" w:ascii="宋体" w:hAnsi="宋体" w:cs="宋体"/>
                <w:color w:val="000000" w:themeColor="text1"/>
                <w:sz w:val="24"/>
                <w:szCs w:val="24"/>
                <w:highlight w:val="none"/>
                <w14:textFill>
                  <w14:solidFill>
                    <w14:schemeClr w14:val="tx1"/>
                  </w14:solidFill>
                </w14:textFill>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0ADEC55E">
            <w:pPr>
              <w:jc w:val="center"/>
              <w:rPr>
                <w:rFonts w:hint="eastAsia" w:ascii="宋体" w:hAnsi="宋体" w:cs="宋体"/>
                <w:color w:val="000000" w:themeColor="text1"/>
                <w:sz w:val="24"/>
                <w:szCs w:val="24"/>
                <w:highlight w:val="none"/>
                <w14:textFill>
                  <w14:solidFill>
                    <w14:schemeClr w14:val="tx1"/>
                  </w14:solidFill>
                </w14:textFill>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14:paraId="1B5A5E46">
            <w:pPr>
              <w:jc w:val="center"/>
              <w:rPr>
                <w:rFonts w:hint="eastAsia" w:ascii="宋体" w:hAnsi="宋体" w:cs="宋体"/>
                <w:color w:val="000000" w:themeColor="text1"/>
                <w:sz w:val="24"/>
                <w:szCs w:val="24"/>
                <w:highlight w:val="none"/>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19566AB">
            <w:pPr>
              <w:jc w:val="center"/>
              <w:rPr>
                <w:rFonts w:hint="eastAsia" w:ascii="宋体" w:hAnsi="宋体" w:cs="宋体"/>
                <w:color w:val="000000" w:themeColor="text1"/>
                <w:sz w:val="24"/>
                <w:szCs w:val="24"/>
                <w:highlight w:val="none"/>
                <w14:textFill>
                  <w14:solidFill>
                    <w14:schemeClr w14:val="tx1"/>
                  </w14:solidFill>
                </w14:textFill>
              </w:rPr>
            </w:pPr>
          </w:p>
        </w:tc>
        <w:tc>
          <w:tcPr>
            <w:tcW w:w="1450" w:type="dxa"/>
            <w:tcBorders>
              <w:top w:val="single" w:color="auto" w:sz="4" w:space="0"/>
              <w:left w:val="single" w:color="auto" w:sz="4" w:space="0"/>
              <w:bottom w:val="single" w:color="auto" w:sz="4" w:space="0"/>
              <w:right w:val="single" w:color="auto" w:sz="4" w:space="0"/>
            </w:tcBorders>
            <w:noWrap w:val="0"/>
            <w:vAlign w:val="center"/>
          </w:tcPr>
          <w:p w14:paraId="5A818DD3">
            <w:pPr>
              <w:jc w:val="center"/>
              <w:rPr>
                <w:rFonts w:hint="eastAsia" w:ascii="宋体" w:hAnsi="宋体" w:cs="宋体"/>
                <w:color w:val="000000" w:themeColor="text1"/>
                <w:sz w:val="24"/>
                <w:szCs w:val="24"/>
                <w:highlight w:val="none"/>
                <w14:textFill>
                  <w14:solidFill>
                    <w14:schemeClr w14:val="tx1"/>
                  </w14:solidFill>
                </w14:textFill>
              </w:rPr>
            </w:pPr>
          </w:p>
        </w:tc>
      </w:tr>
    </w:tbl>
    <w:p w14:paraId="475F7EE0">
      <w:pPr>
        <w:wordWrap w:val="0"/>
        <w:jc w:val="right"/>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金额单位：元</w:t>
      </w:r>
    </w:p>
    <w:p w14:paraId="195273FC">
      <w:pPr>
        <w:pStyle w:val="21"/>
        <w:rPr>
          <w:rFonts w:hint="eastAsia"/>
          <w:color w:val="000000" w:themeColor="text1"/>
          <w:highlight w:val="none"/>
          <w14:textFill>
            <w14:solidFill>
              <w14:schemeClr w14:val="tx1"/>
            </w14:solidFill>
          </w14:textFill>
        </w:rPr>
      </w:pPr>
    </w:p>
    <w:p w14:paraId="36D35EE8">
      <w:pPr>
        <w:ind w:left="-718" w:firstLine="840" w:firstLineChars="4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lang w:val="en-US"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本单一式</w:t>
      </w:r>
      <w:r>
        <w:rPr>
          <w:rFonts w:hint="eastAsia" w:ascii="宋体" w:hAnsi="宋体" w:cs="宋体"/>
          <w:color w:val="000000" w:themeColor="text1"/>
          <w:szCs w:val="21"/>
          <w:highlight w:val="none"/>
          <w:lang w:eastAsia="zh-CN"/>
          <w14:textFill>
            <w14:solidFill>
              <w14:schemeClr w14:val="tx1"/>
            </w14:solidFill>
          </w14:textFill>
        </w:rPr>
        <w:t>五</w:t>
      </w:r>
      <w:r>
        <w:rPr>
          <w:rFonts w:hint="eastAsia" w:ascii="宋体" w:hAnsi="宋体" w:cs="宋体"/>
          <w:color w:val="000000" w:themeColor="text1"/>
          <w:szCs w:val="21"/>
          <w:highlight w:val="none"/>
          <w14:textFill>
            <w14:solidFill>
              <w14:schemeClr w14:val="tx1"/>
            </w14:solidFill>
          </w14:textFill>
        </w:rPr>
        <w:t>份，采购人</w:t>
      </w:r>
      <w:r>
        <w:rPr>
          <w:rFonts w:hint="eastAsia" w:ascii="宋体" w:hAnsi="宋体" w:cs="宋体"/>
          <w:color w:val="000000" w:themeColor="text1"/>
          <w:szCs w:val="21"/>
          <w:highlight w:val="none"/>
          <w:lang w:eastAsia="zh-CN"/>
          <w14:textFill>
            <w14:solidFill>
              <w14:schemeClr w14:val="tx1"/>
            </w14:solidFill>
          </w14:textFill>
        </w:rPr>
        <w:t>三</w:t>
      </w:r>
      <w:r>
        <w:rPr>
          <w:rFonts w:hint="eastAsia" w:ascii="宋体" w:hAnsi="宋体" w:cs="宋体"/>
          <w:color w:val="000000" w:themeColor="text1"/>
          <w:szCs w:val="21"/>
          <w:highlight w:val="none"/>
          <w14:textFill>
            <w14:solidFill>
              <w14:schemeClr w14:val="tx1"/>
            </w14:solidFill>
          </w14:textFill>
        </w:rPr>
        <w:t>份，供应商一份，招标代理机构一份。</w:t>
      </w:r>
    </w:p>
    <w:p w14:paraId="031FE660">
      <w:pPr>
        <w:ind w:left="-718" w:firstLine="840" w:firstLineChars="400"/>
        <w:rPr>
          <w:rFonts w:hint="eastAsia"/>
          <w:color w:val="000000" w:themeColor="text1"/>
          <w:highlight w:val="none"/>
          <w:lang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lang w:val="en-US"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本验收单以采购单位、供货单位验收为主，根据验收情况如实填写签字盖章确认</w:t>
      </w:r>
      <w:r>
        <w:rPr>
          <w:rFonts w:hint="eastAsia"/>
          <w:color w:val="000000" w:themeColor="text1"/>
          <w:highlight w:val="none"/>
          <w:lang w:eastAsia="zh-CN"/>
          <w14:textFill>
            <w14:solidFill>
              <w14:schemeClr w14:val="tx1"/>
            </w14:solidFill>
          </w14:textFill>
        </w:rPr>
        <w:t>。</w:t>
      </w:r>
    </w:p>
    <w:p w14:paraId="4F1B24E7">
      <w:pPr>
        <w:ind w:left="-718" w:firstLine="840" w:firstLineChars="400"/>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3.采购人意见由该项目招标办工作人员填写。</w:t>
      </w:r>
    </w:p>
    <w:p w14:paraId="56A9C5EC">
      <w:pPr>
        <w:pStyle w:val="21"/>
        <w:rPr>
          <w:rFonts w:hint="eastAsia"/>
          <w:color w:val="000000" w:themeColor="text1"/>
          <w:sz w:val="28"/>
          <w:szCs w:val="28"/>
          <w:highlight w:val="none"/>
          <w:lang w:eastAsia="zh-CN"/>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br w:type="page"/>
      </w:r>
      <w:r>
        <w:rPr>
          <w:rFonts w:hint="eastAsia" w:ascii="宋体" w:hAnsi="宋体" w:cs="宋体"/>
          <w:b/>
          <w:color w:val="000000" w:themeColor="text1"/>
          <w:sz w:val="24"/>
          <w:szCs w:val="24"/>
          <w:highlight w:val="none"/>
          <w14:textFill>
            <w14:solidFill>
              <w14:schemeClr w14:val="tx1"/>
            </w14:solidFill>
          </w14:textFill>
        </w:rPr>
        <w:t>附件</w:t>
      </w:r>
      <w:r>
        <w:rPr>
          <w:rFonts w:hint="eastAsia" w:ascii="宋体" w:hAnsi="宋体" w:cs="宋体"/>
          <w:b/>
          <w:color w:val="000000" w:themeColor="text1"/>
          <w:sz w:val="24"/>
          <w:szCs w:val="24"/>
          <w:highlight w:val="none"/>
          <w:lang w:val="en-US" w:eastAsia="zh-CN"/>
          <w14:textFill>
            <w14:solidFill>
              <w14:schemeClr w14:val="tx1"/>
            </w14:solidFill>
          </w14:textFill>
        </w:rPr>
        <w:t>四：</w:t>
      </w:r>
    </w:p>
    <w:p w14:paraId="4A8D9471">
      <w:pPr>
        <w:widowControl w:val="0"/>
        <w:spacing w:line="240" w:lineRule="auto"/>
        <w:jc w:val="center"/>
        <w:rPr>
          <w:rFonts w:hint="eastAsia" w:ascii="方正小标宋简体" w:hAnsi="方正小标宋简体" w:eastAsia="方正小标宋简体" w:cs="方正小标宋简体"/>
          <w:color w:val="000000" w:themeColor="text1"/>
          <w:kern w:val="2"/>
          <w:sz w:val="30"/>
          <w:szCs w:val="30"/>
          <w:highlight w:val="none"/>
          <w14:textFill>
            <w14:solidFill>
              <w14:schemeClr w14:val="tx1"/>
            </w14:solidFill>
          </w14:textFill>
        </w:rPr>
      </w:pPr>
      <w:r>
        <w:rPr>
          <w:rFonts w:hint="eastAsia" w:ascii="方正小标宋简体" w:hAnsi="方正小标宋简体" w:eastAsia="方正小标宋简体" w:cs="方正小标宋简体"/>
          <w:color w:val="000000" w:themeColor="text1"/>
          <w:sz w:val="30"/>
          <w:szCs w:val="30"/>
          <w:highlight w:val="none"/>
          <w14:textFill>
            <w14:solidFill>
              <w14:schemeClr w14:val="tx1"/>
            </w14:solidFill>
          </w14:textFill>
        </w:rPr>
        <w:t>陕西中医药大学招标采购项目验收表</w:t>
      </w:r>
    </w:p>
    <w:tbl>
      <w:tblPr>
        <w:tblStyle w:val="10"/>
        <w:tblpPr w:leftFromText="180" w:rightFromText="180" w:vertAnchor="text" w:tblpXSpec="center" w:tblpY="1"/>
        <w:tblOverlap w:val="never"/>
        <w:tblW w:w="80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1940"/>
        <w:gridCol w:w="1387"/>
        <w:gridCol w:w="1479"/>
        <w:gridCol w:w="1531"/>
      </w:tblGrid>
      <w:tr w14:paraId="1F721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708" w:type="dxa"/>
            <w:noWrap w:val="0"/>
            <w:vAlign w:val="center"/>
          </w:tcPr>
          <w:p w14:paraId="2D6ABD26">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项目名称</w:t>
            </w:r>
          </w:p>
        </w:tc>
        <w:tc>
          <w:tcPr>
            <w:tcW w:w="6337" w:type="dxa"/>
            <w:gridSpan w:val="4"/>
            <w:noWrap w:val="0"/>
            <w:vAlign w:val="center"/>
          </w:tcPr>
          <w:p w14:paraId="1A9B2316">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　</w:t>
            </w:r>
          </w:p>
        </w:tc>
      </w:tr>
      <w:tr w14:paraId="028CB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708" w:type="dxa"/>
            <w:noWrap w:val="0"/>
            <w:vAlign w:val="center"/>
          </w:tcPr>
          <w:p w14:paraId="04227924">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使用部门</w:t>
            </w:r>
          </w:p>
        </w:tc>
        <w:tc>
          <w:tcPr>
            <w:tcW w:w="3327" w:type="dxa"/>
            <w:gridSpan w:val="2"/>
            <w:noWrap w:val="0"/>
            <w:vAlign w:val="center"/>
          </w:tcPr>
          <w:p w14:paraId="2B38F83A">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　</w:t>
            </w:r>
          </w:p>
        </w:tc>
        <w:tc>
          <w:tcPr>
            <w:tcW w:w="1479" w:type="dxa"/>
            <w:noWrap w:val="0"/>
            <w:vAlign w:val="center"/>
          </w:tcPr>
          <w:p w14:paraId="0852B0A8">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合同金额</w:t>
            </w:r>
          </w:p>
        </w:tc>
        <w:tc>
          <w:tcPr>
            <w:tcW w:w="1531" w:type="dxa"/>
            <w:noWrap w:val="0"/>
            <w:vAlign w:val="center"/>
          </w:tcPr>
          <w:p w14:paraId="3AA8FA84">
            <w:pPr>
              <w:rPr>
                <w:color w:val="000000" w:themeColor="text1"/>
                <w:sz w:val="24"/>
                <w:szCs w:val="24"/>
                <w:highlight w:val="none"/>
                <w14:textFill>
                  <w14:solidFill>
                    <w14:schemeClr w14:val="tx1"/>
                  </w14:solidFill>
                </w14:textFill>
              </w:rPr>
            </w:pPr>
          </w:p>
        </w:tc>
      </w:tr>
      <w:tr w14:paraId="05331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708" w:type="dxa"/>
            <w:noWrap w:val="0"/>
            <w:vAlign w:val="center"/>
          </w:tcPr>
          <w:p w14:paraId="43612E10">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项目完成时间</w:t>
            </w:r>
          </w:p>
        </w:tc>
        <w:tc>
          <w:tcPr>
            <w:tcW w:w="6337" w:type="dxa"/>
            <w:gridSpan w:val="4"/>
            <w:noWrap w:val="0"/>
            <w:vAlign w:val="center"/>
          </w:tcPr>
          <w:p w14:paraId="197BBF95">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　</w:t>
            </w:r>
          </w:p>
        </w:tc>
      </w:tr>
      <w:tr w14:paraId="4D8C6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1708" w:type="dxa"/>
            <w:noWrap w:val="0"/>
            <w:vAlign w:val="center"/>
          </w:tcPr>
          <w:p w14:paraId="54B9C97B">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货物名称、数量或工程项目概况</w:t>
            </w:r>
          </w:p>
          <w:p w14:paraId="795BBDBA">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（可附清单）</w:t>
            </w:r>
          </w:p>
        </w:tc>
        <w:tc>
          <w:tcPr>
            <w:tcW w:w="6337" w:type="dxa"/>
            <w:gridSpan w:val="4"/>
            <w:noWrap w:val="0"/>
            <w:vAlign w:val="top"/>
          </w:tcPr>
          <w:p w14:paraId="20CA4421">
            <w:pPr>
              <w:rPr>
                <w:color w:val="000000" w:themeColor="text1"/>
                <w:sz w:val="24"/>
                <w:szCs w:val="24"/>
                <w:highlight w:val="none"/>
                <w14:textFill>
                  <w14:solidFill>
                    <w14:schemeClr w14:val="tx1"/>
                  </w14:solidFill>
                </w14:textFill>
              </w:rPr>
            </w:pPr>
          </w:p>
        </w:tc>
      </w:tr>
      <w:tr w14:paraId="72A37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1708" w:type="dxa"/>
            <w:noWrap w:val="0"/>
            <w:vAlign w:val="center"/>
          </w:tcPr>
          <w:p w14:paraId="2094B32A">
            <w:pPr>
              <w:rPr>
                <w:color w:val="000000" w:themeColor="text1"/>
                <w:sz w:val="24"/>
                <w:szCs w:val="24"/>
                <w:highlight w:val="none"/>
                <w14:textFill>
                  <w14:solidFill>
                    <w14:schemeClr w14:val="tx1"/>
                  </w14:solidFill>
                </w14:textFill>
              </w:rPr>
            </w:pPr>
          </w:p>
          <w:p w14:paraId="1679BC39">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参加验收部门</w:t>
            </w:r>
            <w:r>
              <w:rPr>
                <w:color w:val="000000" w:themeColor="text1"/>
                <w:sz w:val="24"/>
                <w:szCs w:val="24"/>
                <w:highlight w:val="none"/>
                <w14:textFill>
                  <w14:solidFill>
                    <w14:schemeClr w14:val="tx1"/>
                  </w14:solidFill>
                </w14:textFill>
              </w:rPr>
              <w:br w:type="textWrapping"/>
            </w:r>
          </w:p>
        </w:tc>
        <w:tc>
          <w:tcPr>
            <w:tcW w:w="1940" w:type="dxa"/>
            <w:noWrap w:val="0"/>
            <w:vAlign w:val="center"/>
          </w:tcPr>
          <w:p w14:paraId="5A70F867">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验收人员</w:t>
            </w:r>
          </w:p>
        </w:tc>
        <w:tc>
          <w:tcPr>
            <w:tcW w:w="1387" w:type="dxa"/>
            <w:noWrap w:val="0"/>
            <w:vAlign w:val="center"/>
          </w:tcPr>
          <w:p w14:paraId="63D2B842">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职称</w:t>
            </w:r>
          </w:p>
        </w:tc>
        <w:tc>
          <w:tcPr>
            <w:tcW w:w="3010" w:type="dxa"/>
            <w:gridSpan w:val="2"/>
            <w:noWrap w:val="0"/>
            <w:vAlign w:val="center"/>
          </w:tcPr>
          <w:p w14:paraId="3261DD98">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签名</w:t>
            </w:r>
          </w:p>
        </w:tc>
      </w:tr>
      <w:tr w14:paraId="0B0AA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708" w:type="dxa"/>
            <w:noWrap w:val="0"/>
            <w:vAlign w:val="center"/>
          </w:tcPr>
          <w:p w14:paraId="414E97DA">
            <w:pPr>
              <w:rPr>
                <w:color w:val="000000" w:themeColor="text1"/>
                <w:sz w:val="24"/>
                <w:szCs w:val="24"/>
                <w:highlight w:val="none"/>
                <w14:textFill>
                  <w14:solidFill>
                    <w14:schemeClr w14:val="tx1"/>
                  </w14:solidFill>
                </w14:textFill>
              </w:rPr>
            </w:pPr>
          </w:p>
        </w:tc>
        <w:tc>
          <w:tcPr>
            <w:tcW w:w="1940" w:type="dxa"/>
            <w:noWrap w:val="0"/>
            <w:vAlign w:val="center"/>
          </w:tcPr>
          <w:p w14:paraId="19745F57">
            <w:pPr>
              <w:rPr>
                <w:color w:val="000000" w:themeColor="text1"/>
                <w:sz w:val="24"/>
                <w:szCs w:val="24"/>
                <w:highlight w:val="none"/>
                <w14:textFill>
                  <w14:solidFill>
                    <w14:schemeClr w14:val="tx1"/>
                  </w14:solidFill>
                </w14:textFill>
              </w:rPr>
            </w:pPr>
          </w:p>
        </w:tc>
        <w:tc>
          <w:tcPr>
            <w:tcW w:w="1387" w:type="dxa"/>
            <w:noWrap w:val="0"/>
            <w:vAlign w:val="center"/>
          </w:tcPr>
          <w:p w14:paraId="3BDF4765">
            <w:pPr>
              <w:rPr>
                <w:color w:val="000000" w:themeColor="text1"/>
                <w:sz w:val="24"/>
                <w:szCs w:val="24"/>
                <w:highlight w:val="none"/>
                <w14:textFill>
                  <w14:solidFill>
                    <w14:schemeClr w14:val="tx1"/>
                  </w14:solidFill>
                </w14:textFill>
              </w:rPr>
            </w:pPr>
          </w:p>
        </w:tc>
        <w:tc>
          <w:tcPr>
            <w:tcW w:w="3010" w:type="dxa"/>
            <w:gridSpan w:val="2"/>
            <w:noWrap w:val="0"/>
            <w:vAlign w:val="center"/>
          </w:tcPr>
          <w:p w14:paraId="3C70943F">
            <w:pPr>
              <w:rPr>
                <w:color w:val="000000" w:themeColor="text1"/>
                <w:sz w:val="24"/>
                <w:szCs w:val="24"/>
                <w:highlight w:val="none"/>
                <w14:textFill>
                  <w14:solidFill>
                    <w14:schemeClr w14:val="tx1"/>
                  </w14:solidFill>
                </w14:textFill>
              </w:rPr>
            </w:pPr>
          </w:p>
        </w:tc>
      </w:tr>
      <w:tr w14:paraId="58E22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708" w:type="dxa"/>
            <w:noWrap w:val="0"/>
            <w:vAlign w:val="center"/>
          </w:tcPr>
          <w:p w14:paraId="1B7D1E67">
            <w:pPr>
              <w:rPr>
                <w:color w:val="000000" w:themeColor="text1"/>
                <w:sz w:val="24"/>
                <w:szCs w:val="24"/>
                <w:highlight w:val="none"/>
                <w14:textFill>
                  <w14:solidFill>
                    <w14:schemeClr w14:val="tx1"/>
                  </w14:solidFill>
                </w14:textFill>
              </w:rPr>
            </w:pPr>
          </w:p>
        </w:tc>
        <w:tc>
          <w:tcPr>
            <w:tcW w:w="1940" w:type="dxa"/>
            <w:noWrap w:val="0"/>
            <w:vAlign w:val="center"/>
          </w:tcPr>
          <w:p w14:paraId="1986EC86">
            <w:pPr>
              <w:rPr>
                <w:color w:val="000000" w:themeColor="text1"/>
                <w:sz w:val="24"/>
                <w:szCs w:val="24"/>
                <w:highlight w:val="none"/>
                <w14:textFill>
                  <w14:solidFill>
                    <w14:schemeClr w14:val="tx1"/>
                  </w14:solidFill>
                </w14:textFill>
              </w:rPr>
            </w:pPr>
          </w:p>
        </w:tc>
        <w:tc>
          <w:tcPr>
            <w:tcW w:w="1387" w:type="dxa"/>
            <w:noWrap w:val="0"/>
            <w:vAlign w:val="center"/>
          </w:tcPr>
          <w:p w14:paraId="4F814B1F">
            <w:pPr>
              <w:rPr>
                <w:color w:val="000000" w:themeColor="text1"/>
                <w:sz w:val="24"/>
                <w:szCs w:val="24"/>
                <w:highlight w:val="none"/>
                <w14:textFill>
                  <w14:solidFill>
                    <w14:schemeClr w14:val="tx1"/>
                  </w14:solidFill>
                </w14:textFill>
              </w:rPr>
            </w:pPr>
          </w:p>
        </w:tc>
        <w:tc>
          <w:tcPr>
            <w:tcW w:w="3010" w:type="dxa"/>
            <w:gridSpan w:val="2"/>
            <w:noWrap w:val="0"/>
            <w:vAlign w:val="center"/>
          </w:tcPr>
          <w:p w14:paraId="7A998E3C">
            <w:pPr>
              <w:rPr>
                <w:color w:val="000000" w:themeColor="text1"/>
                <w:sz w:val="24"/>
                <w:szCs w:val="24"/>
                <w:highlight w:val="none"/>
                <w14:textFill>
                  <w14:solidFill>
                    <w14:schemeClr w14:val="tx1"/>
                  </w14:solidFill>
                </w14:textFill>
              </w:rPr>
            </w:pPr>
          </w:p>
        </w:tc>
      </w:tr>
      <w:tr w14:paraId="6D6DA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708" w:type="dxa"/>
            <w:noWrap w:val="0"/>
            <w:vAlign w:val="center"/>
          </w:tcPr>
          <w:p w14:paraId="14EEFD8D">
            <w:pPr>
              <w:rPr>
                <w:color w:val="000000" w:themeColor="text1"/>
                <w:sz w:val="24"/>
                <w:szCs w:val="24"/>
                <w:highlight w:val="none"/>
                <w14:textFill>
                  <w14:solidFill>
                    <w14:schemeClr w14:val="tx1"/>
                  </w14:solidFill>
                </w14:textFill>
              </w:rPr>
            </w:pPr>
          </w:p>
        </w:tc>
        <w:tc>
          <w:tcPr>
            <w:tcW w:w="1940" w:type="dxa"/>
            <w:noWrap w:val="0"/>
            <w:vAlign w:val="center"/>
          </w:tcPr>
          <w:p w14:paraId="021AEB04">
            <w:pPr>
              <w:rPr>
                <w:color w:val="000000" w:themeColor="text1"/>
                <w:sz w:val="24"/>
                <w:szCs w:val="24"/>
                <w:highlight w:val="none"/>
                <w14:textFill>
                  <w14:solidFill>
                    <w14:schemeClr w14:val="tx1"/>
                  </w14:solidFill>
                </w14:textFill>
              </w:rPr>
            </w:pPr>
          </w:p>
        </w:tc>
        <w:tc>
          <w:tcPr>
            <w:tcW w:w="1387" w:type="dxa"/>
            <w:noWrap w:val="0"/>
            <w:vAlign w:val="center"/>
          </w:tcPr>
          <w:p w14:paraId="37A0C4DA">
            <w:pPr>
              <w:rPr>
                <w:color w:val="000000" w:themeColor="text1"/>
                <w:sz w:val="24"/>
                <w:szCs w:val="24"/>
                <w:highlight w:val="none"/>
                <w14:textFill>
                  <w14:solidFill>
                    <w14:schemeClr w14:val="tx1"/>
                  </w14:solidFill>
                </w14:textFill>
              </w:rPr>
            </w:pPr>
          </w:p>
        </w:tc>
        <w:tc>
          <w:tcPr>
            <w:tcW w:w="3010" w:type="dxa"/>
            <w:gridSpan w:val="2"/>
            <w:noWrap w:val="0"/>
            <w:vAlign w:val="center"/>
          </w:tcPr>
          <w:p w14:paraId="4ACEC1D7">
            <w:pPr>
              <w:rPr>
                <w:color w:val="000000" w:themeColor="text1"/>
                <w:sz w:val="24"/>
                <w:szCs w:val="24"/>
                <w:highlight w:val="none"/>
                <w14:textFill>
                  <w14:solidFill>
                    <w14:schemeClr w14:val="tx1"/>
                  </w14:solidFill>
                </w14:textFill>
              </w:rPr>
            </w:pPr>
          </w:p>
        </w:tc>
      </w:tr>
      <w:tr w14:paraId="193DC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708" w:type="dxa"/>
            <w:noWrap w:val="0"/>
            <w:vAlign w:val="center"/>
          </w:tcPr>
          <w:p w14:paraId="21DBA16A">
            <w:pPr>
              <w:rPr>
                <w:color w:val="000000" w:themeColor="text1"/>
                <w:sz w:val="24"/>
                <w:szCs w:val="24"/>
                <w:highlight w:val="none"/>
                <w14:textFill>
                  <w14:solidFill>
                    <w14:schemeClr w14:val="tx1"/>
                  </w14:solidFill>
                </w14:textFill>
              </w:rPr>
            </w:pPr>
          </w:p>
        </w:tc>
        <w:tc>
          <w:tcPr>
            <w:tcW w:w="1940" w:type="dxa"/>
            <w:noWrap w:val="0"/>
            <w:vAlign w:val="center"/>
          </w:tcPr>
          <w:p w14:paraId="16B986AF">
            <w:pPr>
              <w:rPr>
                <w:color w:val="000000" w:themeColor="text1"/>
                <w:sz w:val="24"/>
                <w:szCs w:val="24"/>
                <w:highlight w:val="none"/>
                <w14:textFill>
                  <w14:solidFill>
                    <w14:schemeClr w14:val="tx1"/>
                  </w14:solidFill>
                </w14:textFill>
              </w:rPr>
            </w:pPr>
          </w:p>
        </w:tc>
        <w:tc>
          <w:tcPr>
            <w:tcW w:w="1387" w:type="dxa"/>
            <w:noWrap w:val="0"/>
            <w:vAlign w:val="center"/>
          </w:tcPr>
          <w:p w14:paraId="3A2CBD30">
            <w:pPr>
              <w:rPr>
                <w:color w:val="000000" w:themeColor="text1"/>
                <w:sz w:val="24"/>
                <w:szCs w:val="24"/>
                <w:highlight w:val="none"/>
                <w14:textFill>
                  <w14:solidFill>
                    <w14:schemeClr w14:val="tx1"/>
                  </w14:solidFill>
                </w14:textFill>
              </w:rPr>
            </w:pPr>
          </w:p>
        </w:tc>
        <w:tc>
          <w:tcPr>
            <w:tcW w:w="3010" w:type="dxa"/>
            <w:gridSpan w:val="2"/>
            <w:noWrap w:val="0"/>
            <w:vAlign w:val="center"/>
          </w:tcPr>
          <w:p w14:paraId="257222BA">
            <w:pPr>
              <w:rPr>
                <w:color w:val="000000" w:themeColor="text1"/>
                <w:sz w:val="24"/>
                <w:szCs w:val="24"/>
                <w:highlight w:val="none"/>
                <w14:textFill>
                  <w14:solidFill>
                    <w14:schemeClr w14:val="tx1"/>
                  </w14:solidFill>
                </w14:textFill>
              </w:rPr>
            </w:pPr>
          </w:p>
        </w:tc>
      </w:tr>
      <w:tr w14:paraId="0BFBD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708" w:type="dxa"/>
            <w:noWrap w:val="0"/>
            <w:vAlign w:val="center"/>
          </w:tcPr>
          <w:p w14:paraId="5822B849">
            <w:pPr>
              <w:rPr>
                <w:color w:val="000000" w:themeColor="text1"/>
                <w:sz w:val="24"/>
                <w:szCs w:val="24"/>
                <w:highlight w:val="none"/>
                <w14:textFill>
                  <w14:solidFill>
                    <w14:schemeClr w14:val="tx1"/>
                  </w14:solidFill>
                </w14:textFill>
              </w:rPr>
            </w:pPr>
          </w:p>
        </w:tc>
        <w:tc>
          <w:tcPr>
            <w:tcW w:w="1940" w:type="dxa"/>
            <w:noWrap w:val="0"/>
            <w:vAlign w:val="center"/>
          </w:tcPr>
          <w:p w14:paraId="2E4AACDC">
            <w:pPr>
              <w:rPr>
                <w:color w:val="000000" w:themeColor="text1"/>
                <w:sz w:val="24"/>
                <w:szCs w:val="24"/>
                <w:highlight w:val="none"/>
                <w14:textFill>
                  <w14:solidFill>
                    <w14:schemeClr w14:val="tx1"/>
                  </w14:solidFill>
                </w14:textFill>
              </w:rPr>
            </w:pPr>
          </w:p>
        </w:tc>
        <w:tc>
          <w:tcPr>
            <w:tcW w:w="1387" w:type="dxa"/>
            <w:noWrap w:val="0"/>
            <w:vAlign w:val="center"/>
          </w:tcPr>
          <w:p w14:paraId="2A0A2725">
            <w:pPr>
              <w:rPr>
                <w:color w:val="000000" w:themeColor="text1"/>
                <w:sz w:val="24"/>
                <w:szCs w:val="24"/>
                <w:highlight w:val="none"/>
                <w14:textFill>
                  <w14:solidFill>
                    <w14:schemeClr w14:val="tx1"/>
                  </w14:solidFill>
                </w14:textFill>
              </w:rPr>
            </w:pPr>
          </w:p>
        </w:tc>
        <w:tc>
          <w:tcPr>
            <w:tcW w:w="3010" w:type="dxa"/>
            <w:gridSpan w:val="2"/>
            <w:noWrap w:val="0"/>
            <w:vAlign w:val="center"/>
          </w:tcPr>
          <w:p w14:paraId="643DAEC3">
            <w:pPr>
              <w:rPr>
                <w:color w:val="000000" w:themeColor="text1"/>
                <w:sz w:val="24"/>
                <w:szCs w:val="24"/>
                <w:highlight w:val="none"/>
                <w14:textFill>
                  <w14:solidFill>
                    <w14:schemeClr w14:val="tx1"/>
                  </w14:solidFill>
                </w14:textFill>
              </w:rPr>
            </w:pPr>
          </w:p>
        </w:tc>
      </w:tr>
      <w:tr w14:paraId="763A7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atLeast"/>
          <w:jc w:val="center"/>
        </w:trPr>
        <w:tc>
          <w:tcPr>
            <w:tcW w:w="8045" w:type="dxa"/>
            <w:gridSpan w:val="5"/>
            <w:noWrap w:val="0"/>
            <w:vAlign w:val="center"/>
          </w:tcPr>
          <w:p w14:paraId="5AC525FB">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验收意见：</w:t>
            </w:r>
          </w:p>
          <w:p w14:paraId="36309716">
            <w:pPr>
              <w:rPr>
                <w:color w:val="000000" w:themeColor="text1"/>
                <w:sz w:val="24"/>
                <w:szCs w:val="24"/>
                <w:highlight w:val="none"/>
                <w14:textFill>
                  <w14:solidFill>
                    <w14:schemeClr w14:val="tx1"/>
                  </w14:solidFill>
                </w14:textFill>
              </w:rPr>
            </w:pPr>
          </w:p>
          <w:p w14:paraId="4ACB4D81">
            <w:pPr>
              <w:rPr>
                <w:color w:val="000000" w:themeColor="text1"/>
                <w:sz w:val="24"/>
                <w:szCs w:val="24"/>
                <w:highlight w:val="none"/>
                <w14:textFill>
                  <w14:solidFill>
                    <w14:schemeClr w14:val="tx1"/>
                  </w14:solidFill>
                </w14:textFill>
              </w:rPr>
            </w:pPr>
          </w:p>
        </w:tc>
      </w:tr>
      <w:tr w14:paraId="2DC2C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8045" w:type="dxa"/>
            <w:gridSpan w:val="5"/>
            <w:noWrap w:val="0"/>
            <w:vAlign w:val="center"/>
          </w:tcPr>
          <w:p w14:paraId="5CDEC97C">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职能部门意见：</w:t>
            </w:r>
          </w:p>
          <w:p w14:paraId="6413066C">
            <w:pPr>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br w:type="textWrapping"/>
            </w:r>
            <w:r>
              <w:rPr>
                <w:rFonts w:hint="eastAsia"/>
                <w:color w:val="000000" w:themeColor="text1"/>
                <w:sz w:val="24"/>
                <w:szCs w:val="24"/>
                <w:highlight w:val="none"/>
                <w14:textFill>
                  <w14:solidFill>
                    <w14:schemeClr w14:val="tx1"/>
                  </w14:solidFill>
                </w14:textFill>
              </w:rPr>
              <w:t>签名：日期：</w:t>
            </w:r>
          </w:p>
        </w:tc>
      </w:tr>
      <w:tr w14:paraId="6F4B4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8045" w:type="dxa"/>
            <w:gridSpan w:val="5"/>
            <w:noWrap w:val="0"/>
            <w:vAlign w:val="center"/>
          </w:tcPr>
          <w:p w14:paraId="79150976">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监察审计处意见：</w:t>
            </w:r>
          </w:p>
          <w:p w14:paraId="33721CA0">
            <w:pPr>
              <w:rPr>
                <w:color w:val="000000" w:themeColor="text1"/>
                <w:sz w:val="24"/>
                <w:szCs w:val="24"/>
                <w:highlight w:val="none"/>
                <w14:textFill>
                  <w14:solidFill>
                    <w14:schemeClr w14:val="tx1"/>
                  </w14:solidFill>
                </w14:textFill>
              </w:rPr>
            </w:pPr>
          </w:p>
          <w:p w14:paraId="6B2E0F65">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签名：日期：</w:t>
            </w:r>
          </w:p>
        </w:tc>
      </w:tr>
      <w:tr w14:paraId="4691D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8045" w:type="dxa"/>
            <w:gridSpan w:val="5"/>
            <w:noWrap w:val="0"/>
            <w:vAlign w:val="center"/>
          </w:tcPr>
          <w:p w14:paraId="54022A86">
            <w:pPr>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备注：</w:t>
            </w:r>
            <w:r>
              <w:rPr>
                <w:color w:val="000000" w:themeColor="text1"/>
                <w:sz w:val="24"/>
                <w:szCs w:val="24"/>
                <w:highlight w:val="none"/>
                <w14:textFill>
                  <w14:solidFill>
                    <w14:schemeClr w14:val="tx1"/>
                  </w14:solidFill>
                </w14:textFill>
              </w:rPr>
              <w:t>1</w:t>
            </w:r>
            <w:r>
              <w:rPr>
                <w:rFonts w:hint="eastAsia"/>
                <w:color w:val="000000" w:themeColor="text1"/>
                <w:sz w:val="24"/>
                <w:szCs w:val="24"/>
                <w:highlight w:val="none"/>
                <w14:textFill>
                  <w14:solidFill>
                    <w14:schemeClr w14:val="tx1"/>
                  </w14:solidFill>
                </w14:textFill>
              </w:rPr>
              <w:t>.30万元以下的货物，验收小组不少于3人，30万元以上（含30万元）的货物验收小组不少于5人。工程类验收小组不少于5人。</w:t>
            </w:r>
          </w:p>
          <w:p w14:paraId="38BB12D9">
            <w:pPr>
              <w:rPr>
                <w:rFonts w:hint="eastAsia"/>
                <w:color w:val="000000" w:themeColor="text1"/>
                <w:sz w:val="24"/>
                <w:szCs w:val="24"/>
                <w:highlight w:val="none"/>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2.</w:t>
            </w:r>
            <w:r>
              <w:rPr>
                <w:rFonts w:hint="eastAsia"/>
                <w:color w:val="000000" w:themeColor="text1"/>
                <w:sz w:val="24"/>
                <w:szCs w:val="24"/>
                <w:highlight w:val="none"/>
                <w14:textFill>
                  <w14:solidFill>
                    <w14:schemeClr w14:val="tx1"/>
                  </w14:solidFill>
                </w14:textFill>
              </w:rPr>
              <w:t>本验收报告一式三份，计财处、使用部门各一份，招标办一份。</w:t>
            </w:r>
          </w:p>
          <w:p w14:paraId="5EA05B35">
            <w:pPr>
              <w:rPr>
                <w:rFonts w:hint="default"/>
                <w:color w:val="000000" w:themeColor="text1"/>
                <w:sz w:val="24"/>
                <w:szCs w:val="24"/>
                <w:highlight w:val="none"/>
                <w:lang w:val="en-US" w:eastAsia="zh-CN"/>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3.货款支付提供本验收表</w:t>
            </w:r>
          </w:p>
        </w:tc>
      </w:tr>
    </w:tbl>
    <w:p w14:paraId="670683D7">
      <w:pPr>
        <w:rPr>
          <w:rFonts w:hint="eastAsia"/>
          <w:color w:val="000000" w:themeColor="text1"/>
          <w:highlight w:val="none"/>
          <w:lang w:eastAsia="zh-CN"/>
          <w14:textFill>
            <w14:solidFill>
              <w14:schemeClr w14:val="tx1"/>
            </w14:solidFill>
          </w14:textFill>
        </w:rPr>
      </w:pPr>
    </w:p>
    <w:p w14:paraId="29BEDC57">
      <w:pPr>
        <w:ind w:firstLine="420" w:firstLineChars="200"/>
        <w:rPr>
          <w:rFonts w:ascii="仿宋" w:hAnsi="仿宋" w:eastAsia="仿宋"/>
          <w:color w:val="000000" w:themeColor="text1"/>
          <w14:textFill>
            <w14:solidFill>
              <w14:schemeClr w14:val="tx1"/>
            </w14:solidFill>
          </w14:textFill>
        </w:rPr>
      </w:pPr>
      <w:bookmarkStart w:id="85" w:name="_GoBack"/>
      <w:bookmarkEnd w:id="8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方正小标宋简体">
    <w:altName w:val="方正舒体"/>
    <w:panose1 w:val="02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3E646">
    <w:pPr>
      <w:pStyle w:val="7"/>
      <w:spacing w:line="14" w:lineRule="auto"/>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multilevel"/>
    <w:tmpl w:val="813A4B87"/>
    <w:lvl w:ilvl="0" w:tentative="0">
      <w:start w:val="1"/>
      <w:numFmt w:val="decimal"/>
      <w:lvlText w:val="%1"/>
      <w:lvlJc w:val="left"/>
      <w:pPr>
        <w:ind w:left="1048" w:hanging="526"/>
      </w:pPr>
      <w:rPr>
        <w:rFonts w:hint="default"/>
      </w:rPr>
    </w:lvl>
    <w:lvl w:ilvl="1" w:tentative="0">
      <w:start w:val="1"/>
      <w:numFmt w:val="decimal"/>
      <w:lvlText w:val="%1.%2"/>
      <w:lvlJc w:val="left"/>
      <w:pPr>
        <w:ind w:left="1048" w:hanging="526"/>
      </w:pPr>
      <w:rPr>
        <w:rFonts w:hint="default"/>
      </w:rPr>
    </w:lvl>
    <w:lvl w:ilvl="2" w:tentative="0">
      <w:start w:val="2"/>
      <w:numFmt w:val="decimal"/>
      <w:lvlText w:val="%1.%2.%3"/>
      <w:lvlJc w:val="left"/>
      <w:pPr>
        <w:ind w:left="1048" w:hanging="526"/>
      </w:pPr>
      <w:rPr>
        <w:rFonts w:hint="default" w:ascii="Times New Roman" w:hAnsi="Times New Roman" w:eastAsia="Times New Roman" w:cs="Times New Roman"/>
        <w:b/>
        <w:bCs/>
        <w:w w:val="100"/>
        <w:sz w:val="24"/>
        <w:szCs w:val="24"/>
      </w:rPr>
    </w:lvl>
    <w:lvl w:ilvl="3" w:tentative="0">
      <w:start w:val="1"/>
      <w:numFmt w:val="decimal"/>
      <w:lvlText w:val="%1.%2.%3.%4"/>
      <w:lvlJc w:val="left"/>
      <w:pPr>
        <w:ind w:left="100" w:hanging="684"/>
      </w:pPr>
      <w:rPr>
        <w:rFonts w:hint="default" w:ascii="Times New Roman" w:hAnsi="Times New Roman" w:eastAsia="Times New Roman" w:cs="Times New Roman"/>
        <w:w w:val="100"/>
        <w:sz w:val="24"/>
        <w:szCs w:val="24"/>
      </w:rPr>
    </w:lvl>
    <w:lvl w:ilvl="4" w:tentative="0">
      <w:start w:val="0"/>
      <w:numFmt w:val="bullet"/>
      <w:lvlText w:val="•"/>
      <w:lvlJc w:val="left"/>
      <w:pPr>
        <w:ind w:left="3680" w:hanging="684"/>
      </w:pPr>
      <w:rPr>
        <w:rFonts w:hint="default"/>
      </w:rPr>
    </w:lvl>
    <w:lvl w:ilvl="5" w:tentative="0">
      <w:start w:val="0"/>
      <w:numFmt w:val="bullet"/>
      <w:lvlText w:val="•"/>
      <w:lvlJc w:val="left"/>
      <w:pPr>
        <w:ind w:left="4560" w:hanging="684"/>
      </w:pPr>
      <w:rPr>
        <w:rFonts w:hint="default"/>
      </w:rPr>
    </w:lvl>
    <w:lvl w:ilvl="6" w:tentative="0">
      <w:start w:val="0"/>
      <w:numFmt w:val="bullet"/>
      <w:lvlText w:val="•"/>
      <w:lvlJc w:val="left"/>
      <w:pPr>
        <w:ind w:left="5440" w:hanging="684"/>
      </w:pPr>
      <w:rPr>
        <w:rFonts w:hint="default"/>
      </w:rPr>
    </w:lvl>
    <w:lvl w:ilvl="7" w:tentative="0">
      <w:start w:val="0"/>
      <w:numFmt w:val="bullet"/>
      <w:lvlText w:val="•"/>
      <w:lvlJc w:val="left"/>
      <w:pPr>
        <w:ind w:left="6320" w:hanging="684"/>
      </w:pPr>
      <w:rPr>
        <w:rFonts w:hint="default"/>
      </w:rPr>
    </w:lvl>
    <w:lvl w:ilvl="8" w:tentative="0">
      <w:start w:val="0"/>
      <w:numFmt w:val="bullet"/>
      <w:lvlText w:val="•"/>
      <w:lvlJc w:val="left"/>
      <w:pPr>
        <w:ind w:left="7200" w:hanging="684"/>
      </w:pPr>
      <w:rPr>
        <w:rFonts w:hint="default"/>
      </w:rPr>
    </w:lvl>
  </w:abstractNum>
  <w:abstractNum w:abstractNumId="1">
    <w:nsid w:val="BB64CFA9"/>
    <w:multiLevelType w:val="multilevel"/>
    <w:tmpl w:val="BB64CFA9"/>
    <w:lvl w:ilvl="0" w:tentative="0">
      <w:start w:val="1"/>
      <w:numFmt w:val="decimal"/>
      <w:lvlText w:val="%1."/>
      <w:lvlJc w:val="left"/>
      <w:pPr>
        <w:ind w:left="100" w:hanging="264"/>
        <w:jc w:val="left"/>
      </w:pPr>
      <w:rPr>
        <w:rFonts w:hint="default" w:ascii="Times New Roman" w:hAnsi="Times New Roman" w:eastAsia="Times New Roman" w:cs="Times New Roman"/>
        <w:w w:val="100"/>
        <w:sz w:val="21"/>
        <w:szCs w:val="21"/>
      </w:rPr>
    </w:lvl>
    <w:lvl w:ilvl="1" w:tentative="0">
      <w:start w:val="0"/>
      <w:numFmt w:val="bullet"/>
      <w:lvlText w:val="•"/>
      <w:lvlJc w:val="left"/>
      <w:pPr>
        <w:ind w:left="986" w:hanging="264"/>
      </w:pPr>
      <w:rPr>
        <w:rFonts w:hint="default"/>
      </w:rPr>
    </w:lvl>
    <w:lvl w:ilvl="2" w:tentative="0">
      <w:start w:val="0"/>
      <w:numFmt w:val="bullet"/>
      <w:lvlText w:val="•"/>
      <w:lvlJc w:val="left"/>
      <w:pPr>
        <w:ind w:left="1872" w:hanging="264"/>
      </w:pPr>
      <w:rPr>
        <w:rFonts w:hint="default"/>
      </w:rPr>
    </w:lvl>
    <w:lvl w:ilvl="3" w:tentative="0">
      <w:start w:val="0"/>
      <w:numFmt w:val="bullet"/>
      <w:lvlText w:val="•"/>
      <w:lvlJc w:val="left"/>
      <w:pPr>
        <w:ind w:left="2758" w:hanging="264"/>
      </w:pPr>
      <w:rPr>
        <w:rFonts w:hint="default"/>
      </w:rPr>
    </w:lvl>
    <w:lvl w:ilvl="4" w:tentative="0">
      <w:start w:val="0"/>
      <w:numFmt w:val="bullet"/>
      <w:lvlText w:val="•"/>
      <w:lvlJc w:val="left"/>
      <w:pPr>
        <w:ind w:left="3644" w:hanging="264"/>
      </w:pPr>
      <w:rPr>
        <w:rFonts w:hint="default"/>
      </w:rPr>
    </w:lvl>
    <w:lvl w:ilvl="5" w:tentative="0">
      <w:start w:val="0"/>
      <w:numFmt w:val="bullet"/>
      <w:lvlText w:val="•"/>
      <w:lvlJc w:val="left"/>
      <w:pPr>
        <w:ind w:left="4530" w:hanging="264"/>
      </w:pPr>
      <w:rPr>
        <w:rFonts w:hint="default"/>
      </w:rPr>
    </w:lvl>
    <w:lvl w:ilvl="6" w:tentative="0">
      <w:start w:val="0"/>
      <w:numFmt w:val="bullet"/>
      <w:lvlText w:val="•"/>
      <w:lvlJc w:val="left"/>
      <w:pPr>
        <w:ind w:left="5416" w:hanging="264"/>
      </w:pPr>
      <w:rPr>
        <w:rFonts w:hint="default"/>
      </w:rPr>
    </w:lvl>
    <w:lvl w:ilvl="7" w:tentative="0">
      <w:start w:val="0"/>
      <w:numFmt w:val="bullet"/>
      <w:lvlText w:val="•"/>
      <w:lvlJc w:val="left"/>
      <w:pPr>
        <w:ind w:left="6302" w:hanging="264"/>
      </w:pPr>
      <w:rPr>
        <w:rFonts w:hint="default"/>
      </w:rPr>
    </w:lvl>
    <w:lvl w:ilvl="8" w:tentative="0">
      <w:start w:val="0"/>
      <w:numFmt w:val="bullet"/>
      <w:lvlText w:val="•"/>
      <w:lvlJc w:val="left"/>
      <w:pPr>
        <w:ind w:left="7188" w:hanging="264"/>
      </w:pPr>
      <w:rPr>
        <w:rFonts w:hint="default"/>
      </w:rPr>
    </w:lvl>
  </w:abstractNum>
  <w:abstractNum w:abstractNumId="2">
    <w:nsid w:val="E093A4B0"/>
    <w:multiLevelType w:val="multilevel"/>
    <w:tmpl w:val="E093A4B0"/>
    <w:lvl w:ilvl="0" w:tentative="0">
      <w:start w:val="1"/>
      <w:numFmt w:val="decimal"/>
      <w:lvlText w:val="%1"/>
      <w:lvlJc w:val="left"/>
      <w:pPr>
        <w:ind w:left="100" w:hanging="526"/>
      </w:pPr>
      <w:rPr>
        <w:rFonts w:hint="default"/>
      </w:rPr>
    </w:lvl>
    <w:lvl w:ilvl="1" w:tentative="0">
      <w:start w:val="4"/>
      <w:numFmt w:val="decimal"/>
      <w:lvlText w:val="%1.%2"/>
      <w:lvlJc w:val="left"/>
      <w:pPr>
        <w:ind w:left="100" w:hanging="526"/>
        <w:jc w:val="right"/>
      </w:pPr>
      <w:rPr>
        <w:rFonts w:hint="default"/>
      </w:rPr>
    </w:lvl>
    <w:lvl w:ilvl="2" w:tentative="0">
      <w:start w:val="1"/>
      <w:numFmt w:val="decimal"/>
      <w:lvlText w:val="%1.%2.%3"/>
      <w:lvlJc w:val="left"/>
      <w:pPr>
        <w:ind w:left="100" w:hanging="526"/>
      </w:pPr>
      <w:rPr>
        <w:rFonts w:hint="default" w:ascii="Times New Roman" w:hAnsi="Times New Roman" w:eastAsia="Times New Roman" w:cs="Times New Roman"/>
        <w:w w:val="100"/>
        <w:sz w:val="24"/>
        <w:szCs w:val="24"/>
      </w:rPr>
    </w:lvl>
    <w:lvl w:ilvl="3" w:tentative="0">
      <w:start w:val="0"/>
      <w:numFmt w:val="bullet"/>
      <w:lvlText w:val="•"/>
      <w:lvlJc w:val="left"/>
      <w:pPr>
        <w:ind w:left="2728" w:hanging="526"/>
      </w:pPr>
      <w:rPr>
        <w:rFonts w:hint="default"/>
      </w:rPr>
    </w:lvl>
    <w:lvl w:ilvl="4" w:tentative="0">
      <w:start w:val="0"/>
      <w:numFmt w:val="bullet"/>
      <w:lvlText w:val="•"/>
      <w:lvlJc w:val="left"/>
      <w:pPr>
        <w:ind w:left="3604" w:hanging="526"/>
      </w:pPr>
      <w:rPr>
        <w:rFonts w:hint="default"/>
      </w:rPr>
    </w:lvl>
    <w:lvl w:ilvl="5" w:tentative="0">
      <w:start w:val="0"/>
      <w:numFmt w:val="bullet"/>
      <w:lvlText w:val="•"/>
      <w:lvlJc w:val="left"/>
      <w:pPr>
        <w:ind w:left="4480" w:hanging="526"/>
      </w:pPr>
      <w:rPr>
        <w:rFonts w:hint="default"/>
      </w:rPr>
    </w:lvl>
    <w:lvl w:ilvl="6" w:tentative="0">
      <w:start w:val="0"/>
      <w:numFmt w:val="bullet"/>
      <w:lvlText w:val="•"/>
      <w:lvlJc w:val="left"/>
      <w:pPr>
        <w:ind w:left="5356" w:hanging="526"/>
      </w:pPr>
      <w:rPr>
        <w:rFonts w:hint="default"/>
      </w:rPr>
    </w:lvl>
    <w:lvl w:ilvl="7" w:tentative="0">
      <w:start w:val="0"/>
      <w:numFmt w:val="bullet"/>
      <w:lvlText w:val="•"/>
      <w:lvlJc w:val="left"/>
      <w:pPr>
        <w:ind w:left="6232" w:hanging="526"/>
      </w:pPr>
      <w:rPr>
        <w:rFonts w:hint="default"/>
      </w:rPr>
    </w:lvl>
    <w:lvl w:ilvl="8" w:tentative="0">
      <w:start w:val="0"/>
      <w:numFmt w:val="bullet"/>
      <w:lvlText w:val="•"/>
      <w:lvlJc w:val="left"/>
      <w:pPr>
        <w:ind w:left="7108" w:hanging="526"/>
      </w:pPr>
      <w:rPr>
        <w:rFonts w:hint="default"/>
      </w:rPr>
    </w:lvl>
  </w:abstractNum>
  <w:abstractNum w:abstractNumId="3">
    <w:nsid w:val="F7735DC9"/>
    <w:multiLevelType w:val="multilevel"/>
    <w:tmpl w:val="F7735DC9"/>
    <w:lvl w:ilvl="0" w:tentative="0">
      <w:start w:val="1"/>
      <w:numFmt w:val="decimal"/>
      <w:lvlText w:val="%1"/>
      <w:lvlJc w:val="left"/>
      <w:pPr>
        <w:ind w:left="100" w:hanging="632"/>
      </w:pPr>
      <w:rPr>
        <w:rFonts w:hint="default"/>
      </w:rPr>
    </w:lvl>
    <w:lvl w:ilvl="1" w:tentative="0">
      <w:start w:val="1"/>
      <w:numFmt w:val="decimal"/>
      <w:lvlText w:val="%1.%2"/>
      <w:lvlJc w:val="left"/>
      <w:pPr>
        <w:ind w:left="100" w:hanging="632"/>
        <w:jc w:val="right"/>
      </w:pPr>
      <w:rPr>
        <w:rFonts w:hint="default"/>
      </w:rPr>
    </w:lvl>
    <w:lvl w:ilvl="2" w:tentative="0">
      <w:start w:val="14"/>
      <w:numFmt w:val="decimal"/>
      <w:lvlText w:val="%1.%2.%3"/>
      <w:lvlJc w:val="left"/>
      <w:pPr>
        <w:ind w:left="100" w:hanging="632"/>
      </w:pPr>
      <w:rPr>
        <w:rFonts w:hint="default" w:ascii="Times New Roman" w:hAnsi="Times New Roman" w:eastAsia="Times New Roman" w:cs="Times New Roman"/>
        <w:w w:val="100"/>
        <w:sz w:val="21"/>
        <w:szCs w:val="21"/>
      </w:rPr>
    </w:lvl>
    <w:lvl w:ilvl="3" w:tentative="0">
      <w:start w:val="0"/>
      <w:numFmt w:val="bullet"/>
      <w:lvlText w:val="•"/>
      <w:lvlJc w:val="left"/>
      <w:pPr>
        <w:ind w:left="2758" w:hanging="632"/>
      </w:pPr>
      <w:rPr>
        <w:rFonts w:hint="default"/>
      </w:rPr>
    </w:lvl>
    <w:lvl w:ilvl="4" w:tentative="0">
      <w:start w:val="0"/>
      <w:numFmt w:val="bullet"/>
      <w:lvlText w:val="•"/>
      <w:lvlJc w:val="left"/>
      <w:pPr>
        <w:ind w:left="3644" w:hanging="632"/>
      </w:pPr>
      <w:rPr>
        <w:rFonts w:hint="default"/>
      </w:rPr>
    </w:lvl>
    <w:lvl w:ilvl="5" w:tentative="0">
      <w:start w:val="0"/>
      <w:numFmt w:val="bullet"/>
      <w:lvlText w:val="•"/>
      <w:lvlJc w:val="left"/>
      <w:pPr>
        <w:ind w:left="4530" w:hanging="632"/>
      </w:pPr>
      <w:rPr>
        <w:rFonts w:hint="default"/>
      </w:rPr>
    </w:lvl>
    <w:lvl w:ilvl="6" w:tentative="0">
      <w:start w:val="0"/>
      <w:numFmt w:val="bullet"/>
      <w:lvlText w:val="•"/>
      <w:lvlJc w:val="left"/>
      <w:pPr>
        <w:ind w:left="5416" w:hanging="632"/>
      </w:pPr>
      <w:rPr>
        <w:rFonts w:hint="default"/>
      </w:rPr>
    </w:lvl>
    <w:lvl w:ilvl="7" w:tentative="0">
      <w:start w:val="0"/>
      <w:numFmt w:val="bullet"/>
      <w:lvlText w:val="•"/>
      <w:lvlJc w:val="left"/>
      <w:pPr>
        <w:ind w:left="6302" w:hanging="632"/>
      </w:pPr>
      <w:rPr>
        <w:rFonts w:hint="default"/>
      </w:rPr>
    </w:lvl>
    <w:lvl w:ilvl="8" w:tentative="0">
      <w:start w:val="0"/>
      <w:numFmt w:val="bullet"/>
      <w:lvlText w:val="•"/>
      <w:lvlJc w:val="left"/>
      <w:pPr>
        <w:ind w:left="7188" w:hanging="632"/>
      </w:pPr>
      <w:rPr>
        <w:rFonts w:hint="default"/>
      </w:rPr>
    </w:lvl>
  </w:abstractNum>
  <w:abstractNum w:abstractNumId="4">
    <w:nsid w:val="0248C179"/>
    <w:multiLevelType w:val="multilevel"/>
    <w:tmpl w:val="0248C179"/>
    <w:lvl w:ilvl="0" w:tentative="0">
      <w:start w:val="6"/>
      <w:numFmt w:val="decimal"/>
      <w:lvlText w:val="%1"/>
      <w:lvlJc w:val="left"/>
      <w:pPr>
        <w:ind w:left="100" w:hanging="370"/>
        <w:jc w:val="right"/>
      </w:pPr>
      <w:rPr>
        <w:rFonts w:hint="default"/>
      </w:rPr>
    </w:lvl>
    <w:lvl w:ilvl="1" w:tentative="0">
      <w:start w:val="1"/>
      <w:numFmt w:val="decimal"/>
      <w:lvlText w:val="%1.%2"/>
      <w:lvlJc w:val="left"/>
      <w:pPr>
        <w:ind w:left="1310" w:hanging="370"/>
      </w:pPr>
      <w:rPr>
        <w:rFonts w:hint="default" w:ascii="Times New Roman" w:hAnsi="Times New Roman" w:eastAsia="Times New Roman" w:cs="Times New Roman"/>
        <w:w w:val="100"/>
        <w:sz w:val="21"/>
        <w:szCs w:val="21"/>
      </w:rPr>
    </w:lvl>
    <w:lvl w:ilvl="2" w:tentative="0">
      <w:start w:val="0"/>
      <w:numFmt w:val="bullet"/>
      <w:lvlText w:val="•"/>
      <w:lvlJc w:val="left"/>
      <w:pPr>
        <w:ind w:left="2155" w:hanging="370"/>
      </w:pPr>
      <w:rPr>
        <w:rFonts w:hint="default"/>
      </w:rPr>
    </w:lvl>
    <w:lvl w:ilvl="3" w:tentative="0">
      <w:start w:val="0"/>
      <w:numFmt w:val="bullet"/>
      <w:lvlText w:val="•"/>
      <w:lvlJc w:val="left"/>
      <w:pPr>
        <w:ind w:left="2991" w:hanging="370"/>
      </w:pPr>
      <w:rPr>
        <w:rFonts w:hint="default"/>
      </w:rPr>
    </w:lvl>
    <w:lvl w:ilvl="4" w:tentative="0">
      <w:start w:val="0"/>
      <w:numFmt w:val="bullet"/>
      <w:lvlText w:val="•"/>
      <w:lvlJc w:val="left"/>
      <w:pPr>
        <w:ind w:left="3826" w:hanging="370"/>
      </w:pPr>
      <w:rPr>
        <w:rFonts w:hint="default"/>
      </w:rPr>
    </w:lvl>
    <w:lvl w:ilvl="5" w:tentative="0">
      <w:start w:val="0"/>
      <w:numFmt w:val="bullet"/>
      <w:lvlText w:val="•"/>
      <w:lvlJc w:val="left"/>
      <w:pPr>
        <w:ind w:left="4662" w:hanging="370"/>
      </w:pPr>
      <w:rPr>
        <w:rFonts w:hint="default"/>
      </w:rPr>
    </w:lvl>
    <w:lvl w:ilvl="6" w:tentative="0">
      <w:start w:val="0"/>
      <w:numFmt w:val="bullet"/>
      <w:lvlText w:val="•"/>
      <w:lvlJc w:val="left"/>
      <w:pPr>
        <w:ind w:left="5497" w:hanging="370"/>
      </w:pPr>
      <w:rPr>
        <w:rFonts w:hint="default"/>
      </w:rPr>
    </w:lvl>
    <w:lvl w:ilvl="7" w:tentative="0">
      <w:start w:val="0"/>
      <w:numFmt w:val="bullet"/>
      <w:lvlText w:val="•"/>
      <w:lvlJc w:val="left"/>
      <w:pPr>
        <w:ind w:left="6333" w:hanging="370"/>
      </w:pPr>
      <w:rPr>
        <w:rFonts w:hint="default"/>
      </w:rPr>
    </w:lvl>
    <w:lvl w:ilvl="8" w:tentative="0">
      <w:start w:val="0"/>
      <w:numFmt w:val="bullet"/>
      <w:lvlText w:val="•"/>
      <w:lvlJc w:val="left"/>
      <w:pPr>
        <w:ind w:left="7168" w:hanging="370"/>
      </w:pPr>
      <w:rPr>
        <w:rFonts w:hint="default"/>
      </w:rPr>
    </w:lvl>
  </w:abstractNum>
  <w:abstractNum w:abstractNumId="5">
    <w:nsid w:val="243FCF68"/>
    <w:multiLevelType w:val="multilevel"/>
    <w:tmpl w:val="243FCF68"/>
    <w:lvl w:ilvl="0" w:tentative="0">
      <w:start w:val="1"/>
      <w:numFmt w:val="decimal"/>
      <w:lvlText w:val="%1"/>
      <w:lvlJc w:val="left"/>
      <w:pPr>
        <w:ind w:left="1048" w:hanging="526"/>
      </w:pPr>
      <w:rPr>
        <w:rFonts w:hint="default"/>
      </w:rPr>
    </w:lvl>
    <w:lvl w:ilvl="1" w:tentative="0">
      <w:start w:val="1"/>
      <w:numFmt w:val="decimal"/>
      <w:lvlText w:val="%1.%2"/>
      <w:lvlJc w:val="left"/>
      <w:pPr>
        <w:ind w:left="1048" w:hanging="526"/>
      </w:pPr>
      <w:rPr>
        <w:rFonts w:hint="default"/>
      </w:rPr>
    </w:lvl>
    <w:lvl w:ilvl="2" w:tentative="0">
      <w:start w:val="3"/>
      <w:numFmt w:val="decimal"/>
      <w:lvlText w:val="%1.%2.%3"/>
      <w:lvlJc w:val="left"/>
      <w:pPr>
        <w:ind w:left="1048" w:hanging="526"/>
      </w:pPr>
      <w:rPr>
        <w:rFonts w:hint="default" w:ascii="Times New Roman" w:hAnsi="Times New Roman" w:eastAsia="Times New Roman" w:cs="Times New Roman"/>
        <w:b/>
        <w:bCs/>
        <w:w w:val="100"/>
        <w:sz w:val="24"/>
        <w:szCs w:val="24"/>
      </w:rPr>
    </w:lvl>
    <w:lvl w:ilvl="3" w:tentative="0">
      <w:start w:val="1"/>
      <w:numFmt w:val="decimal"/>
      <w:lvlText w:val="%1.%2.%3.%4"/>
      <w:lvlJc w:val="left"/>
      <w:pPr>
        <w:ind w:left="1204" w:hanging="684"/>
      </w:pPr>
      <w:rPr>
        <w:rFonts w:hint="default" w:ascii="Times New Roman" w:hAnsi="Times New Roman" w:eastAsia="Times New Roman" w:cs="Times New Roman"/>
        <w:w w:val="100"/>
        <w:sz w:val="24"/>
        <w:szCs w:val="24"/>
      </w:rPr>
    </w:lvl>
    <w:lvl w:ilvl="4" w:tentative="0">
      <w:start w:val="0"/>
      <w:numFmt w:val="bullet"/>
      <w:lvlText w:val="•"/>
      <w:lvlJc w:val="left"/>
      <w:pPr>
        <w:ind w:left="3786" w:hanging="684"/>
      </w:pPr>
      <w:rPr>
        <w:rFonts w:hint="default"/>
      </w:rPr>
    </w:lvl>
    <w:lvl w:ilvl="5" w:tentative="0">
      <w:start w:val="0"/>
      <w:numFmt w:val="bullet"/>
      <w:lvlText w:val="•"/>
      <w:lvlJc w:val="left"/>
      <w:pPr>
        <w:ind w:left="4648" w:hanging="684"/>
      </w:pPr>
      <w:rPr>
        <w:rFonts w:hint="default"/>
      </w:rPr>
    </w:lvl>
    <w:lvl w:ilvl="6" w:tentative="0">
      <w:start w:val="0"/>
      <w:numFmt w:val="bullet"/>
      <w:lvlText w:val="•"/>
      <w:lvlJc w:val="left"/>
      <w:pPr>
        <w:ind w:left="5511" w:hanging="684"/>
      </w:pPr>
      <w:rPr>
        <w:rFonts w:hint="default"/>
      </w:rPr>
    </w:lvl>
    <w:lvl w:ilvl="7" w:tentative="0">
      <w:start w:val="0"/>
      <w:numFmt w:val="bullet"/>
      <w:lvlText w:val="•"/>
      <w:lvlJc w:val="left"/>
      <w:pPr>
        <w:ind w:left="6373" w:hanging="684"/>
      </w:pPr>
      <w:rPr>
        <w:rFonts w:hint="default"/>
      </w:rPr>
    </w:lvl>
    <w:lvl w:ilvl="8" w:tentative="0">
      <w:start w:val="0"/>
      <w:numFmt w:val="bullet"/>
      <w:lvlText w:val="•"/>
      <w:lvlJc w:val="left"/>
      <w:pPr>
        <w:ind w:left="7235" w:hanging="684"/>
      </w:pPr>
      <w:rPr>
        <w:rFonts w:hint="default"/>
      </w:rPr>
    </w:lvl>
  </w:abstractNum>
  <w:abstractNum w:abstractNumId="6">
    <w:nsid w:val="30FC5B15"/>
    <w:multiLevelType w:val="multilevel"/>
    <w:tmpl w:val="30FC5B15"/>
    <w:lvl w:ilvl="0" w:tentative="0">
      <w:start w:val="5"/>
      <w:numFmt w:val="decimal"/>
      <w:lvlText w:val="%1"/>
      <w:lvlJc w:val="left"/>
      <w:pPr>
        <w:ind w:left="726" w:hanging="490"/>
      </w:pPr>
      <w:rPr>
        <w:rFonts w:hint="default"/>
      </w:rPr>
    </w:lvl>
    <w:lvl w:ilvl="1" w:tentative="0">
      <w:start w:val="1"/>
      <w:numFmt w:val="decimal"/>
      <w:lvlText w:val="%1.%2"/>
      <w:lvlJc w:val="left"/>
      <w:pPr>
        <w:ind w:left="726" w:hanging="490"/>
      </w:pPr>
      <w:rPr>
        <w:rFonts w:hint="default" w:ascii="Times New Roman" w:hAnsi="Times New Roman" w:eastAsia="Times New Roman" w:cs="Times New Roman"/>
        <w:w w:val="100"/>
        <w:sz w:val="28"/>
        <w:szCs w:val="28"/>
      </w:rPr>
    </w:lvl>
    <w:lvl w:ilvl="2" w:tentative="0">
      <w:start w:val="1"/>
      <w:numFmt w:val="decimal"/>
      <w:lvlText w:val="%1.%2.%3"/>
      <w:lvlJc w:val="left"/>
      <w:pPr>
        <w:ind w:left="100" w:hanging="526"/>
      </w:pPr>
      <w:rPr>
        <w:rFonts w:hint="default" w:ascii="Times New Roman" w:hAnsi="Times New Roman" w:eastAsia="Times New Roman" w:cs="Times New Roman"/>
        <w:w w:val="100"/>
        <w:sz w:val="24"/>
        <w:szCs w:val="24"/>
      </w:rPr>
    </w:lvl>
    <w:lvl w:ilvl="3" w:tentative="0">
      <w:start w:val="0"/>
      <w:numFmt w:val="bullet"/>
      <w:lvlText w:val="•"/>
      <w:lvlJc w:val="left"/>
      <w:pPr>
        <w:ind w:left="2551" w:hanging="526"/>
      </w:pPr>
      <w:rPr>
        <w:rFonts w:hint="default"/>
      </w:rPr>
    </w:lvl>
    <w:lvl w:ilvl="4" w:tentative="0">
      <w:start w:val="0"/>
      <w:numFmt w:val="bullet"/>
      <w:lvlText w:val="•"/>
      <w:lvlJc w:val="left"/>
      <w:pPr>
        <w:ind w:left="3466" w:hanging="526"/>
      </w:pPr>
      <w:rPr>
        <w:rFonts w:hint="default"/>
      </w:rPr>
    </w:lvl>
    <w:lvl w:ilvl="5" w:tentative="0">
      <w:start w:val="0"/>
      <w:numFmt w:val="bullet"/>
      <w:lvlText w:val="•"/>
      <w:lvlJc w:val="left"/>
      <w:pPr>
        <w:ind w:left="4382" w:hanging="526"/>
      </w:pPr>
      <w:rPr>
        <w:rFonts w:hint="default"/>
      </w:rPr>
    </w:lvl>
    <w:lvl w:ilvl="6" w:tentative="0">
      <w:start w:val="0"/>
      <w:numFmt w:val="bullet"/>
      <w:lvlText w:val="•"/>
      <w:lvlJc w:val="left"/>
      <w:pPr>
        <w:ind w:left="5297" w:hanging="526"/>
      </w:pPr>
      <w:rPr>
        <w:rFonts w:hint="default"/>
      </w:rPr>
    </w:lvl>
    <w:lvl w:ilvl="7" w:tentative="0">
      <w:start w:val="0"/>
      <w:numFmt w:val="bullet"/>
      <w:lvlText w:val="•"/>
      <w:lvlJc w:val="left"/>
      <w:pPr>
        <w:ind w:left="6213" w:hanging="526"/>
      </w:pPr>
      <w:rPr>
        <w:rFonts w:hint="default"/>
      </w:rPr>
    </w:lvl>
    <w:lvl w:ilvl="8" w:tentative="0">
      <w:start w:val="0"/>
      <w:numFmt w:val="bullet"/>
      <w:lvlText w:val="•"/>
      <w:lvlJc w:val="left"/>
      <w:pPr>
        <w:ind w:left="7128" w:hanging="526"/>
      </w:pPr>
      <w:rPr>
        <w:rFonts w:hint="default"/>
      </w:rPr>
    </w:lvl>
  </w:abstractNum>
  <w:abstractNum w:abstractNumId="7">
    <w:nsid w:val="4D94DA66"/>
    <w:multiLevelType w:val="multilevel"/>
    <w:tmpl w:val="4D94DA66"/>
    <w:lvl w:ilvl="0" w:tentative="0">
      <w:start w:val="1"/>
      <w:numFmt w:val="decimal"/>
      <w:lvlText w:val="%1"/>
      <w:lvlJc w:val="left"/>
      <w:pPr>
        <w:ind w:left="100" w:hanging="526"/>
      </w:pPr>
      <w:rPr>
        <w:rFonts w:hint="default"/>
      </w:rPr>
    </w:lvl>
    <w:lvl w:ilvl="1" w:tentative="0">
      <w:start w:val="1"/>
      <w:numFmt w:val="decimal"/>
      <w:lvlText w:val="%1.%2"/>
      <w:lvlJc w:val="left"/>
      <w:pPr>
        <w:ind w:left="100" w:hanging="526"/>
      </w:pPr>
      <w:rPr>
        <w:rFonts w:hint="default"/>
      </w:rPr>
    </w:lvl>
    <w:lvl w:ilvl="2" w:tentative="0">
      <w:start w:val="4"/>
      <w:numFmt w:val="decimal"/>
      <w:lvlText w:val="%1.%2.%3"/>
      <w:lvlJc w:val="left"/>
      <w:pPr>
        <w:ind w:left="100" w:hanging="526"/>
      </w:pPr>
      <w:rPr>
        <w:rFonts w:hint="default"/>
        <w:w w:val="100"/>
        <w:sz w:val="24"/>
        <w:szCs w:val="24"/>
      </w:rPr>
    </w:lvl>
    <w:lvl w:ilvl="3" w:tentative="0">
      <w:start w:val="1"/>
      <w:numFmt w:val="decimal"/>
      <w:lvlText w:val="%1.%2.%3.%4"/>
      <w:lvlJc w:val="left"/>
      <w:pPr>
        <w:ind w:left="1310" w:hanging="790"/>
      </w:pPr>
      <w:rPr>
        <w:rFonts w:hint="default" w:ascii="Times New Roman" w:hAnsi="Times New Roman" w:eastAsia="Times New Roman" w:cs="Times New Roman"/>
        <w:spacing w:val="-3"/>
        <w:w w:val="100"/>
        <w:sz w:val="21"/>
        <w:szCs w:val="21"/>
      </w:rPr>
    </w:lvl>
    <w:lvl w:ilvl="4" w:tentative="0">
      <w:start w:val="0"/>
      <w:numFmt w:val="bullet"/>
      <w:lvlText w:val="•"/>
      <w:lvlJc w:val="left"/>
      <w:pPr>
        <w:ind w:left="3866" w:hanging="790"/>
      </w:pPr>
      <w:rPr>
        <w:rFonts w:hint="default"/>
      </w:rPr>
    </w:lvl>
    <w:lvl w:ilvl="5" w:tentative="0">
      <w:start w:val="0"/>
      <w:numFmt w:val="bullet"/>
      <w:lvlText w:val="•"/>
      <w:lvlJc w:val="left"/>
      <w:pPr>
        <w:ind w:left="4715" w:hanging="790"/>
      </w:pPr>
      <w:rPr>
        <w:rFonts w:hint="default"/>
      </w:rPr>
    </w:lvl>
    <w:lvl w:ilvl="6" w:tentative="0">
      <w:start w:val="0"/>
      <w:numFmt w:val="bullet"/>
      <w:lvlText w:val="•"/>
      <w:lvlJc w:val="left"/>
      <w:pPr>
        <w:ind w:left="5564" w:hanging="790"/>
      </w:pPr>
      <w:rPr>
        <w:rFonts w:hint="default"/>
      </w:rPr>
    </w:lvl>
    <w:lvl w:ilvl="7" w:tentative="0">
      <w:start w:val="0"/>
      <w:numFmt w:val="bullet"/>
      <w:lvlText w:val="•"/>
      <w:lvlJc w:val="left"/>
      <w:pPr>
        <w:ind w:left="6413" w:hanging="790"/>
      </w:pPr>
      <w:rPr>
        <w:rFonts w:hint="default"/>
      </w:rPr>
    </w:lvl>
    <w:lvl w:ilvl="8" w:tentative="0">
      <w:start w:val="0"/>
      <w:numFmt w:val="bullet"/>
      <w:lvlText w:val="•"/>
      <w:lvlJc w:val="left"/>
      <w:pPr>
        <w:ind w:left="7262" w:hanging="790"/>
      </w:pPr>
      <w:rPr>
        <w:rFonts w:hint="default"/>
      </w:rPr>
    </w:lvl>
  </w:abstractNum>
  <w:abstractNum w:abstractNumId="8">
    <w:nsid w:val="79AA4FA4"/>
    <w:multiLevelType w:val="multilevel"/>
    <w:tmpl w:val="79AA4FA4"/>
    <w:lvl w:ilvl="0" w:tentative="0">
      <w:start w:val="6"/>
      <w:numFmt w:val="decimal"/>
      <w:lvlText w:val="%1."/>
      <w:lvlJc w:val="left"/>
      <w:pPr>
        <w:ind w:left="501" w:hanging="401"/>
      </w:pPr>
      <w:rPr>
        <w:rFonts w:hint="default" w:ascii="Times New Roman" w:hAnsi="Times New Roman" w:eastAsia="Times New Roman" w:cs="Times New Roman"/>
        <w:b/>
        <w:bCs/>
        <w:w w:val="99"/>
        <w:sz w:val="32"/>
        <w:szCs w:val="32"/>
      </w:rPr>
    </w:lvl>
    <w:lvl w:ilvl="1" w:tentative="0">
      <w:start w:val="1"/>
      <w:numFmt w:val="decimal"/>
      <w:lvlText w:val="%1.%2"/>
      <w:lvlJc w:val="left"/>
      <w:pPr>
        <w:ind w:left="100" w:hanging="473"/>
      </w:pPr>
      <w:rPr>
        <w:rFonts w:hint="default"/>
        <w:w w:val="100"/>
        <w:sz w:val="24"/>
        <w:szCs w:val="24"/>
      </w:rPr>
    </w:lvl>
    <w:lvl w:ilvl="2" w:tentative="0">
      <w:start w:val="1"/>
      <w:numFmt w:val="decimal"/>
      <w:lvlText w:val="%1.%2.%3"/>
      <w:lvlJc w:val="left"/>
      <w:pPr>
        <w:ind w:left="100" w:hanging="473"/>
      </w:pPr>
      <w:rPr>
        <w:rFonts w:hint="default" w:ascii="Times New Roman" w:hAnsi="Times New Roman" w:eastAsia="Times New Roman" w:cs="Times New Roman"/>
        <w:w w:val="100"/>
        <w:sz w:val="24"/>
        <w:szCs w:val="24"/>
      </w:rPr>
    </w:lvl>
    <w:lvl w:ilvl="3" w:tentative="0">
      <w:start w:val="0"/>
      <w:numFmt w:val="bullet"/>
      <w:lvlText w:val="•"/>
      <w:lvlJc w:val="left"/>
      <w:pPr>
        <w:ind w:left="1737" w:hanging="473"/>
      </w:pPr>
      <w:rPr>
        <w:rFonts w:hint="default"/>
      </w:rPr>
    </w:lvl>
    <w:lvl w:ilvl="4" w:tentative="0">
      <w:start w:val="0"/>
      <w:numFmt w:val="bullet"/>
      <w:lvlText w:val="•"/>
      <w:lvlJc w:val="left"/>
      <w:pPr>
        <w:ind w:left="2755" w:hanging="473"/>
      </w:pPr>
      <w:rPr>
        <w:rFonts w:hint="default"/>
      </w:rPr>
    </w:lvl>
    <w:lvl w:ilvl="5" w:tentative="0">
      <w:start w:val="0"/>
      <w:numFmt w:val="bullet"/>
      <w:lvlText w:val="•"/>
      <w:lvlJc w:val="left"/>
      <w:pPr>
        <w:ind w:left="3772" w:hanging="473"/>
      </w:pPr>
      <w:rPr>
        <w:rFonts w:hint="default"/>
      </w:rPr>
    </w:lvl>
    <w:lvl w:ilvl="6" w:tentative="0">
      <w:start w:val="0"/>
      <w:numFmt w:val="bullet"/>
      <w:lvlText w:val="•"/>
      <w:lvlJc w:val="left"/>
      <w:pPr>
        <w:ind w:left="4790" w:hanging="473"/>
      </w:pPr>
      <w:rPr>
        <w:rFonts w:hint="default"/>
      </w:rPr>
    </w:lvl>
    <w:lvl w:ilvl="7" w:tentative="0">
      <w:start w:val="0"/>
      <w:numFmt w:val="bullet"/>
      <w:lvlText w:val="•"/>
      <w:lvlJc w:val="left"/>
      <w:pPr>
        <w:ind w:left="5807" w:hanging="473"/>
      </w:pPr>
      <w:rPr>
        <w:rFonts w:hint="default"/>
      </w:rPr>
    </w:lvl>
    <w:lvl w:ilvl="8" w:tentative="0">
      <w:start w:val="0"/>
      <w:numFmt w:val="bullet"/>
      <w:lvlText w:val="•"/>
      <w:lvlJc w:val="left"/>
      <w:pPr>
        <w:ind w:left="6825" w:hanging="473"/>
      </w:pPr>
      <w:rPr>
        <w:rFonts w:hint="default"/>
      </w:rPr>
    </w:lvl>
  </w:abstractNum>
  <w:abstractNum w:abstractNumId="9">
    <w:nsid w:val="7DEC2089"/>
    <w:multiLevelType w:val="multilevel"/>
    <w:tmpl w:val="7DEC2089"/>
    <w:lvl w:ilvl="0" w:tentative="0">
      <w:start w:val="1"/>
      <w:numFmt w:val="decimal"/>
      <w:lvlText w:val="%1."/>
      <w:lvlJc w:val="left"/>
      <w:pPr>
        <w:ind w:left="606" w:hanging="401"/>
        <w:jc w:val="right"/>
      </w:pPr>
      <w:rPr>
        <w:rFonts w:hint="default" w:ascii="Times New Roman" w:hAnsi="Times New Roman" w:eastAsia="Times New Roman" w:cs="Times New Roman"/>
        <w:b/>
        <w:bCs/>
        <w:w w:val="99"/>
        <w:sz w:val="32"/>
        <w:szCs w:val="32"/>
      </w:rPr>
    </w:lvl>
    <w:lvl w:ilvl="1" w:tentative="0">
      <w:start w:val="1"/>
      <w:numFmt w:val="decimal"/>
      <w:lvlText w:val="%1.%2"/>
      <w:lvlJc w:val="left"/>
      <w:pPr>
        <w:ind w:left="726" w:hanging="490"/>
      </w:pPr>
      <w:rPr>
        <w:rFonts w:hint="default" w:ascii="Times New Roman" w:hAnsi="Times New Roman" w:eastAsia="Times New Roman" w:cs="Times New Roman"/>
        <w:w w:val="100"/>
        <w:sz w:val="24"/>
        <w:szCs w:val="24"/>
      </w:rPr>
    </w:lvl>
    <w:lvl w:ilvl="2" w:tentative="0">
      <w:start w:val="1"/>
      <w:numFmt w:val="decimal"/>
      <w:lvlText w:val="%1.%2.%3"/>
      <w:lvlJc w:val="left"/>
      <w:pPr>
        <w:ind w:left="100" w:hanging="526"/>
      </w:pPr>
      <w:rPr>
        <w:rFonts w:hint="default"/>
        <w:w w:val="100"/>
        <w:sz w:val="24"/>
        <w:szCs w:val="24"/>
      </w:rPr>
    </w:lvl>
    <w:lvl w:ilvl="3" w:tentative="0">
      <w:start w:val="1"/>
      <w:numFmt w:val="decimal"/>
      <w:lvlText w:val="%1.%2.%3.%4"/>
      <w:lvlJc w:val="left"/>
      <w:pPr>
        <w:ind w:left="100" w:hanging="526"/>
      </w:pPr>
      <w:rPr>
        <w:rFonts w:hint="default" w:ascii="Times New Roman" w:hAnsi="Times New Roman" w:eastAsia="Times New Roman" w:cs="Times New Roman"/>
        <w:w w:val="100"/>
        <w:sz w:val="24"/>
        <w:szCs w:val="24"/>
      </w:rPr>
    </w:lvl>
    <w:lvl w:ilvl="4" w:tentative="0">
      <w:start w:val="0"/>
      <w:numFmt w:val="bullet"/>
      <w:lvlText w:val="•"/>
      <w:lvlJc w:val="left"/>
      <w:pPr>
        <w:ind w:left="2157" w:hanging="526"/>
      </w:pPr>
      <w:rPr>
        <w:rFonts w:hint="default"/>
      </w:rPr>
    </w:lvl>
    <w:lvl w:ilvl="5" w:tentative="0">
      <w:start w:val="0"/>
      <w:numFmt w:val="bullet"/>
      <w:lvlText w:val="•"/>
      <w:lvlJc w:val="left"/>
      <w:pPr>
        <w:ind w:left="3274" w:hanging="526"/>
      </w:pPr>
      <w:rPr>
        <w:rFonts w:hint="default"/>
      </w:rPr>
    </w:lvl>
    <w:lvl w:ilvl="6" w:tentative="0">
      <w:start w:val="0"/>
      <w:numFmt w:val="bullet"/>
      <w:lvlText w:val="•"/>
      <w:lvlJc w:val="left"/>
      <w:pPr>
        <w:ind w:left="4391" w:hanging="526"/>
      </w:pPr>
      <w:rPr>
        <w:rFonts w:hint="default"/>
      </w:rPr>
    </w:lvl>
    <w:lvl w:ilvl="7" w:tentative="0">
      <w:start w:val="0"/>
      <w:numFmt w:val="bullet"/>
      <w:lvlText w:val="•"/>
      <w:lvlJc w:val="left"/>
      <w:pPr>
        <w:ind w:left="5508" w:hanging="526"/>
      </w:pPr>
      <w:rPr>
        <w:rFonts w:hint="default"/>
      </w:rPr>
    </w:lvl>
    <w:lvl w:ilvl="8" w:tentative="0">
      <w:start w:val="0"/>
      <w:numFmt w:val="bullet"/>
      <w:lvlText w:val="•"/>
      <w:lvlJc w:val="left"/>
      <w:pPr>
        <w:ind w:left="6625" w:hanging="526"/>
      </w:pPr>
      <w:rPr>
        <w:rFonts w:hint="default"/>
      </w:rPr>
    </w:lvl>
  </w:abstractNum>
  <w:num w:numId="1">
    <w:abstractNumId w:val="9"/>
  </w:num>
  <w:num w:numId="2">
    <w:abstractNumId w:val="0"/>
  </w:num>
  <w:num w:numId="3">
    <w:abstractNumId w:val="5"/>
  </w:num>
  <w:num w:numId="4">
    <w:abstractNumId w:val="7"/>
  </w:num>
  <w:num w:numId="5">
    <w:abstractNumId w:val="3"/>
  </w:num>
  <w:num w:numId="6">
    <w:abstractNumId w:val="2"/>
  </w:num>
  <w:num w:numId="7">
    <w:abstractNumId w:val="6"/>
  </w:num>
  <w:num w:numId="8">
    <w:abstractNumId w:val="8"/>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hY2U2OWM3ZDdiYjk2OWQ4ZmViODcxMmM3ZmFlNGIifQ=="/>
  </w:docVars>
  <w:rsids>
    <w:rsidRoot w:val="007C43D2"/>
    <w:rsid w:val="0016706E"/>
    <w:rsid w:val="007C43D2"/>
    <w:rsid w:val="00B02A1B"/>
    <w:rsid w:val="00BD2AA7"/>
    <w:rsid w:val="00D70641"/>
    <w:rsid w:val="017C65C5"/>
    <w:rsid w:val="06796FE6"/>
    <w:rsid w:val="08403560"/>
    <w:rsid w:val="112B37F7"/>
    <w:rsid w:val="17E258C0"/>
    <w:rsid w:val="1B7040DB"/>
    <w:rsid w:val="2952149C"/>
    <w:rsid w:val="2BE07A10"/>
    <w:rsid w:val="31530ECC"/>
    <w:rsid w:val="317C04DD"/>
    <w:rsid w:val="37324AAE"/>
    <w:rsid w:val="3CF950D8"/>
    <w:rsid w:val="41EA552E"/>
    <w:rsid w:val="48396CD0"/>
    <w:rsid w:val="498F4DFA"/>
    <w:rsid w:val="58FD2AA1"/>
    <w:rsid w:val="63282E2F"/>
    <w:rsid w:val="638D43A1"/>
    <w:rsid w:val="641E314E"/>
    <w:rsid w:val="650C50F9"/>
    <w:rsid w:val="66E856F1"/>
    <w:rsid w:val="68AE525B"/>
    <w:rsid w:val="6B572004"/>
    <w:rsid w:val="6CC369E5"/>
    <w:rsid w:val="6D0F313D"/>
    <w:rsid w:val="7F420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0"/>
    <w:pPr>
      <w:keepNext/>
      <w:keepLines/>
      <w:spacing w:before="120" w:beforeLines="0" w:after="120" w:afterLines="0" w:line="360" w:lineRule="auto"/>
      <w:jc w:val="center"/>
      <w:outlineLvl w:val="0"/>
    </w:pPr>
    <w:rPr>
      <w:b/>
      <w:bCs/>
      <w:kern w:val="44"/>
      <w:sz w:val="30"/>
      <w:szCs w:val="44"/>
    </w:rPr>
  </w:style>
  <w:style w:type="paragraph" w:styleId="3">
    <w:name w:val="heading 2"/>
    <w:basedOn w:val="1"/>
    <w:next w:val="1"/>
    <w:qFormat/>
    <w:uiPriority w:val="1"/>
    <w:pPr>
      <w:ind w:left="501" w:hanging="401"/>
      <w:outlineLvl w:val="1"/>
    </w:pPr>
    <w:rPr>
      <w:rFonts w:ascii="Microsoft JhengHei" w:hAnsi="Microsoft JhengHei" w:eastAsia="Microsoft JhengHei" w:cs="Microsoft JhengHei"/>
      <w:b/>
      <w:bCs/>
      <w:sz w:val="32"/>
      <w:szCs w:val="32"/>
    </w:rPr>
  </w:style>
  <w:style w:type="paragraph" w:styleId="4">
    <w:name w:val="heading 3"/>
    <w:basedOn w:val="1"/>
    <w:next w:val="1"/>
    <w:qFormat/>
    <w:uiPriority w:val="1"/>
    <w:pPr>
      <w:ind w:left="726" w:hanging="489"/>
      <w:outlineLvl w:val="2"/>
    </w:pPr>
    <w:rPr>
      <w:rFonts w:ascii="宋体" w:hAnsi="宋体" w:eastAsia="宋体" w:cs="宋体"/>
      <w:sz w:val="28"/>
      <w:szCs w:val="28"/>
    </w:rPr>
  </w:style>
  <w:style w:type="paragraph" w:styleId="5">
    <w:name w:val="heading 4"/>
    <w:basedOn w:val="1"/>
    <w:next w:val="1"/>
    <w:qFormat/>
    <w:uiPriority w:val="1"/>
    <w:pPr>
      <w:ind w:left="1048" w:hanging="526"/>
      <w:outlineLvl w:val="3"/>
    </w:pPr>
    <w:rPr>
      <w:rFonts w:ascii="Microsoft JhengHei" w:hAnsi="Microsoft JhengHei" w:eastAsia="Microsoft JhengHei" w:cs="Microsoft JhengHei"/>
      <w:b/>
      <w:bCs/>
      <w:sz w:val="21"/>
      <w:szCs w:val="21"/>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7">
    <w:name w:val="Body Text"/>
    <w:basedOn w:val="1"/>
    <w:next w:val="1"/>
    <w:link w:val="13"/>
    <w:semiHidden/>
    <w:unhideWhenUsed/>
    <w:qFormat/>
    <w:uiPriority w:val="99"/>
    <w:pPr>
      <w:spacing w:after="120"/>
    </w:pPr>
  </w:style>
  <w:style w:type="paragraph" w:styleId="8">
    <w:name w:val="Plain Text"/>
    <w:basedOn w:val="1"/>
    <w:qFormat/>
    <w:uiPriority w:val="99"/>
    <w:rPr>
      <w:rFonts w:ascii="宋体" w:hAnsi="Courier New" w:cs="Courier New"/>
      <w:szCs w:val="21"/>
    </w:rPr>
  </w:style>
  <w:style w:type="paragraph" w:styleId="9">
    <w:name w:val="footer"/>
    <w:basedOn w:val="1"/>
    <w:qFormat/>
    <w:uiPriority w:val="99"/>
    <w:pPr>
      <w:tabs>
        <w:tab w:val="center" w:pos="4153"/>
        <w:tab w:val="right" w:pos="8306"/>
      </w:tabs>
      <w:snapToGrid w:val="0"/>
      <w:jc w:val="left"/>
    </w:pPr>
    <w:rPr>
      <w:sz w:val="18"/>
      <w:szCs w:val="18"/>
    </w:rPr>
  </w:style>
  <w:style w:type="paragraph" w:customStyle="1" w:styleId="12">
    <w:name w:val="Body text|1"/>
    <w:basedOn w:val="1"/>
    <w:qFormat/>
    <w:uiPriority w:val="0"/>
    <w:pPr>
      <w:spacing w:line="437" w:lineRule="auto"/>
      <w:ind w:firstLine="400"/>
    </w:pPr>
    <w:rPr>
      <w:rFonts w:ascii="宋体" w:hAnsi="宋体" w:cs="宋体"/>
      <w:sz w:val="30"/>
      <w:szCs w:val="30"/>
      <w:lang w:val="zh-TW" w:eastAsia="zh-TW" w:bidi="zh-TW"/>
    </w:rPr>
  </w:style>
  <w:style w:type="character" w:customStyle="1" w:styleId="13">
    <w:name w:val="正文文本 Char"/>
    <w:basedOn w:val="11"/>
    <w:link w:val="7"/>
    <w:semiHidden/>
    <w:qFormat/>
    <w:uiPriority w:val="99"/>
    <w:rPr>
      <w:rFonts w:ascii="Times New Roman" w:hAnsi="Times New Roman" w:eastAsia="宋体" w:cs="Times New Roman"/>
      <w:szCs w:val="24"/>
    </w:rPr>
  </w:style>
  <w:style w:type="character" w:customStyle="1" w:styleId="14">
    <w:name w:val="NormalCharacter"/>
    <w:link w:val="15"/>
    <w:qFormat/>
    <w:uiPriority w:val="0"/>
    <w:rPr>
      <w:rFonts w:ascii="宋体" w:hAnsi="宋体"/>
      <w:kern w:val="0"/>
      <w:sz w:val="20"/>
      <w:szCs w:val="20"/>
    </w:rPr>
  </w:style>
  <w:style w:type="paragraph" w:customStyle="1" w:styleId="15">
    <w:name w:val="UserStyle_64"/>
    <w:basedOn w:val="1"/>
    <w:link w:val="14"/>
    <w:qFormat/>
    <w:uiPriority w:val="0"/>
    <w:pPr>
      <w:widowControl/>
      <w:spacing w:line="240" w:lineRule="auto"/>
      <w:textAlignment w:val="baseline"/>
    </w:pPr>
    <w:rPr>
      <w:rFonts w:ascii="宋体" w:hAnsi="宋体"/>
      <w:kern w:val="0"/>
      <w:sz w:val="20"/>
      <w:szCs w:val="20"/>
    </w:rPr>
  </w:style>
  <w:style w:type="character" w:customStyle="1" w:styleId="16">
    <w:name w:val="标题 1 字符"/>
    <w:link w:val="2"/>
    <w:qFormat/>
    <w:uiPriority w:val="0"/>
    <w:rPr>
      <w:b/>
      <w:bCs/>
      <w:kern w:val="44"/>
      <w:sz w:val="30"/>
      <w:szCs w:val="44"/>
    </w:rPr>
  </w:style>
  <w:style w:type="paragraph" w:customStyle="1" w:styleId="17">
    <w:name w:val="null3"/>
    <w:hidden/>
    <w:qFormat/>
    <w:uiPriority w:val="0"/>
    <w:rPr>
      <w:rFonts w:hint="eastAsia" w:asciiTheme="minorHAnsi" w:hAnsiTheme="minorHAnsi" w:eastAsiaTheme="minorEastAsia" w:cstheme="minorBidi"/>
      <w:lang w:val="en-US" w:eastAsia="zh-Hans" w:bidi="ar-SA"/>
    </w:rPr>
  </w:style>
  <w:style w:type="paragraph" w:customStyle="1" w:styleId="1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9">
    <w:name w:val="列出段落1"/>
    <w:basedOn w:val="1"/>
    <w:qFormat/>
    <w:uiPriority w:val="34"/>
    <w:pPr>
      <w:ind w:firstLine="420" w:firstLineChars="200"/>
    </w:pPr>
    <w:rPr>
      <w:rFonts w:ascii="Calibri" w:hAnsi="Calibri"/>
      <w:szCs w:val="22"/>
    </w:rPr>
  </w:style>
  <w:style w:type="paragraph" w:customStyle="1" w:styleId="20">
    <w:name w:val="Char Char4 Char Char Char Char"/>
    <w:basedOn w:val="1"/>
    <w:qFormat/>
    <w:uiPriority w:val="0"/>
    <w:pPr>
      <w:spacing w:line="440" w:lineRule="atLeast"/>
      <w:ind w:firstLine="482" w:firstLineChars="200"/>
    </w:pPr>
    <w:rPr>
      <w:rFonts w:ascii="宋体" w:hAnsi="宋体"/>
      <w:b/>
      <w:color w:val="000000"/>
      <w:sz w:val="24"/>
    </w:rPr>
  </w:style>
  <w:style w:type="paragraph" w:customStyle="1" w:styleId="2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2">
    <w:name w:val="List Paragraph"/>
    <w:basedOn w:val="1"/>
    <w:qFormat/>
    <w:uiPriority w:val="1"/>
    <w:pPr>
      <w:ind w:left="100" w:firstLine="420"/>
    </w:pPr>
    <w:rPr>
      <w:rFonts w:ascii="宋体" w:hAnsi="宋体" w:eastAsia="宋体" w:cs="宋体"/>
    </w:rPr>
  </w:style>
  <w:style w:type="paragraph" w:customStyle="1" w:styleId="23">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33</Pages>
  <Words>13743</Words>
  <Characters>13859</Characters>
  <Lines>53</Lines>
  <Paragraphs>15</Paragraphs>
  <TotalTime>0</TotalTime>
  <ScaleCrop>false</ScaleCrop>
  <LinksUpToDate>false</LinksUpToDate>
  <CharactersWithSpaces>14476</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2023-07-25T06:53:00Z</dcterms:created>
  <dc:creator>饶红武</dc:creator>
  <cp:lastModifiedBy>淘气儿</cp:lastModifiedBy>
  <dcterms:modified xsi:type="dcterms:W3CDTF">2024-07-10T06:32:36Z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E95B43E7D7FA4D8B82570A5B16500DAC_12</vt:lpwstr>
  </property>
</Properties>
</file>