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草堂校区计算与语言中心教学服务承包项目</w:t>
      </w:r>
    </w:p>
    <w:p>
      <w:pPr>
        <w:pStyle w:val="null3"/>
        <w:jc w:val="center"/>
        <w:outlineLvl w:val="2"/>
      </w:pPr>
      <w:r>
        <w:rPr>
          <w:sz w:val="28"/>
          <w:b/>
        </w:rPr>
        <w:t>采购项目编号：</w:t>
      </w:r>
      <w:r>
        <w:rPr>
          <w:sz w:val="28"/>
          <w:b/>
        </w:rPr>
        <w:t>ZMZB2024XJD-152</w:t>
      </w:r>
      <w:r>
        <w:br/>
      </w:r>
      <w:r>
        <w:br/>
      </w:r>
      <w:r>
        <w:br/>
      </w:r>
    </w:p>
    <w:p>
      <w:pPr>
        <w:pStyle w:val="null3"/>
        <w:jc w:val="center"/>
        <w:outlineLvl w:val="2"/>
      </w:pPr>
      <w:r>
        <w:rPr>
          <w:sz w:val="28"/>
          <w:b/>
        </w:rPr>
        <w:t>西安建筑科技大学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2024年06月13日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西安建筑科技大学</w:t>
      </w:r>
      <w:r>
        <w:rPr/>
        <w:t>委托，拟对</w:t>
      </w:r>
      <w:r>
        <w:rPr/>
        <w:t>草堂校区计算与语言中心教学服务承包项目</w:t>
      </w:r>
      <w:r>
        <w:rPr/>
        <w:t>采用竞争性磋商采购方式进行采购，兹邀请供应商参加本项目的竞争性磋商。</w:t>
      </w:r>
    </w:p>
    <w:p>
      <w:pPr>
        <w:pStyle w:val="null3"/>
        <w:outlineLvl w:val="2"/>
      </w:pPr>
      <w:r>
        <w:rPr>
          <w:sz w:val="28"/>
          <w:b/>
        </w:rPr>
        <w:t>一、项目编号：</w:t>
      </w:r>
      <w:r>
        <w:rPr>
          <w:sz w:val="28"/>
          <w:b/>
        </w:rPr>
        <w:t>ZMZB2024XJD-152</w:t>
      </w:r>
    </w:p>
    <w:p>
      <w:pPr>
        <w:pStyle w:val="null3"/>
        <w:outlineLvl w:val="2"/>
      </w:pPr>
      <w:r>
        <w:rPr>
          <w:sz w:val="28"/>
          <w:b/>
        </w:rPr>
        <w:t>二、项目名称：</w:t>
      </w:r>
      <w:r>
        <w:rPr>
          <w:sz w:val="28"/>
          <w:b/>
        </w:rPr>
        <w:t>草堂校区计算与语言中心教学服务承包项目</w:t>
      </w:r>
    </w:p>
    <w:p>
      <w:pPr>
        <w:pStyle w:val="null3"/>
        <w:outlineLvl w:val="2"/>
      </w:pPr>
      <w:r>
        <w:rPr>
          <w:sz w:val="28"/>
          <w:b/>
        </w:rPr>
        <w:t>三、磋商项目简介</w:t>
      </w:r>
    </w:p>
    <w:p>
      <w:pPr>
        <w:pStyle w:val="null3"/>
        <w:ind w:firstLine="480"/>
      </w:pPr>
      <w:r>
        <w:rPr/>
        <w:t>学校在草堂校区提供教室等基础设施，以服务外包的形式，与承包商共同建设计算与语言中心，以保证西安建筑科技大学计算与语言教学的开展。承包商需按照招投标文件响应要求，出资购置安装符合我校教学需求的计算机及教学资源平台、外语语音教学设备、桌椅等计算与语言教学设备及配套设施，并聘请相关人员负责仪器设备的日常管理和维护，做好教学服务工作。双方完成合同明确规定的责任和义务后，学校每学期按实际产生的课时量支付教学服务机时费。承包商需向学校支付电费、采暖费、网费等费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采购包1（草堂校区计算与语言中心教学服务承包项目）：属于专门面向中小企业采购。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3、具有履行合同所必需的设备和专业技术能力的书面声明：具有履行合同所必需的设备和专业技术能力的书面声明</w:t>
      </w:r>
    </w:p>
    <w:p>
      <w:pPr>
        <w:pStyle w:val="null3"/>
      </w:pPr>
      <w:r>
        <w:rPr/>
        <w:t>4、税收缴纳证明：提供 2023年6月（含6月）以来至少一个月的纳税证明或完税证明（时间以税款所属日期为准），依法免税的单位应提供相关证明材料</w:t>
      </w:r>
    </w:p>
    <w:p>
      <w:pPr>
        <w:pStyle w:val="null3"/>
      </w:pPr>
      <w:r>
        <w:rPr/>
        <w:t>5、社会保障资金缴纳证明：提供 2023年6月（含6月）以来至少一个月的社会保障资金缴存单据或社保机构开具的社会保险参保缴费情况证明。依法不需要缴纳社会保障资金的供应商应提供相关文件证明</w:t>
      </w:r>
    </w:p>
    <w:p>
      <w:pPr>
        <w:pStyle w:val="null3"/>
      </w:pPr>
      <w:r>
        <w:rPr/>
        <w:t>6、无重大违法记录声明：参加采购活动前 3 年内在经营活动中没有重大违法记录的书面声明</w:t>
      </w:r>
    </w:p>
    <w:p>
      <w:pPr>
        <w:pStyle w:val="null3"/>
      </w:pPr>
      <w:r>
        <w:rPr/>
        <w:t>7、法定代表人授权书：非法定代表人参加投标的，须提供法定代表人委托授权书及被授权人身份证，法定代表人参加投标时,只须提供法定代表人身份证</w:t>
      </w:r>
    </w:p>
    <w:p>
      <w:pPr>
        <w:pStyle w:val="null3"/>
      </w:pPr>
      <w:r>
        <w:rPr/>
        <w:t>8、本项目专门面向中小企业采购：供应商应提供中小企业声明函</w:t>
      </w:r>
    </w:p>
    <w:p>
      <w:pPr>
        <w:pStyle w:val="null3"/>
      </w:pPr>
      <w:r>
        <w:rPr/>
        <w:t>9、非联合体投标声明：本项目不接受联合体响应</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闫老师</w:t>
      </w:r>
    </w:p>
    <w:p>
      <w:pPr>
        <w:pStyle w:val="null3"/>
      </w:pPr>
      <w:r>
        <w:rPr/>
        <w:t xml:space="preserve"> 联系电话： </w:t>
      </w:r>
      <w:r>
        <w:rPr/>
        <w:t>82201427</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 30 号合力紫郡 B 座 21层</w:t>
      </w:r>
    </w:p>
    <w:p>
      <w:pPr>
        <w:pStyle w:val="null3"/>
      </w:pPr>
      <w:r>
        <w:rPr/>
        <w:t xml:space="preserve"> 邮编： </w:t>
      </w:r>
      <w:r>
        <w:rPr/>
        <w:t>710065</w:t>
      </w:r>
    </w:p>
    <w:p>
      <w:pPr>
        <w:pStyle w:val="null3"/>
      </w:pPr>
      <w:r>
        <w:rPr/>
        <w:t xml:space="preserve"> 联系人： </w:t>
      </w:r>
      <w:r>
        <w:rPr/>
        <w:t>董菊莉 马魏臣 黄乐</w:t>
      </w:r>
    </w:p>
    <w:p>
      <w:pPr>
        <w:pStyle w:val="null3"/>
      </w:pPr>
      <w:r>
        <w:rPr/>
        <w:t xml:space="preserve"> 联系电话： </w:t>
      </w:r>
      <w:r>
        <w:rPr/>
        <w:t>17778966063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采购包1保证金金额：22,000.00元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说明：供应商成交后凭成交通知书向采购人缴纳成交金额的5%作为履约保证金，待合同履约完毕后无息退还。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 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西安建筑科技大学</w:t>
      </w:r>
      <w:r>
        <w:rPr/>
        <w:t>和</w:t>
      </w:r>
      <w:r>
        <w:rPr/>
        <w:t>陕西卓佲项目管理有限公司</w:t>
      </w:r>
      <w:r>
        <w:rPr/>
        <w:t>享有。对磋商文件中供应商参加本次政府采购活动应当具备的条件，磋商项目技术、服务、商务及其他要求，评审细则及标准由</w:t>
      </w:r>
      <w:r>
        <w:rPr/>
        <w:t>西安建筑科技大学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西安建筑科技大学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按照招标文件、投标文件及合同约定执行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联系人：董菊莉</w:t>
      </w:r>
    </w:p>
    <w:p>
      <w:pPr>
        <w:pStyle w:val="null3"/>
      </w:pPr>
      <w:r>
        <w:rPr/>
        <w:t>联系电话： 17778966063</w:t>
      </w:r>
    </w:p>
    <w:p>
      <w:pPr>
        <w:pStyle w:val="null3"/>
      </w:pPr>
      <w:r>
        <w:rPr/>
        <w:t>地址：西安市雁塔区科技路 30 号合力紫郡 B 座 21层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草堂校区计算与语言中心教学服务承包项目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1,100,000.00</w:t>
      </w:r>
    </w:p>
    <w:p>
      <w:pPr>
        <w:pStyle w:val="null3"/>
      </w:pPr>
      <w:r>
        <w:rPr/>
        <w:t>采购包最高限价（元）: 1,100,000.00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草堂校区计算与语言中心教学服务承包项目</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标的名称：草堂校区计算与语言中心教学服务承包项目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合同期：</w:t>
            </w:r>
            <w:r>
              <w:rPr>
                <w:rFonts w:ascii="宋体" w:hAnsi="宋体" w:cs="宋体" w:eastAsia="宋体"/>
                <w:sz w:val="20"/>
              </w:rPr>
              <w:t>2024年9月-2027年7月。</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0"/>
                <w:b/>
                <w:color w:val="000000"/>
              </w:rPr>
              <w:t>一、甲、乙双方投入</w:t>
            </w:r>
          </w:p>
          <w:p>
            <w:pPr>
              <w:pStyle w:val="null3"/>
              <w:jc w:val="both"/>
            </w:pPr>
            <w:r>
              <w:rPr>
                <w:rFonts w:ascii="宋体" w:hAnsi="宋体" w:cs="宋体" w:eastAsia="宋体"/>
                <w:sz w:val="20"/>
                <w:b/>
                <w:color w:val="000000"/>
              </w:rPr>
              <w:t>（一）甲方（西安建筑科技大学）提供</w:t>
            </w:r>
          </w:p>
          <w:p>
            <w:pPr>
              <w:pStyle w:val="null3"/>
              <w:jc w:val="both"/>
            </w:pPr>
            <w:r>
              <w:rPr>
                <w:rFonts w:ascii="宋体" w:hAnsi="宋体" w:cs="宋体" w:eastAsia="宋体"/>
                <w:sz w:val="20"/>
              </w:rPr>
              <w:t>1.提供草堂校区学府城20间左右的教室（面积1</w:t>
            </w:r>
            <w:r>
              <w:rPr>
                <w:rFonts w:ascii="宋体" w:hAnsi="宋体" w:cs="宋体" w:eastAsia="宋体"/>
                <w:sz w:val="20"/>
              </w:rPr>
              <w:t>9</w:t>
            </w:r>
            <w:r>
              <w:rPr>
                <w:rFonts w:ascii="宋体" w:hAnsi="宋体" w:cs="宋体" w:eastAsia="宋体"/>
                <w:sz w:val="20"/>
              </w:rPr>
              <w:t>0</w:t>
            </w:r>
            <w:r>
              <w:rPr>
                <w:rFonts w:ascii="宋体" w:hAnsi="宋体" w:cs="宋体" w:eastAsia="宋体"/>
                <w:sz w:val="20"/>
              </w:rPr>
              <w:t>0平方</w:t>
            </w:r>
            <w:r>
              <w:rPr>
                <w:rFonts w:ascii="宋体" w:hAnsi="宋体" w:cs="宋体" w:eastAsia="宋体"/>
                <w:sz w:val="20"/>
              </w:rPr>
              <w:t>米左右）建设计算与语言教学中心，机房座位数合计</w:t>
            </w:r>
            <w:r>
              <w:rPr>
                <w:rFonts w:ascii="宋体" w:hAnsi="宋体" w:cs="宋体" w:eastAsia="宋体"/>
                <w:sz w:val="20"/>
              </w:rPr>
              <w:t>93</w:t>
            </w:r>
            <w:r>
              <w:rPr>
                <w:rFonts w:ascii="宋体" w:hAnsi="宋体" w:cs="宋体" w:eastAsia="宋体"/>
                <w:sz w:val="20"/>
              </w:rPr>
              <w:t>0</w:t>
            </w:r>
            <w:r>
              <w:rPr>
                <w:rFonts w:ascii="宋体" w:hAnsi="宋体" w:cs="宋体" w:eastAsia="宋体"/>
                <w:sz w:val="20"/>
              </w:rPr>
              <w:t>台（</w:t>
            </w:r>
            <w:r>
              <w:rPr>
                <w:rFonts w:ascii="宋体" w:hAnsi="宋体" w:cs="宋体" w:eastAsia="宋体"/>
                <w:sz w:val="20"/>
              </w:rPr>
              <w:t>1个标段）</w:t>
            </w:r>
            <w:r>
              <w:rPr>
                <w:rFonts w:ascii="宋体" w:hAnsi="宋体" w:cs="宋体" w:eastAsia="宋体"/>
                <w:sz w:val="20"/>
              </w:rPr>
              <w:t>，</w:t>
            </w:r>
            <w:r>
              <w:rPr>
                <w:rFonts w:ascii="宋体" w:hAnsi="宋体" w:cs="宋体" w:eastAsia="宋体"/>
                <w:sz w:val="20"/>
              </w:rPr>
              <w:t>往年每学期课程约为</w:t>
            </w:r>
            <w:r>
              <w:rPr>
                <w:rFonts w:ascii="宋体" w:hAnsi="宋体" w:cs="宋体" w:eastAsia="宋体"/>
                <w:sz w:val="20"/>
              </w:rPr>
              <w:t>55万人/时（供参考），具体课时安排以学校最终执行的课程安排为准，甲方不保证最低课时量及上课人数</w:t>
            </w:r>
            <w:r>
              <w:rPr>
                <w:rFonts w:ascii="宋体" w:hAnsi="宋体" w:cs="宋体" w:eastAsia="宋体"/>
                <w:sz w:val="20"/>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0"/>
              </w:rPr>
              <w:t>2.计算与语言中心教室外楼道的基本照明设施。</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0"/>
                <w:color w:val="000000"/>
              </w:rPr>
              <w:t>3.提供接入网络的接口。</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0"/>
                <w:color w:val="000000"/>
              </w:rPr>
              <w:t>4.做好水、电、暖等的后勤保障。</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0"/>
                <w:b/>
                <w:color w:val="000000"/>
              </w:rPr>
              <w:t>（二）乙方（供应商）投入</w:t>
            </w:r>
          </w:p>
          <w:p>
            <w:pPr>
              <w:pStyle w:val="null3"/>
              <w:jc w:val="both"/>
            </w:pPr>
            <w:r>
              <w:rPr>
                <w:rFonts w:ascii="宋体" w:hAnsi="宋体" w:cs="宋体" w:eastAsia="宋体"/>
                <w:sz w:val="20"/>
                <w:color w:val="000000"/>
              </w:rPr>
              <w:t>1.满足甲方计算机</w:t>
            </w:r>
            <w:r>
              <w:rPr>
                <w:rFonts w:ascii="宋体" w:hAnsi="宋体" w:cs="宋体" w:eastAsia="宋体"/>
                <w:sz w:val="20"/>
                <w:color w:val="000000"/>
              </w:rPr>
              <w:t>和</w:t>
            </w:r>
            <w:r>
              <w:rPr>
                <w:rFonts w:ascii="宋体" w:hAnsi="宋体" w:cs="宋体" w:eastAsia="宋体"/>
                <w:sz w:val="20"/>
                <w:color w:val="000000"/>
              </w:rPr>
              <w:t>语言</w:t>
            </w:r>
            <w:r>
              <w:rPr>
                <w:rFonts w:ascii="宋体" w:hAnsi="宋体" w:cs="宋体" w:eastAsia="宋体"/>
                <w:sz w:val="20"/>
                <w:color w:val="000000"/>
              </w:rPr>
              <w:t>教学</w:t>
            </w:r>
            <w:r>
              <w:rPr>
                <w:rFonts w:ascii="宋体" w:hAnsi="宋体" w:cs="宋体" w:eastAsia="宋体"/>
                <w:sz w:val="20"/>
                <w:color w:val="000000"/>
              </w:rPr>
              <w:t>用的教学（语音）设备及配套设施，并安装调试到位。</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0"/>
              </w:rPr>
              <w:t>2.按时交纳甲方的电费、采暖费</w:t>
            </w:r>
            <w:r>
              <w:rPr>
                <w:rFonts w:ascii="宋体" w:hAnsi="宋体" w:cs="宋体" w:eastAsia="宋体"/>
                <w:sz w:val="20"/>
                <w:color w:val="000000"/>
              </w:rPr>
              <w:t>（电费按电表计费，每度</w:t>
            </w:r>
            <w:r>
              <w:rPr>
                <w:rFonts w:ascii="宋体" w:hAnsi="宋体" w:cs="宋体" w:eastAsia="宋体"/>
                <w:sz w:val="20"/>
                <w:color w:val="000000"/>
              </w:rPr>
              <w:t>0.6607</w:t>
            </w:r>
            <w:r>
              <w:rPr>
                <w:rFonts w:ascii="宋体" w:hAnsi="宋体" w:cs="宋体" w:eastAsia="宋体"/>
                <w:sz w:val="20"/>
                <w:color w:val="000000"/>
              </w:rPr>
              <w:t>元；采暖费按采暖季据实结算，收费标准为</w:t>
            </w:r>
            <w:r>
              <w:rPr>
                <w:rFonts w:ascii="宋体" w:hAnsi="宋体" w:cs="宋体" w:eastAsia="宋体"/>
                <w:sz w:val="20"/>
                <w:color w:val="000000"/>
              </w:rPr>
              <w:t>5.8元/m</w:t>
            </w:r>
            <w:r>
              <w:rPr>
                <w:rFonts w:ascii="宋体" w:hAnsi="宋体" w:cs="宋体" w:eastAsia="宋体"/>
                <w:sz w:val="20"/>
                <w:color w:val="000000"/>
                <w:vertAlign w:val="superscript"/>
              </w:rPr>
              <w:t>2</w:t>
            </w:r>
            <w:r>
              <w:rPr>
                <w:rFonts w:ascii="宋体" w:hAnsi="宋体" w:cs="宋体" w:eastAsia="宋体"/>
                <w:sz w:val="20"/>
                <w:color w:val="000000"/>
              </w:rPr>
              <w:t>·月）</w:t>
            </w:r>
            <w:r>
              <w:rPr>
                <w:rFonts w:ascii="宋体" w:hAnsi="宋体" w:cs="宋体" w:eastAsia="宋体"/>
                <w:sz w:val="20"/>
              </w:rPr>
              <w:t>、</w:t>
            </w:r>
            <w:r>
              <w:rPr>
                <w:rFonts w:ascii="宋体" w:hAnsi="宋体" w:cs="宋体" w:eastAsia="宋体"/>
                <w:sz w:val="20"/>
              </w:rPr>
              <w:t>网费</w:t>
            </w:r>
            <w:r>
              <w:rPr>
                <w:rFonts w:ascii="宋体" w:hAnsi="宋体" w:cs="宋体" w:eastAsia="宋体"/>
                <w:sz w:val="20"/>
                <w:color w:val="000000"/>
              </w:rPr>
              <w:t>（</w:t>
            </w:r>
            <w:r>
              <w:rPr>
                <w:rFonts w:ascii="宋体" w:hAnsi="宋体" w:cs="宋体" w:eastAsia="宋体"/>
                <w:sz w:val="20"/>
                <w:color w:val="000000"/>
              </w:rPr>
              <w:t>校园网络费用按照网信处收费标准每个账号</w:t>
            </w:r>
            <w:r>
              <w:rPr>
                <w:rFonts w:ascii="宋体" w:hAnsi="宋体" w:cs="宋体" w:eastAsia="宋体"/>
                <w:sz w:val="20"/>
                <w:color w:val="000000"/>
              </w:rPr>
              <w:t>300元/月结算；宽带网络费用</w:t>
            </w:r>
            <w:r>
              <w:rPr>
                <w:rFonts w:ascii="宋体" w:hAnsi="宋体" w:cs="宋体" w:eastAsia="宋体"/>
                <w:sz w:val="20"/>
                <w:color w:val="000000"/>
              </w:rPr>
              <w:t>具体由中标商和</w:t>
            </w:r>
            <w:r>
              <w:rPr>
                <w:rFonts w:ascii="宋体" w:hAnsi="宋体" w:cs="宋体" w:eastAsia="宋体"/>
                <w:sz w:val="20"/>
                <w:color w:val="000000"/>
              </w:rPr>
              <w:t>电信、移动等</w:t>
            </w:r>
            <w:r>
              <w:rPr>
                <w:rFonts w:ascii="宋体" w:hAnsi="宋体" w:cs="宋体" w:eastAsia="宋体"/>
                <w:sz w:val="20"/>
                <w:color w:val="000000"/>
              </w:rPr>
              <w:t>运营商商洽）</w:t>
            </w:r>
            <w:r>
              <w:rPr>
                <w:rFonts w:ascii="宋体" w:hAnsi="宋体" w:cs="宋体" w:eastAsia="宋体"/>
                <w:sz w:val="20"/>
              </w:rPr>
              <w:t>。</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0"/>
                <w:color w:val="000000"/>
              </w:rPr>
              <w:t>3.</w:t>
            </w:r>
            <w:r>
              <w:rPr>
                <w:rFonts w:ascii="宋体" w:hAnsi="宋体" w:cs="宋体" w:eastAsia="宋体"/>
                <w:sz w:val="20"/>
                <w:color w:val="000000"/>
              </w:rPr>
              <w:t>合理</w:t>
            </w:r>
            <w:r>
              <w:rPr>
                <w:rFonts w:ascii="宋体" w:hAnsi="宋体" w:cs="宋体" w:eastAsia="宋体"/>
                <w:sz w:val="20"/>
                <w:color w:val="000000"/>
              </w:rPr>
              <w:t>安排工作（技术）人员值班，以确保教学设备的安全及教学活动的正常开展。</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0"/>
                <w:b/>
                <w:color w:val="000000"/>
              </w:rPr>
              <w:t>二、甲、乙双方责任</w:t>
            </w:r>
          </w:p>
          <w:p>
            <w:pPr>
              <w:pStyle w:val="null3"/>
              <w:jc w:val="both"/>
            </w:pPr>
            <w:r>
              <w:rPr>
                <w:rFonts w:ascii="宋体" w:hAnsi="宋体" w:cs="宋体" w:eastAsia="宋体"/>
                <w:sz w:val="20"/>
                <w:b/>
                <w:color w:val="000000"/>
              </w:rPr>
              <w:t>（一）甲方责任</w:t>
            </w:r>
          </w:p>
          <w:p>
            <w:pPr>
              <w:pStyle w:val="null3"/>
              <w:jc w:val="both"/>
            </w:pPr>
            <w:r>
              <w:rPr>
                <w:rFonts w:ascii="宋体" w:hAnsi="宋体" w:cs="宋体" w:eastAsia="宋体"/>
                <w:sz w:val="20"/>
                <w:color w:val="000000"/>
              </w:rPr>
              <w:t>1.对乙方的所有活动进行指导、监督、检查。</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0"/>
                <w:color w:val="000000"/>
              </w:rPr>
              <w:t>2.安装预付费电表，保障工作区域电力供应。</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0"/>
                <w:color w:val="000000"/>
              </w:rPr>
              <w:t>3.负责协调乙方在教学过程中与学校内部相关单位之间的关系。</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0"/>
                <w:color w:val="000000"/>
              </w:rPr>
              <w:t>4.按教学计划，让任课老师到计算与语言教学中心预约登记，并将需安装使用的教学软件提前告知中心负责人员。</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0"/>
                <w:b/>
                <w:color w:val="000000"/>
              </w:rPr>
              <w:t>（二）乙方责任</w:t>
            </w:r>
          </w:p>
          <w:p>
            <w:pPr>
              <w:pStyle w:val="null3"/>
              <w:jc w:val="both"/>
            </w:pPr>
            <w:r>
              <w:rPr>
                <w:rFonts w:ascii="宋体" w:hAnsi="宋体" w:cs="宋体" w:eastAsia="宋体"/>
                <w:sz w:val="20"/>
                <w:color w:val="000000"/>
              </w:rPr>
              <w:t>1.确保计算机及语言教学质量，在计算机硬件基础上，增加相应的软件和硬件，以满足教学要求。语言教学设备要有语音终端等硬件设备支撑，不能用网络或者软件完全替代。能够随教材的更换及时升级或更换计算机，确保学校教学实验活动的顺利实施。</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20"/>
                <w:color w:val="000000"/>
              </w:rPr>
              <w:t>2.服从甲方监督管理，保障学校计算机及语言教学工作的顺利开展，依规开展经过学校批准的面向我校在校生的计算机培训活动，不得用于其他用途。不得经营饮料、矿泉水、面包等零食以及其他商品，不得允许并须采取有效措施制止学生在机房抽烟。</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0"/>
                <w:color w:val="000000"/>
              </w:rPr>
              <w:t>3.乙方可使用甲方为机房教室安装的监控设备，并根据实际情况完善技防设施。乙方全面负责承包机房网络安全与日常运行安全管理；按国家及学校有关计算机网络管理的法律法规、规章制度等合法合规经营，确保网络安全；对在机房上网（严禁打游戏）的学生加强网络监管，采取追踪、定点及过滤等有效手段，保证不会从局域网内向外网发布不良信息，严禁出现网络色情、反党、反社会以及对学校不良宣传的信息言论；严禁设立论坛。设置专门的安全管理人员，“人防、物防、技防”到位。负责使用房间内用电安全，定期检查电路，设备等。接受甲方的监督和检查，确保绝对不能出现火灾等安全事故。</w:t>
            </w:r>
          </w:p>
        </w:tc>
      </w:tr>
      <w:tr>
        <w:tc>
          <w:tcPr>
            <w:tcW w:type="dxa" w:w="2769"/>
          </w:tcPr>
          <w:p/>
        </w:tc>
        <w:tc>
          <w:tcPr>
            <w:tcW w:type="dxa" w:w="2769"/>
          </w:tcPr>
          <w:p>
            <w:pPr>
              <w:pStyle w:val="null3"/>
            </w:pPr>
            <w:r>
              <w:rPr/>
              <w:t>16</w:t>
            </w:r>
          </w:p>
        </w:tc>
        <w:tc>
          <w:tcPr>
            <w:tcW w:type="dxa" w:w="2769"/>
          </w:tcPr>
          <w:p>
            <w:pPr>
              <w:pStyle w:val="null3"/>
              <w:jc w:val="both"/>
            </w:pPr>
            <w:r>
              <w:rPr>
                <w:rFonts w:ascii="宋体" w:hAnsi="宋体" w:cs="宋体" w:eastAsia="宋体"/>
                <w:sz w:val="20"/>
                <w:color w:val="000000"/>
              </w:rPr>
              <w:t>4.配备管理、技术人员管理各个教室。学校寒暑假期间不开放，教学周内经营时间为每天8：00--22：00，不允许开夜机，不允许在规定时间以外开放机房。严禁将机房转交第三方经营。</w:t>
            </w:r>
          </w:p>
        </w:tc>
      </w:tr>
      <w:tr>
        <w:tc>
          <w:tcPr>
            <w:tcW w:type="dxa" w:w="2769"/>
          </w:tcPr>
          <w:p/>
        </w:tc>
        <w:tc>
          <w:tcPr>
            <w:tcW w:type="dxa" w:w="2769"/>
          </w:tcPr>
          <w:p>
            <w:pPr>
              <w:pStyle w:val="null3"/>
            </w:pPr>
            <w:r>
              <w:rPr/>
              <w:t>17</w:t>
            </w:r>
          </w:p>
        </w:tc>
        <w:tc>
          <w:tcPr>
            <w:tcW w:type="dxa" w:w="2769"/>
          </w:tcPr>
          <w:p>
            <w:pPr>
              <w:pStyle w:val="null3"/>
              <w:jc w:val="both"/>
            </w:pPr>
            <w:r>
              <w:rPr>
                <w:rFonts w:ascii="宋体" w:hAnsi="宋体" w:cs="宋体" w:eastAsia="宋体"/>
                <w:sz w:val="20"/>
                <w:color w:val="000000"/>
              </w:rPr>
              <w:t>5.所有计算机及服务器均不得安装任何形式的游戏软件，删除计算机自带游戏软件，所有计算机均不得出现游戏及游戏引导、宣传界面，并通过技术手段能够用服务器控制每台计算机，同时加强人力管理，使学生在任何时间段均不能打游戏或不能用自带活动硬盘、U盘等存储设备玩游戏。</w:t>
            </w:r>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sz w:val="20"/>
                <w:color w:val="000000"/>
              </w:rPr>
              <w:t>6.乙方应按照教学课表或日历提前做好计算与语言课程的教学服务保障工作，未经甲方教学管理部门同意，不得私自给教师调整上课教室及课表。</w:t>
            </w:r>
          </w:p>
        </w:tc>
      </w:tr>
      <w:tr>
        <w:tc>
          <w:tcPr>
            <w:tcW w:type="dxa" w:w="2769"/>
          </w:tcPr>
          <w:p/>
        </w:tc>
        <w:tc>
          <w:tcPr>
            <w:tcW w:type="dxa" w:w="2769"/>
          </w:tcPr>
          <w:p>
            <w:pPr>
              <w:pStyle w:val="null3"/>
            </w:pPr>
            <w:r>
              <w:rPr/>
              <w:t>19</w:t>
            </w:r>
          </w:p>
        </w:tc>
        <w:tc>
          <w:tcPr>
            <w:tcW w:type="dxa" w:w="2769"/>
          </w:tcPr>
          <w:p>
            <w:pPr>
              <w:pStyle w:val="null3"/>
              <w:jc w:val="both"/>
            </w:pPr>
            <w:r>
              <w:rPr>
                <w:rFonts w:ascii="宋体" w:hAnsi="宋体" w:cs="宋体" w:eastAsia="宋体"/>
                <w:sz w:val="20"/>
                <w:color w:val="000000"/>
              </w:rPr>
              <w:t>7.按时向甲方交纳计算与语言中心电费、采暖费、网费等。</w:t>
            </w:r>
          </w:p>
        </w:tc>
      </w:tr>
      <w:tr>
        <w:tc>
          <w:tcPr>
            <w:tcW w:type="dxa" w:w="2769"/>
          </w:tcPr>
          <w:p/>
        </w:tc>
        <w:tc>
          <w:tcPr>
            <w:tcW w:type="dxa" w:w="2769"/>
          </w:tcPr>
          <w:p>
            <w:pPr>
              <w:pStyle w:val="null3"/>
            </w:pPr>
            <w:r>
              <w:rPr/>
              <w:t>20</w:t>
            </w:r>
          </w:p>
        </w:tc>
        <w:tc>
          <w:tcPr>
            <w:tcW w:type="dxa" w:w="2769"/>
          </w:tcPr>
          <w:p>
            <w:pPr>
              <w:pStyle w:val="null3"/>
              <w:jc w:val="both"/>
            </w:pPr>
            <w:r>
              <w:rPr>
                <w:rFonts w:ascii="宋体" w:hAnsi="宋体" w:cs="宋体" w:eastAsia="宋体"/>
                <w:sz w:val="20"/>
                <w:color w:val="000000"/>
              </w:rPr>
              <w:t>8.乙方保证所提供的服务、产品、软件或其任何一部分均不会侵犯任何第三方的专利权、商标权或著作权。乙方保证所提供的服务的所有权完全属于乙方且无任何抵押、查封等产权瑕疵。</w:t>
            </w:r>
          </w:p>
        </w:tc>
      </w:tr>
      <w:tr>
        <w:tc>
          <w:tcPr>
            <w:tcW w:type="dxa" w:w="2769"/>
          </w:tcPr>
          <w:p/>
        </w:tc>
        <w:tc>
          <w:tcPr>
            <w:tcW w:type="dxa" w:w="2769"/>
          </w:tcPr>
          <w:p>
            <w:pPr>
              <w:pStyle w:val="null3"/>
            </w:pPr>
            <w:r>
              <w:rPr/>
              <w:t>21</w:t>
            </w:r>
          </w:p>
        </w:tc>
        <w:tc>
          <w:tcPr>
            <w:tcW w:type="dxa" w:w="2769"/>
          </w:tcPr>
          <w:p>
            <w:pPr>
              <w:pStyle w:val="null3"/>
              <w:jc w:val="both"/>
            </w:pPr>
            <w:r>
              <w:rPr>
                <w:rFonts w:ascii="宋体" w:hAnsi="宋体" w:cs="宋体" w:eastAsia="宋体"/>
                <w:sz w:val="20"/>
                <w:color w:val="000000"/>
              </w:rPr>
              <w:t>9.乙方负责技术、管理等相关工作人员的人身、财产安全。工作人员在校期间发生任何安全、财产问</w:t>
            </w:r>
            <w:r>
              <w:rPr>
                <w:rFonts w:ascii="宋体" w:hAnsi="宋体" w:cs="宋体" w:eastAsia="宋体"/>
                <w:sz w:val="20"/>
                <w:color w:val="000000"/>
              </w:rPr>
              <w:t>题</w:t>
            </w:r>
            <w:r>
              <w:rPr>
                <w:rFonts w:ascii="宋体" w:hAnsi="宋体" w:cs="宋体" w:eastAsia="宋体"/>
                <w:sz w:val="20"/>
              </w:rPr>
              <w:t>均由乙方承担</w:t>
            </w:r>
            <w:r>
              <w:rPr>
                <w:rFonts w:ascii="宋体" w:hAnsi="宋体" w:cs="宋体" w:eastAsia="宋体"/>
                <w:sz w:val="20"/>
              </w:rPr>
              <w:t>，</w:t>
            </w:r>
            <w:r>
              <w:rPr>
                <w:rFonts w:ascii="宋体" w:hAnsi="宋体" w:cs="宋体" w:eastAsia="宋体"/>
                <w:sz w:val="20"/>
              </w:rPr>
              <w:t>所产生费用均由乙方自行解决</w:t>
            </w:r>
            <w:r>
              <w:rPr>
                <w:rFonts w:ascii="宋体" w:hAnsi="宋体" w:cs="宋体" w:eastAsia="宋体"/>
                <w:sz w:val="20"/>
                <w:color w:val="000000"/>
              </w:rPr>
              <w:t>，甲方不承担任何责任。</w:t>
            </w:r>
          </w:p>
        </w:tc>
      </w:tr>
      <w:tr>
        <w:tc>
          <w:tcPr>
            <w:tcW w:type="dxa" w:w="2769"/>
          </w:tcPr>
          <w:p/>
        </w:tc>
        <w:tc>
          <w:tcPr>
            <w:tcW w:type="dxa" w:w="2769"/>
          </w:tcPr>
          <w:p>
            <w:pPr>
              <w:pStyle w:val="null3"/>
            </w:pPr>
            <w:r>
              <w:rPr/>
              <w:t>22</w:t>
            </w:r>
          </w:p>
        </w:tc>
        <w:tc>
          <w:tcPr>
            <w:tcW w:type="dxa" w:w="2769"/>
          </w:tcPr>
          <w:p>
            <w:pPr>
              <w:pStyle w:val="null3"/>
              <w:jc w:val="both"/>
            </w:pPr>
            <w:r>
              <w:rPr>
                <w:rFonts w:ascii="宋体" w:hAnsi="宋体" w:cs="宋体" w:eastAsia="宋体"/>
                <w:sz w:val="20"/>
                <w:color w:val="000000"/>
              </w:rPr>
              <w:t>10.服务期满，乙方如无债务或合同履行纠纷，经甲方确认后，10日内乙方将所提供的软硬件设备进行清退，并将使用场地恢复原状后，办理退还履约保证金，如存在债务或合同履行纠纷，则无法办理退还履约保证金。</w:t>
            </w:r>
          </w:p>
        </w:tc>
      </w:tr>
      <w:tr>
        <w:tc>
          <w:tcPr>
            <w:tcW w:type="dxa" w:w="2769"/>
          </w:tcPr>
          <w:p/>
        </w:tc>
        <w:tc>
          <w:tcPr>
            <w:tcW w:type="dxa" w:w="2769"/>
          </w:tcPr>
          <w:p>
            <w:pPr>
              <w:pStyle w:val="null3"/>
            </w:pPr>
            <w:r>
              <w:rPr/>
              <w:t>23</w:t>
            </w:r>
          </w:p>
        </w:tc>
        <w:tc>
          <w:tcPr>
            <w:tcW w:type="dxa" w:w="2769"/>
          </w:tcPr>
          <w:p>
            <w:pPr>
              <w:pStyle w:val="null3"/>
              <w:jc w:val="both"/>
            </w:pPr>
            <w:r>
              <w:rPr>
                <w:rFonts w:ascii="宋体" w:hAnsi="宋体" w:cs="宋体" w:eastAsia="宋体"/>
                <w:sz w:val="20"/>
                <w:b/>
              </w:rPr>
              <w:t>三、交货及安装地点</w:t>
            </w:r>
          </w:p>
          <w:p>
            <w:pPr>
              <w:pStyle w:val="null3"/>
              <w:jc w:val="both"/>
            </w:pPr>
            <w:r>
              <w:rPr>
                <w:rFonts w:ascii="宋体" w:hAnsi="宋体" w:cs="宋体" w:eastAsia="宋体"/>
                <w:sz w:val="20"/>
              </w:rPr>
              <w:t>招标人指定地点。</w:t>
            </w:r>
          </w:p>
        </w:tc>
      </w:tr>
      <w:tr>
        <w:tc>
          <w:tcPr>
            <w:tcW w:type="dxa" w:w="2769"/>
          </w:tcPr>
          <w:p/>
        </w:tc>
        <w:tc>
          <w:tcPr>
            <w:tcW w:type="dxa" w:w="2769"/>
          </w:tcPr>
          <w:p>
            <w:pPr>
              <w:pStyle w:val="null3"/>
            </w:pPr>
            <w:r>
              <w:rPr/>
              <w:t>24</w:t>
            </w:r>
          </w:p>
        </w:tc>
        <w:tc>
          <w:tcPr>
            <w:tcW w:type="dxa" w:w="2769"/>
          </w:tcPr>
          <w:p>
            <w:pPr>
              <w:pStyle w:val="null3"/>
              <w:jc w:val="both"/>
            </w:pPr>
            <w:r>
              <w:rPr>
                <w:rFonts w:ascii="宋体" w:hAnsi="宋体" w:cs="宋体" w:eastAsia="宋体"/>
                <w:sz w:val="20"/>
                <w:b/>
              </w:rPr>
              <w:t>四、</w:t>
            </w:r>
            <w:r>
              <w:rPr>
                <w:rFonts w:ascii="宋体" w:hAnsi="宋体" w:cs="宋体" w:eastAsia="宋体"/>
                <w:sz w:val="20"/>
                <w:b/>
              </w:rPr>
              <w:t>限价要求</w:t>
            </w:r>
          </w:p>
          <w:p>
            <w:pPr>
              <w:pStyle w:val="null3"/>
              <w:jc w:val="both"/>
            </w:pPr>
            <w:r>
              <w:rPr>
                <w:rFonts w:ascii="宋体" w:hAnsi="宋体" w:cs="宋体" w:eastAsia="宋体"/>
                <w:sz w:val="20"/>
              </w:rPr>
              <w:t>最高报价不得</w:t>
            </w:r>
            <w:r>
              <w:rPr>
                <w:rFonts w:ascii="宋体" w:hAnsi="宋体" w:cs="宋体" w:eastAsia="宋体"/>
                <w:sz w:val="20"/>
              </w:rPr>
              <w:t>超过</w:t>
            </w:r>
            <w:r>
              <w:rPr>
                <w:rFonts w:ascii="宋体" w:hAnsi="宋体" w:cs="宋体" w:eastAsia="宋体"/>
                <w:sz w:val="20"/>
                <w:color w:val="000000"/>
              </w:rPr>
              <w:t>2元</w:t>
            </w:r>
            <w:r>
              <w:rPr>
                <w:rFonts w:ascii="宋体" w:hAnsi="宋体" w:cs="宋体" w:eastAsia="宋体"/>
                <w:sz w:val="20"/>
              </w:rPr>
              <w:t>/人时</w:t>
            </w:r>
            <w:r>
              <w:rPr>
                <w:rFonts w:ascii="宋体" w:hAnsi="宋体" w:cs="宋体" w:eastAsia="宋体"/>
                <w:sz w:val="20"/>
              </w:rPr>
              <w:t>。</w:t>
            </w:r>
          </w:p>
        </w:tc>
      </w:tr>
      <w:tr>
        <w:tc>
          <w:tcPr>
            <w:tcW w:type="dxa" w:w="2769"/>
          </w:tcPr>
          <w:p/>
        </w:tc>
        <w:tc>
          <w:tcPr>
            <w:tcW w:type="dxa" w:w="2769"/>
          </w:tcPr>
          <w:p>
            <w:pPr>
              <w:pStyle w:val="null3"/>
            </w:pPr>
            <w:r>
              <w:rPr/>
              <w:t>25</w:t>
            </w:r>
          </w:p>
        </w:tc>
        <w:tc>
          <w:tcPr>
            <w:tcW w:type="dxa" w:w="2769"/>
          </w:tcPr>
          <w:p>
            <w:pPr>
              <w:pStyle w:val="null3"/>
              <w:jc w:val="both"/>
            </w:pPr>
            <w:r>
              <w:rPr>
                <w:rFonts w:ascii="宋体" w:hAnsi="宋体" w:cs="宋体" w:eastAsia="宋体"/>
                <w:sz w:val="20"/>
                <w:b/>
              </w:rPr>
              <w:t>五、工期要求</w:t>
            </w:r>
          </w:p>
          <w:p>
            <w:pPr>
              <w:pStyle w:val="null3"/>
              <w:jc w:val="both"/>
            </w:pPr>
            <w:r>
              <w:rPr>
                <w:rFonts w:ascii="宋体" w:hAnsi="宋体" w:cs="宋体" w:eastAsia="宋体"/>
                <w:sz w:val="20"/>
              </w:rPr>
              <w:t>从接到中标通知之日起</w:t>
            </w:r>
            <w:r>
              <w:rPr>
                <w:rFonts w:ascii="宋体" w:hAnsi="宋体" w:cs="宋体" w:eastAsia="宋体"/>
                <w:sz w:val="20"/>
              </w:rPr>
              <w:t>30天内完成，包括方案</w:t>
            </w:r>
            <w:r>
              <w:rPr>
                <w:rFonts w:ascii="宋体" w:hAnsi="宋体" w:cs="宋体" w:eastAsia="宋体"/>
                <w:sz w:val="20"/>
              </w:rPr>
              <w:t>制作、</w:t>
            </w:r>
            <w:r>
              <w:rPr>
                <w:rFonts w:ascii="宋体" w:hAnsi="宋体" w:cs="宋体" w:eastAsia="宋体"/>
                <w:sz w:val="20"/>
              </w:rPr>
              <w:t>产品交付、</w:t>
            </w:r>
            <w:r>
              <w:rPr>
                <w:rFonts w:ascii="宋体" w:hAnsi="宋体" w:cs="宋体" w:eastAsia="宋体"/>
                <w:sz w:val="20"/>
              </w:rPr>
              <w:t>安装</w:t>
            </w:r>
            <w:r>
              <w:rPr>
                <w:rFonts w:ascii="宋体" w:hAnsi="宋体" w:cs="宋体" w:eastAsia="宋体"/>
                <w:sz w:val="20"/>
              </w:rPr>
              <w:t>调试等。</w:t>
            </w:r>
          </w:p>
        </w:tc>
      </w:tr>
      <w:tr>
        <w:tc>
          <w:tcPr>
            <w:tcW w:type="dxa" w:w="2769"/>
          </w:tcPr>
          <w:p/>
        </w:tc>
        <w:tc>
          <w:tcPr>
            <w:tcW w:type="dxa" w:w="2769"/>
          </w:tcPr>
          <w:p>
            <w:pPr>
              <w:pStyle w:val="null3"/>
            </w:pPr>
            <w:r>
              <w:rPr/>
              <w:t>26</w:t>
            </w:r>
          </w:p>
        </w:tc>
        <w:tc>
          <w:tcPr>
            <w:tcW w:type="dxa" w:w="2769"/>
          </w:tcPr>
          <w:p>
            <w:pPr>
              <w:pStyle w:val="null3"/>
              <w:jc w:val="both"/>
            </w:pPr>
            <w:r>
              <w:rPr>
                <w:rFonts w:ascii="宋体" w:hAnsi="宋体" w:cs="宋体" w:eastAsia="宋体"/>
                <w:sz w:val="20"/>
                <w:b/>
                <w:color w:val="000000"/>
              </w:rPr>
              <w:t>六、技术需求及参数</w:t>
            </w:r>
          </w:p>
          <w:p>
            <w:pPr>
              <w:pStyle w:val="null3"/>
              <w:jc w:val="both"/>
            </w:pPr>
            <w:r>
              <w:rPr>
                <w:rFonts w:ascii="宋体" w:hAnsi="宋体" w:cs="宋体" w:eastAsia="宋体"/>
                <w:sz w:val="20"/>
                <w:b/>
              </w:rPr>
              <w:t>（一）计算机</w:t>
            </w:r>
            <w:r>
              <w:rPr>
                <w:rFonts w:ascii="宋体" w:hAnsi="宋体" w:cs="宋体" w:eastAsia="宋体"/>
                <w:sz w:val="20"/>
                <w:b/>
                <w:color w:val="000000"/>
              </w:rPr>
              <w:t>软硬件</w:t>
            </w:r>
          </w:p>
          <w:p>
            <w:pPr>
              <w:pStyle w:val="null3"/>
              <w:jc w:val="both"/>
            </w:pPr>
            <w:r>
              <w:rPr>
                <w:rFonts w:ascii="宋体" w:hAnsi="宋体" w:cs="宋体" w:eastAsia="宋体"/>
                <w:sz w:val="20"/>
              </w:rPr>
              <w:t>1.计算机硬件配置要求：</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图形图像设计类兼</w:t>
            </w:r>
            <w:r>
              <w:rPr>
                <w:rFonts w:ascii="宋体" w:hAnsi="宋体" w:cs="宋体" w:eastAsia="宋体"/>
                <w:sz w:val="20"/>
                <w:color w:val="000000"/>
              </w:rPr>
              <w:t>容机：</w:t>
            </w:r>
            <w:r>
              <w:rPr>
                <w:rFonts w:ascii="宋体" w:hAnsi="宋体" w:cs="宋体" w:eastAsia="宋体"/>
                <w:sz w:val="20"/>
                <w:color w:val="000000"/>
              </w:rPr>
              <w:t>CPU</w:t>
            </w:r>
            <w:r>
              <w:rPr>
                <w:rFonts w:ascii="宋体" w:hAnsi="宋体" w:cs="宋体" w:eastAsia="宋体"/>
                <w:sz w:val="20"/>
                <w:color w:val="000000"/>
              </w:rPr>
              <w:t>不低于</w:t>
            </w:r>
            <w:r>
              <w:rPr>
                <w:rFonts w:ascii="宋体" w:hAnsi="宋体" w:cs="宋体" w:eastAsia="宋体"/>
                <w:sz w:val="20"/>
                <w:color w:val="000000"/>
              </w:rPr>
              <w:t>Intel Core I7 9700（八核心，主频3GHz）、硬盘≥500G SATA、内存≥16G、显卡≥6G（独立显卡GTX2060）、彩色液晶显示器≥24"、数量≥220台。</w:t>
            </w:r>
          </w:p>
          <w:p>
            <w:pPr>
              <w:pStyle w:val="null3"/>
              <w:ind w:firstLine="400"/>
              <w:jc w:val="both"/>
            </w:pPr>
          </w:p>
        </w:tc>
      </w:tr>
      <w:tr>
        <w:tc>
          <w:tcPr>
            <w:tcW w:type="dxa" w:w="2769"/>
          </w:tcPr>
          <w:p/>
        </w:tc>
        <w:tc>
          <w:tcPr>
            <w:tcW w:type="dxa" w:w="2769"/>
          </w:tcPr>
          <w:p>
            <w:pPr>
              <w:pStyle w:val="null3"/>
            </w:pPr>
            <w:r>
              <w:rPr/>
              <w:t>27</w:t>
            </w:r>
          </w:p>
        </w:tc>
        <w:tc>
          <w:tcPr>
            <w:tcW w:type="dxa" w:w="2769"/>
          </w:tcPr>
          <w:p>
            <w:pPr>
              <w:pStyle w:val="null3"/>
              <w:ind w:firstLine="400"/>
              <w:jc w:val="both"/>
            </w:pP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程序设计类兼容机：</w:t>
            </w:r>
            <w:r>
              <w:rPr>
                <w:rFonts w:ascii="宋体" w:hAnsi="宋体" w:cs="宋体" w:eastAsia="宋体"/>
                <w:sz w:val="20"/>
                <w:color w:val="000000"/>
              </w:rPr>
              <w:t>CPU</w:t>
            </w:r>
            <w:r>
              <w:rPr>
                <w:rFonts w:ascii="宋体" w:hAnsi="宋体" w:cs="宋体" w:eastAsia="宋体"/>
                <w:sz w:val="20"/>
                <w:color w:val="000000"/>
              </w:rPr>
              <w:t>不低于</w:t>
            </w:r>
            <w:r>
              <w:rPr>
                <w:rFonts w:ascii="宋体" w:hAnsi="宋体" w:cs="宋体" w:eastAsia="宋体"/>
                <w:sz w:val="20"/>
                <w:color w:val="000000"/>
              </w:rPr>
              <w:t>Intel Core I5 4570（四核心，主频3.2GHz）、硬盘≥500G SATA、内存≥8G、显卡≥1G（独立显卡GTX750）、彩色液晶显示器≥21.5"。数量≥450台</w:t>
            </w:r>
          </w:p>
        </w:tc>
      </w:tr>
      <w:tr>
        <w:tc>
          <w:tcPr>
            <w:tcW w:type="dxa" w:w="2769"/>
          </w:tcPr>
          <w:p/>
        </w:tc>
        <w:tc>
          <w:tcPr>
            <w:tcW w:type="dxa" w:w="2769"/>
          </w:tcPr>
          <w:p>
            <w:pPr>
              <w:pStyle w:val="null3"/>
            </w:pPr>
            <w:r>
              <w:rPr/>
              <w:t>28</w:t>
            </w:r>
          </w:p>
        </w:tc>
        <w:tc>
          <w:tcPr>
            <w:tcW w:type="dxa" w:w="2769"/>
          </w:tcPr>
          <w:p>
            <w:pPr>
              <w:pStyle w:val="null3"/>
              <w:ind w:firstLine="400"/>
              <w:jc w:val="both"/>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w:t>
            </w:r>
            <w:r>
              <w:rPr>
                <w:rFonts w:ascii="宋体" w:hAnsi="宋体" w:cs="宋体" w:eastAsia="宋体"/>
                <w:sz w:val="20"/>
                <w:color w:val="000000"/>
              </w:rPr>
              <w:t>英语教学类兼容机：</w:t>
            </w:r>
            <w:r>
              <w:rPr>
                <w:rFonts w:ascii="宋体" w:hAnsi="宋体" w:cs="宋体" w:eastAsia="宋体"/>
                <w:sz w:val="20"/>
                <w:color w:val="000000"/>
              </w:rPr>
              <w:t>CPU</w:t>
            </w:r>
            <w:r>
              <w:rPr>
                <w:rFonts w:ascii="宋体" w:hAnsi="宋体" w:cs="宋体" w:eastAsia="宋体"/>
                <w:sz w:val="20"/>
                <w:color w:val="000000"/>
              </w:rPr>
              <w:t>不低于</w:t>
            </w:r>
            <w:r>
              <w:rPr>
                <w:rFonts w:ascii="宋体" w:hAnsi="宋体" w:cs="宋体" w:eastAsia="宋体"/>
                <w:sz w:val="20"/>
                <w:color w:val="000000"/>
              </w:rPr>
              <w:t>Intel Core I5 4570（四核心，主频3.2GHz）、硬盘≥500G SATA、内存≥8G、显卡≥1G（</w:t>
            </w:r>
            <w:r>
              <w:rPr>
                <w:rFonts w:ascii="宋体" w:hAnsi="宋体" w:cs="宋体" w:eastAsia="宋体"/>
                <w:sz w:val="20"/>
                <w:color w:val="000000"/>
              </w:rPr>
              <w:t>独立或</w:t>
            </w:r>
            <w:r>
              <w:rPr>
                <w:rFonts w:ascii="宋体" w:hAnsi="宋体" w:cs="宋体" w:eastAsia="宋体"/>
                <w:sz w:val="20"/>
                <w:color w:val="000000"/>
              </w:rPr>
              <w:t>集成显卡）、彩色液晶显示器</w:t>
            </w:r>
            <w:r>
              <w:rPr>
                <w:rFonts w:ascii="宋体" w:hAnsi="宋体" w:cs="宋体" w:eastAsia="宋体"/>
                <w:sz w:val="20"/>
                <w:color w:val="000000"/>
              </w:rPr>
              <w:t>≥21.5"、数量≥2</w:t>
            </w:r>
            <w:r>
              <w:rPr>
                <w:rFonts w:ascii="宋体" w:hAnsi="宋体" w:cs="宋体" w:eastAsia="宋体"/>
                <w:sz w:val="20"/>
                <w:color w:val="000000"/>
              </w:rPr>
              <w:t>6</w:t>
            </w:r>
            <w:r>
              <w:rPr>
                <w:rFonts w:ascii="宋体" w:hAnsi="宋体" w:cs="宋体" w:eastAsia="宋体"/>
                <w:sz w:val="20"/>
                <w:color w:val="000000"/>
              </w:rPr>
              <w:t>0台。</w:t>
            </w:r>
          </w:p>
        </w:tc>
      </w:tr>
      <w:tr>
        <w:tc>
          <w:tcPr>
            <w:tcW w:type="dxa" w:w="2769"/>
          </w:tcPr>
          <w:p/>
        </w:tc>
        <w:tc>
          <w:tcPr>
            <w:tcW w:type="dxa" w:w="2769"/>
          </w:tcPr>
          <w:p>
            <w:pPr>
              <w:pStyle w:val="null3"/>
            </w:pPr>
            <w:r>
              <w:rPr/>
              <w:t>29</w:t>
            </w:r>
          </w:p>
        </w:tc>
        <w:tc>
          <w:tcPr>
            <w:tcW w:type="dxa" w:w="2769"/>
          </w:tcPr>
          <w:p>
            <w:pPr>
              <w:pStyle w:val="null3"/>
              <w:ind w:firstLine="400"/>
              <w:jc w:val="both"/>
            </w:pPr>
            <w:r>
              <w:rPr>
                <w:rFonts w:ascii="宋体" w:hAnsi="宋体" w:cs="宋体" w:eastAsia="宋体"/>
                <w:sz w:val="20"/>
                <w:color w:val="000000"/>
              </w:rPr>
              <w:t>（</w:t>
            </w:r>
            <w:r>
              <w:rPr>
                <w:rFonts w:ascii="宋体" w:hAnsi="宋体" w:cs="宋体" w:eastAsia="宋体"/>
                <w:sz w:val="20"/>
                <w:color w:val="000000"/>
              </w:rPr>
              <w:t>4）系统要求：计算机安装正版win10及以上操作系统，教学资源平台有特定操作系统匹配要求的可安装对应版本的操作系统。</w:t>
            </w:r>
          </w:p>
        </w:tc>
      </w:tr>
      <w:tr>
        <w:tc>
          <w:tcPr>
            <w:tcW w:type="dxa" w:w="2769"/>
          </w:tcPr>
          <w:p/>
        </w:tc>
        <w:tc>
          <w:tcPr>
            <w:tcW w:type="dxa" w:w="2769"/>
          </w:tcPr>
          <w:p>
            <w:pPr>
              <w:pStyle w:val="null3"/>
            </w:pPr>
            <w:r>
              <w:rPr/>
              <w:t>30</w:t>
            </w:r>
          </w:p>
        </w:tc>
        <w:tc>
          <w:tcPr>
            <w:tcW w:type="dxa" w:w="2769"/>
          </w:tcPr>
          <w:p>
            <w:pPr>
              <w:pStyle w:val="null3"/>
              <w:ind w:firstLine="400"/>
              <w:jc w:val="both"/>
            </w:pP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color w:val="000000"/>
              </w:rPr>
              <w:t>）</w:t>
            </w:r>
            <w:r>
              <w:rPr>
                <w:rFonts w:ascii="宋体" w:hAnsi="宋体" w:cs="宋体" w:eastAsia="宋体"/>
                <w:sz w:val="20"/>
                <w:color w:val="000000"/>
              </w:rPr>
              <w:t>教学服务器：</w:t>
            </w:r>
            <w:r>
              <w:rPr>
                <w:rFonts w:ascii="宋体" w:hAnsi="宋体" w:cs="宋体" w:eastAsia="宋体"/>
                <w:sz w:val="20"/>
                <w:color w:val="000000"/>
              </w:rPr>
              <w:t>CPU≥Intel Xeon(R) E5-2430（六核心，主频2.2GHz）、硬盘≥2TB SSD、内存≥32G、显卡≥1G（</w:t>
            </w:r>
            <w:r>
              <w:rPr>
                <w:rFonts w:ascii="宋体" w:hAnsi="宋体" w:cs="宋体" w:eastAsia="宋体"/>
                <w:sz w:val="20"/>
                <w:color w:val="000000"/>
              </w:rPr>
              <w:t>独立或</w:t>
            </w:r>
            <w:r>
              <w:rPr>
                <w:rFonts w:ascii="宋体" w:hAnsi="宋体" w:cs="宋体" w:eastAsia="宋体"/>
                <w:sz w:val="20"/>
                <w:color w:val="000000"/>
              </w:rPr>
              <w:t>集成显卡）、彩色液晶显示器</w:t>
            </w:r>
            <w:r>
              <w:rPr>
                <w:rFonts w:ascii="宋体" w:hAnsi="宋体" w:cs="宋体" w:eastAsia="宋体"/>
                <w:sz w:val="20"/>
                <w:color w:val="000000"/>
              </w:rPr>
              <w:t>≥21.5"，数量≥7台。</w:t>
            </w:r>
          </w:p>
        </w:tc>
      </w:tr>
      <w:tr>
        <w:tc>
          <w:tcPr>
            <w:tcW w:type="dxa" w:w="2769"/>
          </w:tcPr>
          <w:p/>
        </w:tc>
        <w:tc>
          <w:tcPr>
            <w:tcW w:type="dxa" w:w="2769"/>
          </w:tcPr>
          <w:p>
            <w:pPr>
              <w:pStyle w:val="null3"/>
            </w:pPr>
            <w:r>
              <w:rPr/>
              <w:t>31</w:t>
            </w:r>
          </w:p>
        </w:tc>
        <w:tc>
          <w:tcPr>
            <w:tcW w:type="dxa" w:w="2769"/>
          </w:tcPr>
          <w:p>
            <w:pPr>
              <w:pStyle w:val="null3"/>
              <w:jc w:val="both"/>
            </w:pPr>
            <w:r>
              <w:rPr>
                <w:rFonts w:ascii="宋体" w:hAnsi="宋体" w:cs="宋体" w:eastAsia="宋体"/>
                <w:sz w:val="20"/>
                <w:color w:val="000000"/>
              </w:rPr>
              <w:t>（</w:t>
            </w:r>
            <w:r>
              <w:rPr>
                <w:rFonts w:ascii="宋体" w:hAnsi="宋体" w:cs="宋体" w:eastAsia="宋体"/>
                <w:sz w:val="20"/>
                <w:color w:val="000000"/>
              </w:rPr>
              <w:t>6</w:t>
            </w:r>
            <w:r>
              <w:rPr>
                <w:rFonts w:ascii="宋体" w:hAnsi="宋体" w:cs="宋体" w:eastAsia="宋体"/>
                <w:sz w:val="20"/>
                <w:color w:val="000000"/>
              </w:rPr>
              <w:t>）</w:t>
            </w:r>
            <w:r>
              <w:rPr>
                <w:rFonts w:ascii="宋体" w:hAnsi="宋体" w:cs="宋体" w:eastAsia="宋体"/>
                <w:sz w:val="20"/>
                <w:color w:val="000000"/>
              </w:rPr>
              <w:t>交换机：</w:t>
            </w:r>
            <w:r>
              <w:rPr>
                <w:rFonts w:ascii="宋体" w:hAnsi="宋体" w:cs="宋体" w:eastAsia="宋体"/>
                <w:sz w:val="20"/>
                <w:color w:val="000000"/>
              </w:rPr>
              <w:t>D-LINK 3024等</w:t>
            </w:r>
            <w:r>
              <w:rPr>
                <w:rFonts w:ascii="宋体" w:hAnsi="宋体" w:cs="宋体" w:eastAsia="宋体"/>
                <w:sz w:val="20"/>
                <w:color w:val="000000"/>
              </w:rPr>
              <w:t>，</w:t>
            </w:r>
            <w:r>
              <w:rPr>
                <w:rFonts w:ascii="宋体" w:hAnsi="宋体" w:cs="宋体" w:eastAsia="宋体"/>
                <w:sz w:val="20"/>
                <w:color w:val="000000"/>
              </w:rPr>
              <w:t>普通交换机</w:t>
            </w:r>
            <w:r>
              <w:rPr>
                <w:rFonts w:ascii="宋体" w:hAnsi="宋体" w:cs="宋体" w:eastAsia="宋体"/>
                <w:sz w:val="20"/>
                <w:color w:val="000000"/>
              </w:rPr>
              <w:t>≥</w:t>
            </w:r>
            <w:r>
              <w:rPr>
                <w:rFonts w:ascii="宋体" w:hAnsi="宋体" w:cs="宋体" w:eastAsia="宋体"/>
                <w:sz w:val="20"/>
                <w:color w:val="000000"/>
              </w:rPr>
              <w:t>40</w:t>
            </w:r>
            <w:r>
              <w:rPr>
                <w:rFonts w:ascii="宋体" w:hAnsi="宋体" w:cs="宋体" w:eastAsia="宋体"/>
                <w:sz w:val="20"/>
                <w:color w:val="000000"/>
              </w:rPr>
              <w:t>台，</w:t>
            </w:r>
            <w:r>
              <w:rPr>
                <w:rFonts w:ascii="宋体" w:hAnsi="宋体" w:cs="宋体" w:eastAsia="宋体"/>
                <w:sz w:val="20"/>
                <w:color w:val="000000"/>
              </w:rPr>
              <w:t>其中</w:t>
            </w:r>
            <w:r>
              <w:rPr>
                <w:rFonts w:ascii="宋体" w:hAnsi="宋体" w:cs="宋体" w:eastAsia="宋体"/>
                <w:sz w:val="20"/>
                <w:color w:val="000000"/>
              </w:rPr>
              <w:t>可堆叠核心交换机</w:t>
            </w:r>
            <w:r>
              <w:rPr>
                <w:rFonts w:ascii="宋体" w:hAnsi="宋体" w:cs="宋体" w:eastAsia="宋体"/>
                <w:sz w:val="20"/>
                <w:color w:val="000000"/>
              </w:rPr>
              <w:t>不少于</w:t>
            </w:r>
            <w:r>
              <w:rPr>
                <w:rFonts w:ascii="宋体" w:hAnsi="宋体" w:cs="宋体" w:eastAsia="宋体"/>
                <w:sz w:val="20"/>
                <w:color w:val="000000"/>
              </w:rPr>
              <w:t>2</w:t>
            </w:r>
            <w:r>
              <w:rPr>
                <w:rFonts w:ascii="宋体" w:hAnsi="宋体" w:cs="宋体" w:eastAsia="宋体"/>
                <w:sz w:val="20"/>
                <w:color w:val="000000"/>
              </w:rPr>
              <w:t>台</w:t>
            </w:r>
            <w:r>
              <w:rPr>
                <w:rFonts w:ascii="宋体" w:hAnsi="宋体" w:cs="宋体" w:eastAsia="宋体"/>
                <w:sz w:val="20"/>
                <w:color w:val="000000"/>
              </w:rPr>
              <w:t>。</w:t>
            </w:r>
          </w:p>
        </w:tc>
      </w:tr>
      <w:tr>
        <w:tc>
          <w:tcPr>
            <w:tcW w:type="dxa" w:w="2769"/>
          </w:tcPr>
          <w:p/>
        </w:tc>
        <w:tc>
          <w:tcPr>
            <w:tcW w:type="dxa" w:w="2769"/>
          </w:tcPr>
          <w:p>
            <w:pPr>
              <w:pStyle w:val="null3"/>
            </w:pPr>
            <w:r>
              <w:rPr/>
              <w:t>32</w:t>
            </w:r>
          </w:p>
        </w:tc>
        <w:tc>
          <w:tcPr>
            <w:tcW w:type="dxa" w:w="2769"/>
          </w:tcPr>
          <w:p>
            <w:pPr>
              <w:pStyle w:val="null3"/>
              <w:jc w:val="both"/>
            </w:pPr>
            <w:r>
              <w:rPr>
                <w:rFonts w:ascii="宋体" w:hAnsi="宋体" w:cs="宋体" w:eastAsia="宋体"/>
                <w:sz w:val="20"/>
              </w:rPr>
              <w:t>2.计算机教学资源平台</w:t>
            </w:r>
          </w:p>
          <w:p>
            <w:pPr>
              <w:pStyle w:val="null3"/>
              <w:jc w:val="both"/>
            </w:pPr>
            <w:r>
              <w:rPr>
                <w:rFonts w:ascii="宋体" w:hAnsi="宋体" w:cs="宋体" w:eastAsia="宋体"/>
                <w:sz w:val="20"/>
              </w:rPr>
              <w:t>该平台至少</w:t>
            </w:r>
            <w:r>
              <w:rPr>
                <w:rFonts w:ascii="宋体" w:hAnsi="宋体" w:cs="宋体" w:eastAsia="宋体"/>
                <w:sz w:val="20"/>
              </w:rPr>
              <w:t>包括</w:t>
            </w:r>
            <w:r>
              <w:rPr>
                <w:rFonts w:ascii="宋体" w:hAnsi="宋体" w:cs="宋体" w:eastAsia="宋体"/>
                <w:sz w:val="20"/>
              </w:rPr>
              <w:t>以下</w:t>
            </w:r>
            <w:r>
              <w:rPr>
                <w:rFonts w:ascii="宋体" w:hAnsi="宋体" w:cs="宋体" w:eastAsia="宋体"/>
                <w:sz w:val="20"/>
              </w:rPr>
              <w:t>四</w:t>
            </w:r>
            <w:r>
              <w:rPr>
                <w:rFonts w:ascii="宋体" w:hAnsi="宋体" w:cs="宋体" w:eastAsia="宋体"/>
                <w:sz w:val="20"/>
              </w:rPr>
              <w:t>个模块：</w:t>
            </w:r>
          </w:p>
          <w:p>
            <w:pPr>
              <w:pStyle w:val="null3"/>
              <w:ind w:firstLine="400"/>
              <w:jc w:val="both"/>
            </w:pPr>
            <w:r>
              <w:rPr>
                <w:rFonts w:ascii="宋体" w:hAnsi="宋体" w:cs="宋体" w:eastAsia="宋体"/>
                <w:sz w:val="20"/>
              </w:rPr>
              <w:t>（</w:t>
            </w:r>
            <w:r>
              <w:rPr>
                <w:rFonts w:ascii="宋体" w:hAnsi="宋体" w:cs="宋体" w:eastAsia="宋体"/>
                <w:sz w:val="20"/>
              </w:rPr>
              <w:t>1）计算机教学模</w:t>
            </w:r>
            <w:r>
              <w:rPr>
                <w:rFonts w:ascii="宋体" w:hAnsi="宋体" w:cs="宋体" w:eastAsia="宋体"/>
                <w:sz w:val="20"/>
              </w:rPr>
              <w:t>块：按照学校人才培养方案要求提供所需的各类教学软件。教师可以操作教学中所需</w:t>
            </w:r>
            <w:r>
              <w:rPr>
                <w:rFonts w:ascii="宋体" w:hAnsi="宋体" w:cs="宋体" w:eastAsia="宋体"/>
                <w:sz w:val="20"/>
              </w:rPr>
              <w:t>的课程</w:t>
            </w:r>
            <w:r>
              <w:rPr>
                <w:rFonts w:ascii="宋体" w:hAnsi="宋体" w:cs="宋体" w:eastAsia="宋体"/>
                <w:sz w:val="20"/>
              </w:rPr>
              <w:t>软件</w:t>
            </w:r>
            <w:r>
              <w:rPr>
                <w:rFonts w:ascii="宋体" w:hAnsi="宋体" w:cs="宋体" w:eastAsia="宋体"/>
                <w:sz w:val="20"/>
              </w:rPr>
              <w:t>；</w:t>
            </w:r>
            <w:r>
              <w:rPr>
                <w:rFonts w:ascii="宋体" w:hAnsi="宋体" w:cs="宋体" w:eastAsia="宋体"/>
                <w:sz w:val="20"/>
              </w:rPr>
              <w:t>老师根据课堂安排指定学生完成相应的学习任务</w:t>
            </w:r>
            <w:r>
              <w:rPr>
                <w:rFonts w:ascii="宋体" w:hAnsi="宋体" w:cs="宋体" w:eastAsia="宋体"/>
                <w:sz w:val="20"/>
              </w:rPr>
              <w:t>；学生完成老师布置的任何</w:t>
            </w:r>
            <w:r>
              <w:rPr>
                <w:rFonts w:ascii="宋体" w:hAnsi="宋体" w:cs="宋体" w:eastAsia="宋体"/>
                <w:sz w:val="20"/>
              </w:rPr>
              <w:t>形式和内容的作业；教师在教学中可以同时控制</w:t>
            </w:r>
            <w:r>
              <w:rPr>
                <w:rFonts w:ascii="宋体" w:hAnsi="宋体" w:cs="宋体" w:eastAsia="宋体"/>
                <w:sz w:val="20"/>
              </w:rPr>
              <w:t>2-3间机房的学生机。</w:t>
            </w:r>
          </w:p>
        </w:tc>
      </w:tr>
      <w:tr>
        <w:tc>
          <w:tcPr>
            <w:tcW w:type="dxa" w:w="2769"/>
          </w:tcPr>
          <w:p/>
        </w:tc>
        <w:tc>
          <w:tcPr>
            <w:tcW w:type="dxa" w:w="2769"/>
          </w:tcPr>
          <w:p>
            <w:pPr>
              <w:pStyle w:val="null3"/>
            </w:pPr>
            <w:r>
              <w:rPr/>
              <w:t>33</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2）考试和过级测试训练模块：可以按照学校统一安排进行各类考试和学生学习情况开展过级测试软件。可以分知识点，分级别、分题型专项或不分以上类别，全综合方式训练计算机实用技能；对训练者自动生成相应水平，进入新水平训练。学生能进行自我检测学习的效果，能为学生专项练习提供项目资源及实时点评；为学生自我模拟考试提供海量试卷资源及实时评分；系统支持过关练习、套题练习和策略练习，学生在进行自我测试和练习时从由易到难进行，一个级别的试题完成后才能向更难的级别练习；学生可以选择有自己组卷或完成老师的随机组卷试卷或者学校权威的练习试卷。</w:t>
            </w:r>
          </w:p>
        </w:tc>
      </w:tr>
      <w:tr>
        <w:tc>
          <w:tcPr>
            <w:tcW w:type="dxa" w:w="2769"/>
          </w:tcPr>
          <w:p/>
        </w:tc>
        <w:tc>
          <w:tcPr>
            <w:tcW w:type="dxa" w:w="2769"/>
          </w:tcPr>
          <w:p>
            <w:pPr>
              <w:pStyle w:val="null3"/>
            </w:pPr>
            <w:r>
              <w:rPr/>
              <w:t>34</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3）四六级口语考试模块：</w:t>
            </w:r>
          </w:p>
          <w:p>
            <w:pPr>
              <w:pStyle w:val="null3"/>
              <w:ind w:firstLine="400"/>
              <w:jc w:val="both"/>
            </w:pPr>
            <w:r>
              <w:rPr>
                <w:rFonts w:ascii="宋体" w:hAnsi="宋体" w:cs="宋体" w:eastAsia="宋体"/>
                <w:sz w:val="20"/>
              </w:rPr>
              <w:t>在考试期间所有考试机不受杀毒软件和外网干扰</w:t>
            </w:r>
            <w:r>
              <w:rPr>
                <w:rFonts w:ascii="宋体" w:hAnsi="宋体" w:cs="宋体" w:eastAsia="宋体"/>
                <w:sz w:val="20"/>
              </w:rPr>
              <w:t>,能够独立连接考试服务器进行考试数据传输和备份,重启或关闭考试机后数据依然存在</w:t>
            </w:r>
            <w:r>
              <w:rPr>
                <w:rFonts w:ascii="宋体" w:hAnsi="宋体" w:cs="宋体" w:eastAsia="宋体"/>
                <w:sz w:val="20"/>
              </w:rPr>
              <w:t>。</w:t>
            </w:r>
            <w:r>
              <w:rPr>
                <w:rFonts w:ascii="宋体" w:hAnsi="宋体" w:cs="宋体" w:eastAsia="宋体"/>
                <w:sz w:val="20"/>
              </w:rPr>
              <w:t>所有考试机在同一局域网中</w:t>
            </w:r>
            <w:r>
              <w:rPr>
                <w:rFonts w:ascii="宋体" w:hAnsi="宋体" w:cs="宋体" w:eastAsia="宋体"/>
                <w:sz w:val="20"/>
              </w:rPr>
              <w:t>;且能够互联互通；控制端服务器必须是单一固定IP地址;禁用服务器防火墙、杀毒软件;删除本地的“360安全卫士”和“360杀毒软件”;停用屏幕保护、禁止电脑关闭屏幕及进入休眠状态;所有电脑均要解除保护卡还原保护。考试服务器配置：CPU≥至强2.0 GHz、硬盘≥100G SATA、内存≥4G、显卡≥1G（集成显卡）、彩色液晶显示器≥21.5"。</w:t>
            </w:r>
          </w:p>
        </w:tc>
      </w:tr>
      <w:tr>
        <w:tc>
          <w:tcPr>
            <w:tcW w:type="dxa" w:w="2769"/>
          </w:tcPr>
          <w:p/>
        </w:tc>
        <w:tc>
          <w:tcPr>
            <w:tcW w:type="dxa" w:w="2769"/>
          </w:tcPr>
          <w:p>
            <w:pPr>
              <w:pStyle w:val="null3"/>
            </w:pPr>
            <w:r>
              <w:rPr/>
              <w:t>35</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4</w:t>
            </w:r>
            <w:r>
              <w:rPr>
                <w:rFonts w:ascii="宋体" w:hAnsi="宋体" w:cs="宋体" w:eastAsia="宋体"/>
                <w:sz w:val="20"/>
              </w:rPr>
              <w:t>）</w:t>
            </w:r>
            <w:r>
              <w:rPr>
                <w:rFonts w:ascii="宋体" w:hAnsi="宋体" w:cs="宋体" w:eastAsia="宋体"/>
                <w:sz w:val="20"/>
              </w:rPr>
              <w:t>ITEST智能测评模块：</w:t>
            </w:r>
          </w:p>
          <w:p>
            <w:pPr>
              <w:pStyle w:val="null3"/>
              <w:jc w:val="both"/>
            </w:pPr>
            <w:r>
              <w:rPr>
                <w:rFonts w:ascii="宋体" w:hAnsi="宋体" w:cs="宋体" w:eastAsia="宋体"/>
                <w:sz w:val="20"/>
              </w:rPr>
              <w:t xml:space="preserve">  学生可以通过网络浏览器登录测试平台</w:t>
            </w:r>
            <w:r>
              <w:rPr>
                <w:rFonts w:ascii="宋体" w:hAnsi="宋体" w:cs="宋体" w:eastAsia="宋体"/>
                <w:sz w:val="20"/>
              </w:rPr>
              <w:t>,进行听、说、读、写、译全题型的测试操作，测试结束后能够正常上传考试数据。支</w:t>
            </w:r>
            <w:r>
              <w:rPr>
                <w:rFonts w:ascii="宋体" w:hAnsi="宋体" w:cs="宋体" w:eastAsia="宋体"/>
                <w:sz w:val="20"/>
              </w:rPr>
              <w:t>持包括</w:t>
            </w:r>
            <w:r>
              <w:rPr>
                <w:rFonts w:ascii="宋体" w:hAnsi="宋体" w:cs="宋体" w:eastAsia="宋体"/>
                <w:sz w:val="20"/>
              </w:rPr>
              <w:t>Fire</w:t>
            </w:r>
            <w:r>
              <w:rPr>
                <w:rFonts w:ascii="宋体" w:hAnsi="宋体" w:cs="宋体" w:eastAsia="宋体"/>
                <w:sz w:val="20"/>
              </w:rPr>
              <w:t>f</w:t>
            </w:r>
            <w:r>
              <w:rPr>
                <w:rFonts w:ascii="宋体" w:hAnsi="宋体" w:cs="宋体" w:eastAsia="宋体"/>
                <w:sz w:val="20"/>
              </w:rPr>
              <w:t>ox、Google Chrome、360极速浏览器等常用浏览器，方便使用和操作；保障网络畅通。</w:t>
            </w:r>
          </w:p>
        </w:tc>
      </w:tr>
      <w:tr>
        <w:tc>
          <w:tcPr>
            <w:tcW w:type="dxa" w:w="2769"/>
          </w:tcPr>
          <w:p/>
        </w:tc>
        <w:tc>
          <w:tcPr>
            <w:tcW w:type="dxa" w:w="2769"/>
          </w:tcPr>
          <w:p>
            <w:pPr>
              <w:pStyle w:val="null3"/>
            </w:pPr>
            <w:r>
              <w:rPr/>
              <w:t>36</w:t>
            </w:r>
          </w:p>
        </w:tc>
        <w:tc>
          <w:tcPr>
            <w:tcW w:type="dxa" w:w="2769"/>
          </w:tcPr>
          <w:p>
            <w:pPr>
              <w:pStyle w:val="null3"/>
              <w:ind w:firstLine="400"/>
              <w:jc w:val="both"/>
            </w:pPr>
            <w:r>
              <w:rPr>
                <w:rFonts w:ascii="宋体" w:hAnsi="宋体" w:cs="宋体" w:eastAsia="宋体"/>
                <w:sz w:val="20"/>
                <w:b/>
              </w:rPr>
              <w:t>（二）外语语音教学设备</w:t>
            </w:r>
            <w:r>
              <w:rPr>
                <w:rFonts w:ascii="宋体" w:hAnsi="宋体" w:cs="宋体" w:eastAsia="宋体"/>
                <w:sz w:val="20"/>
                <w:b/>
              </w:rPr>
              <w:t>（</w:t>
            </w:r>
            <w:r>
              <w:rPr>
                <w:rFonts w:ascii="宋体" w:hAnsi="宋体" w:cs="宋体" w:eastAsia="宋体"/>
                <w:sz w:val="20"/>
                <w:b/>
              </w:rPr>
              <w:t>930套</w:t>
            </w:r>
            <w:r>
              <w:rPr>
                <w:rFonts w:ascii="宋体" w:hAnsi="宋体" w:cs="宋体" w:eastAsia="宋体"/>
                <w:sz w:val="20"/>
                <w:b/>
              </w:rPr>
              <w:t>）</w:t>
            </w:r>
          </w:p>
          <w:p>
            <w:pPr>
              <w:pStyle w:val="null3"/>
              <w:ind w:firstLine="400"/>
              <w:jc w:val="both"/>
            </w:pPr>
            <w:r>
              <w:rPr>
                <w:rFonts w:ascii="宋体" w:hAnsi="宋体" w:cs="宋体" w:eastAsia="宋体"/>
                <w:sz w:val="20"/>
              </w:rPr>
              <w:t>1.技术性能要求</w:t>
            </w:r>
          </w:p>
          <w:p>
            <w:pPr>
              <w:pStyle w:val="null3"/>
              <w:ind w:firstLine="400"/>
              <w:jc w:val="both"/>
            </w:pPr>
            <w:r>
              <w:rPr>
                <w:rFonts w:ascii="宋体" w:hAnsi="宋体" w:cs="宋体" w:eastAsia="宋体"/>
                <w:sz w:val="20"/>
              </w:rPr>
              <w:t>产品须符合国家教育技术协会《数字语言学习系统技术规范》</w:t>
            </w:r>
            <w:r>
              <w:rPr>
                <w:rFonts w:ascii="宋体" w:hAnsi="宋体" w:cs="宋体" w:eastAsia="宋体"/>
                <w:sz w:val="20"/>
              </w:rPr>
              <w:t>A级或甲类标准，系统基于国际标准网络协议；教师主控计算机可与校园网连接，学生端可以点播服务器上的资源。</w:t>
            </w:r>
          </w:p>
          <w:p>
            <w:pPr>
              <w:pStyle w:val="null3"/>
              <w:ind w:firstLine="400"/>
              <w:jc w:val="both"/>
            </w:pPr>
          </w:p>
        </w:tc>
      </w:tr>
      <w:tr>
        <w:tc>
          <w:tcPr>
            <w:tcW w:type="dxa" w:w="2769"/>
          </w:tcPr>
          <w:p/>
        </w:tc>
        <w:tc>
          <w:tcPr>
            <w:tcW w:type="dxa" w:w="2769"/>
          </w:tcPr>
          <w:p>
            <w:pPr>
              <w:pStyle w:val="null3"/>
            </w:pPr>
            <w:r>
              <w:rPr/>
              <w:t>37</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1）频率响应范围满足125～10KHz，采样速率为22K或以上，达到16位以上线性采样，失真度小于3％，信噪比：≥50db。</w:t>
            </w:r>
          </w:p>
        </w:tc>
      </w:tr>
      <w:tr>
        <w:tc>
          <w:tcPr>
            <w:tcW w:type="dxa" w:w="2769"/>
          </w:tcPr>
          <w:p/>
        </w:tc>
        <w:tc>
          <w:tcPr>
            <w:tcW w:type="dxa" w:w="2769"/>
          </w:tcPr>
          <w:p>
            <w:pPr>
              <w:pStyle w:val="null3"/>
            </w:pPr>
            <w:r>
              <w:rPr/>
              <w:t>38</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2）语音信号：声音清晰、光滑、在语音信号传输过程中，无延时、断裂，可进行2－8人分组对话，每组内声音延迟要求在10ms以内。</w:t>
            </w:r>
          </w:p>
        </w:tc>
      </w:tr>
      <w:tr>
        <w:tc>
          <w:tcPr>
            <w:tcW w:type="dxa" w:w="2769"/>
          </w:tcPr>
          <w:p/>
        </w:tc>
        <w:tc>
          <w:tcPr>
            <w:tcW w:type="dxa" w:w="2769"/>
          </w:tcPr>
          <w:p>
            <w:pPr>
              <w:pStyle w:val="null3"/>
            </w:pPr>
            <w:r>
              <w:rPr/>
              <w:t>39</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3）必须满足所有座位同时进行2-4人讨论式的口语考试，保证全通效果，并提供先进方便的辅助阅卷系统。</w:t>
            </w:r>
          </w:p>
        </w:tc>
      </w:tr>
      <w:tr>
        <w:tc>
          <w:tcPr>
            <w:tcW w:type="dxa" w:w="2769"/>
          </w:tcPr>
          <w:p/>
        </w:tc>
        <w:tc>
          <w:tcPr>
            <w:tcW w:type="dxa" w:w="2769"/>
          </w:tcPr>
          <w:p>
            <w:pPr>
              <w:pStyle w:val="null3"/>
            </w:pPr>
            <w:r>
              <w:rPr/>
              <w:t>40</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4）教师主控机工作时间累计100小时，死机≤1次；学生终端工作时间累计50小时，死机≤1次。</w:t>
            </w:r>
          </w:p>
        </w:tc>
      </w:tr>
      <w:tr>
        <w:tc>
          <w:tcPr>
            <w:tcW w:type="dxa" w:w="2769"/>
          </w:tcPr>
          <w:p/>
        </w:tc>
        <w:tc>
          <w:tcPr>
            <w:tcW w:type="dxa" w:w="2769"/>
          </w:tcPr>
          <w:p>
            <w:pPr>
              <w:pStyle w:val="null3"/>
            </w:pPr>
            <w:r>
              <w:rPr/>
              <w:t>41</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5）一台教师主控机负载能力≥240台学生终端。</w:t>
            </w:r>
          </w:p>
        </w:tc>
      </w:tr>
      <w:tr>
        <w:tc>
          <w:tcPr>
            <w:tcW w:type="dxa" w:w="2769"/>
          </w:tcPr>
          <w:p/>
        </w:tc>
        <w:tc>
          <w:tcPr>
            <w:tcW w:type="dxa" w:w="2769"/>
          </w:tcPr>
          <w:p>
            <w:pPr>
              <w:pStyle w:val="null3"/>
            </w:pPr>
            <w:r>
              <w:rPr/>
              <w:t>42</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6）学生终端语音信号数字化录音、存储，每个学生终端录音时间≥120分钟。录音文件格式为MP3格式，并支持中英文输入。</w:t>
            </w:r>
          </w:p>
        </w:tc>
      </w:tr>
      <w:tr>
        <w:tc>
          <w:tcPr>
            <w:tcW w:type="dxa" w:w="2769"/>
          </w:tcPr>
          <w:p/>
        </w:tc>
        <w:tc>
          <w:tcPr>
            <w:tcW w:type="dxa" w:w="2769"/>
          </w:tcPr>
          <w:p>
            <w:pPr>
              <w:pStyle w:val="null3"/>
            </w:pPr>
            <w:r>
              <w:rPr/>
              <w:t>43</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7）温度：0～40℃；相对湿度：20%～80%；大气压：86～106 Kpa。</w:t>
            </w:r>
          </w:p>
        </w:tc>
      </w:tr>
      <w:tr>
        <w:tc>
          <w:tcPr>
            <w:tcW w:type="dxa" w:w="2769"/>
          </w:tcPr>
          <w:p/>
        </w:tc>
        <w:tc>
          <w:tcPr>
            <w:tcW w:type="dxa" w:w="2769"/>
          </w:tcPr>
          <w:p>
            <w:pPr>
              <w:pStyle w:val="null3"/>
            </w:pPr>
            <w:r>
              <w:rPr/>
              <w:t>44</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8）系统支持大学英语四、六级网考要求</w:t>
            </w:r>
            <w:r>
              <w:rPr>
                <w:rFonts w:ascii="宋体" w:hAnsi="宋体" w:cs="宋体" w:eastAsia="宋体"/>
                <w:sz w:val="20"/>
              </w:rPr>
              <w:t>。</w:t>
            </w:r>
          </w:p>
        </w:tc>
      </w:tr>
      <w:tr>
        <w:tc>
          <w:tcPr>
            <w:tcW w:type="dxa" w:w="2769"/>
          </w:tcPr>
          <w:p/>
        </w:tc>
        <w:tc>
          <w:tcPr>
            <w:tcW w:type="dxa" w:w="2769"/>
          </w:tcPr>
          <w:p>
            <w:pPr>
              <w:pStyle w:val="null3"/>
            </w:pPr>
            <w:r>
              <w:rPr/>
              <w:t>45</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9）语音室专用耳机：头戴式双声道立体声，驻极体电容麦克耳机，耳麦采用单指向抗噪</w:t>
            </w:r>
            <w:r>
              <w:rPr>
                <w:rFonts w:ascii="宋体" w:hAnsi="宋体" w:cs="宋体" w:eastAsia="宋体"/>
                <w:sz w:val="20"/>
              </w:rPr>
              <w:t>，高保真内磁式。耳机：频率</w:t>
            </w:r>
            <w:r>
              <w:rPr>
                <w:rFonts w:ascii="宋体" w:hAnsi="宋体" w:cs="宋体" w:eastAsia="宋体"/>
                <w:sz w:val="20"/>
              </w:rPr>
              <w:t>20～20KHZ，阻抗32欧</w:t>
            </w:r>
            <w:r>
              <w:rPr>
                <w:rFonts w:ascii="宋体" w:hAnsi="宋体" w:cs="宋体" w:eastAsia="宋体"/>
                <w:sz w:val="20"/>
              </w:rPr>
              <w:t>,</w:t>
            </w:r>
            <w:r>
              <w:rPr>
                <w:rFonts w:ascii="宋体" w:hAnsi="宋体" w:cs="宋体" w:eastAsia="宋体"/>
                <w:sz w:val="20"/>
              </w:rPr>
              <w:t>灵敏度</w:t>
            </w:r>
            <w:r>
              <w:rPr>
                <w:rFonts w:ascii="宋体" w:hAnsi="宋体" w:cs="宋体" w:eastAsia="宋体"/>
                <w:sz w:val="20"/>
              </w:rPr>
              <w:t>≥108dB</w:t>
            </w:r>
            <w:r>
              <w:rPr>
                <w:rFonts w:ascii="宋体" w:hAnsi="宋体" w:cs="宋体" w:eastAsia="宋体"/>
                <w:sz w:val="20"/>
              </w:rPr>
              <w:t>，</w:t>
            </w:r>
            <w:r>
              <w:rPr>
                <w:rFonts w:ascii="宋体" w:hAnsi="宋体" w:cs="宋体" w:eastAsia="宋体"/>
                <w:sz w:val="20"/>
              </w:rPr>
              <w:t>耳机经久耐用，外皮舒适，不易破损、掉渣</w:t>
            </w:r>
            <w:r>
              <w:rPr>
                <w:rFonts w:ascii="宋体" w:hAnsi="宋体" w:cs="宋体" w:eastAsia="宋体"/>
                <w:sz w:val="20"/>
              </w:rPr>
              <w:t>；麦</w:t>
            </w:r>
            <w:r>
              <w:rPr>
                <w:rFonts w:ascii="宋体" w:hAnsi="宋体" w:cs="宋体" w:eastAsia="宋体"/>
                <w:sz w:val="20"/>
              </w:rPr>
              <w:t>克</w:t>
            </w:r>
            <w:r>
              <w:rPr>
                <w:rFonts w:ascii="宋体" w:hAnsi="宋体" w:cs="宋体" w:eastAsia="宋体"/>
                <w:sz w:val="20"/>
              </w:rPr>
              <w:t>风</w:t>
            </w:r>
            <w:r>
              <w:rPr>
                <w:rFonts w:ascii="宋体" w:hAnsi="宋体" w:cs="宋体" w:eastAsia="宋体"/>
                <w:sz w:val="20"/>
              </w:rPr>
              <w:t>：频率</w:t>
            </w:r>
            <w:r>
              <w:rPr>
                <w:rFonts w:ascii="宋体" w:hAnsi="宋体" w:cs="宋体" w:eastAsia="宋体"/>
                <w:sz w:val="20"/>
              </w:rPr>
              <w:t>200～5000HZ，阻抗2200欧</w:t>
            </w:r>
            <w:r>
              <w:rPr>
                <w:rFonts w:ascii="宋体" w:hAnsi="宋体" w:cs="宋体" w:eastAsia="宋体"/>
                <w:sz w:val="20"/>
              </w:rPr>
              <w:t>,</w:t>
            </w:r>
            <w:r>
              <w:rPr>
                <w:rFonts w:ascii="宋体" w:hAnsi="宋体" w:cs="宋体" w:eastAsia="宋体"/>
                <w:sz w:val="20"/>
              </w:rPr>
              <w:t>灵敏度</w:t>
            </w:r>
            <w:r>
              <w:rPr>
                <w:rFonts w:ascii="宋体" w:hAnsi="宋体" w:cs="宋体" w:eastAsia="宋体"/>
                <w:sz w:val="20"/>
              </w:rPr>
              <w:t>-42dB，引线2.4M，抗扭折，经久耐用。</w:t>
            </w:r>
          </w:p>
        </w:tc>
      </w:tr>
      <w:tr>
        <w:tc>
          <w:tcPr>
            <w:tcW w:type="dxa" w:w="2769"/>
          </w:tcPr>
          <w:p/>
        </w:tc>
        <w:tc>
          <w:tcPr>
            <w:tcW w:type="dxa" w:w="2769"/>
          </w:tcPr>
          <w:p>
            <w:pPr>
              <w:pStyle w:val="null3"/>
            </w:pPr>
            <w:r>
              <w:rPr/>
              <w:t>46</w:t>
            </w:r>
          </w:p>
        </w:tc>
        <w:tc>
          <w:tcPr>
            <w:tcW w:type="dxa" w:w="2769"/>
          </w:tcPr>
          <w:p>
            <w:pPr>
              <w:pStyle w:val="null3"/>
              <w:ind w:firstLine="400"/>
              <w:jc w:val="both"/>
            </w:pPr>
            <w:r>
              <w:rPr>
                <w:rFonts w:ascii="宋体" w:hAnsi="宋体" w:cs="宋体" w:eastAsia="宋体"/>
                <w:sz w:val="20"/>
              </w:rPr>
              <w:t>2.功能要求</w:t>
            </w:r>
          </w:p>
          <w:p>
            <w:pPr>
              <w:pStyle w:val="null3"/>
              <w:ind w:firstLine="400"/>
              <w:jc w:val="both"/>
            </w:pPr>
            <w:r>
              <w:rPr>
                <w:rFonts w:ascii="宋体" w:hAnsi="宋体" w:cs="宋体" w:eastAsia="宋体"/>
                <w:sz w:val="20"/>
              </w:rPr>
              <w:t>2.1课堂教学功能</w:t>
            </w:r>
          </w:p>
          <w:p>
            <w:pPr>
              <w:pStyle w:val="null3"/>
              <w:ind w:firstLine="400"/>
              <w:jc w:val="both"/>
            </w:pPr>
            <w:r>
              <w:rPr>
                <w:rFonts w:ascii="宋体" w:hAnsi="宋体" w:cs="宋体" w:eastAsia="宋体"/>
                <w:sz w:val="20"/>
              </w:rPr>
              <w:t>（</w:t>
            </w:r>
            <w:r>
              <w:rPr>
                <w:rFonts w:ascii="宋体" w:hAnsi="宋体" w:cs="宋体" w:eastAsia="宋体"/>
                <w:sz w:val="20"/>
              </w:rPr>
              <w:t>1）语音教室首先要具备教室功能。要有讲台、黑板（或电子白板），主控台安装在讲台上，能实现课堂教师与学生互动，以便教师组织正常的课堂教学。</w:t>
            </w:r>
          </w:p>
        </w:tc>
      </w:tr>
      <w:tr>
        <w:tc>
          <w:tcPr>
            <w:tcW w:type="dxa" w:w="2769"/>
          </w:tcPr>
          <w:p/>
        </w:tc>
        <w:tc>
          <w:tcPr>
            <w:tcW w:type="dxa" w:w="2769"/>
          </w:tcPr>
          <w:p>
            <w:pPr>
              <w:pStyle w:val="null3"/>
            </w:pPr>
            <w:r>
              <w:rPr/>
              <w:t>47</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2）教师主控台配置多媒体中控，可连接双卡磁带录音机、DVD、功放音响等外部设备连接，支持多种媒体文件格式和教学软件，可播放音视频教材以及连接外部资源。</w:t>
            </w:r>
          </w:p>
        </w:tc>
      </w:tr>
      <w:tr>
        <w:tc>
          <w:tcPr>
            <w:tcW w:type="dxa" w:w="2769"/>
          </w:tcPr>
          <w:p/>
        </w:tc>
        <w:tc>
          <w:tcPr>
            <w:tcW w:type="dxa" w:w="2769"/>
          </w:tcPr>
          <w:p>
            <w:pPr>
              <w:pStyle w:val="null3"/>
            </w:pPr>
            <w:r>
              <w:rPr/>
              <w:t>48</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3）常规教学功能：全通话、组通话、单独对讲、教材播放、教材讲解、插话讲解、监听辅导、示范教学、呼叫对讲、电子举手、SP编辑播放、书签功能、句复读、段复读功能。</w:t>
            </w:r>
          </w:p>
        </w:tc>
      </w:tr>
      <w:tr>
        <w:tc>
          <w:tcPr>
            <w:tcW w:type="dxa" w:w="2769"/>
          </w:tcPr>
          <w:p/>
        </w:tc>
        <w:tc>
          <w:tcPr>
            <w:tcW w:type="dxa" w:w="2769"/>
          </w:tcPr>
          <w:p>
            <w:pPr>
              <w:pStyle w:val="null3"/>
            </w:pPr>
            <w:r>
              <w:rPr/>
              <w:t>49</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4）变速不变调功能：教师在广播音频资料时，可根椐学生实际情况，以±30%的比例调整语音.</w:t>
            </w:r>
          </w:p>
        </w:tc>
      </w:tr>
      <w:tr>
        <w:tc>
          <w:tcPr>
            <w:tcW w:type="dxa" w:w="2769"/>
          </w:tcPr>
          <w:p/>
        </w:tc>
        <w:tc>
          <w:tcPr>
            <w:tcW w:type="dxa" w:w="2769"/>
          </w:tcPr>
          <w:p>
            <w:pPr>
              <w:pStyle w:val="null3"/>
            </w:pPr>
            <w:r>
              <w:rPr/>
              <w:t>50</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5）声文同步：点播文本+音频资料时，能够实现声音与文本同步。</w:t>
            </w:r>
          </w:p>
        </w:tc>
      </w:tr>
      <w:tr>
        <w:tc>
          <w:tcPr>
            <w:tcW w:type="dxa" w:w="2769"/>
          </w:tcPr>
          <w:p/>
        </w:tc>
        <w:tc>
          <w:tcPr>
            <w:tcW w:type="dxa" w:w="2769"/>
          </w:tcPr>
          <w:p>
            <w:pPr>
              <w:pStyle w:val="null3"/>
            </w:pPr>
            <w:r>
              <w:rPr/>
              <w:t>51</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6）同声传译训练：可设置4名译员，并为每</w:t>
            </w:r>
            <w:r>
              <w:rPr>
                <w:rFonts w:ascii="宋体" w:hAnsi="宋体" w:cs="宋体" w:eastAsia="宋体"/>
                <w:sz w:val="20"/>
              </w:rPr>
              <w:t>位</w:t>
            </w:r>
            <w:r>
              <w:rPr>
                <w:rFonts w:ascii="宋体" w:hAnsi="宋体" w:cs="宋体" w:eastAsia="宋体"/>
                <w:sz w:val="20"/>
              </w:rPr>
              <w:t>译员</w:t>
            </w:r>
            <w:r>
              <w:rPr>
                <w:rFonts w:ascii="宋体" w:hAnsi="宋体" w:cs="宋体" w:eastAsia="宋体"/>
                <w:sz w:val="20"/>
              </w:rPr>
              <w:t>指定</w:t>
            </w:r>
            <w:r>
              <w:rPr>
                <w:rFonts w:ascii="宋体" w:hAnsi="宋体" w:cs="宋体" w:eastAsia="宋体"/>
                <w:sz w:val="20"/>
              </w:rPr>
              <w:t>不同语种同时翻译，其余学生作为听众，可以选择接听不同的翻译员的译音及发言人的原音</w:t>
            </w:r>
            <w:r>
              <w:rPr>
                <w:rFonts w:ascii="宋体" w:hAnsi="宋体" w:cs="宋体" w:eastAsia="宋体"/>
                <w:sz w:val="20"/>
              </w:rPr>
              <w:t>(原音，译音，左原右译，原译混合)。</w:t>
            </w:r>
          </w:p>
        </w:tc>
      </w:tr>
      <w:tr>
        <w:tc>
          <w:tcPr>
            <w:tcW w:type="dxa" w:w="2769"/>
          </w:tcPr>
          <w:p/>
        </w:tc>
        <w:tc>
          <w:tcPr>
            <w:tcW w:type="dxa" w:w="2769"/>
          </w:tcPr>
          <w:p>
            <w:pPr>
              <w:pStyle w:val="null3"/>
            </w:pPr>
            <w:r>
              <w:rPr/>
              <w:t>52</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7）多路教材教学：教师可在资源库中任意选取5路以上声音、文本或视频教材同时广播给学生，学生可任意选择其中一路收听收看。教师在广播音频教材时可授权学生自主控制播放进度。</w:t>
            </w:r>
          </w:p>
        </w:tc>
      </w:tr>
      <w:tr>
        <w:tc>
          <w:tcPr>
            <w:tcW w:type="dxa" w:w="2769"/>
          </w:tcPr>
          <w:p/>
        </w:tc>
        <w:tc>
          <w:tcPr>
            <w:tcW w:type="dxa" w:w="2769"/>
          </w:tcPr>
          <w:p>
            <w:pPr>
              <w:pStyle w:val="null3"/>
            </w:pPr>
            <w:r>
              <w:rPr/>
              <w:t>53</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8）数字化教材同期生成：教师在播放磁带时可设定在其播放的同时将其同期转化为数字文件自动存储在资源库当中。</w:t>
            </w:r>
          </w:p>
        </w:tc>
      </w:tr>
      <w:tr>
        <w:tc>
          <w:tcPr>
            <w:tcW w:type="dxa" w:w="2769"/>
          </w:tcPr>
          <w:p/>
        </w:tc>
        <w:tc>
          <w:tcPr>
            <w:tcW w:type="dxa" w:w="2769"/>
          </w:tcPr>
          <w:p>
            <w:pPr>
              <w:pStyle w:val="null3"/>
            </w:pPr>
            <w:r>
              <w:rPr/>
              <w:t>54</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9）讲课教案同期生成：教师讲课时，可进行数字录音并同期完成录音数据压缩，同期生成MP3数字文件自动存储在资源库当中，数字化“讲课教案”随堂生成，方便学生课后点播复习，并可以为缺课的学生补课提供方便。</w:t>
            </w:r>
          </w:p>
        </w:tc>
      </w:tr>
      <w:tr>
        <w:tc>
          <w:tcPr>
            <w:tcW w:type="dxa" w:w="2769"/>
          </w:tcPr>
          <w:p/>
        </w:tc>
        <w:tc>
          <w:tcPr>
            <w:tcW w:type="dxa" w:w="2769"/>
          </w:tcPr>
          <w:p>
            <w:pPr>
              <w:pStyle w:val="null3"/>
            </w:pPr>
            <w:r>
              <w:rPr/>
              <w:t>55</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10）翻译练习：可进行同声翻译和停顿翻译练习，翻译训练可分为全班模式和示范模式。(原音，译音，左原右译，原译混合)。</w:t>
            </w:r>
          </w:p>
        </w:tc>
      </w:tr>
      <w:tr>
        <w:tc>
          <w:tcPr>
            <w:tcW w:type="dxa" w:w="2769"/>
          </w:tcPr>
          <w:p/>
        </w:tc>
        <w:tc>
          <w:tcPr>
            <w:tcW w:type="dxa" w:w="2769"/>
          </w:tcPr>
          <w:p>
            <w:pPr>
              <w:pStyle w:val="null3"/>
            </w:pPr>
            <w:r>
              <w:rPr/>
              <w:t>56</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11）外部多媒体设备广播：教师可将外接的多媒体设备资源进行广播教学，包括教师机屏幕，录音卡座、视频展台、DVD等。</w:t>
            </w:r>
          </w:p>
        </w:tc>
      </w:tr>
      <w:tr>
        <w:tc>
          <w:tcPr>
            <w:tcW w:type="dxa" w:w="2769"/>
          </w:tcPr>
          <w:p/>
        </w:tc>
        <w:tc>
          <w:tcPr>
            <w:tcW w:type="dxa" w:w="2769"/>
          </w:tcPr>
          <w:p>
            <w:pPr>
              <w:pStyle w:val="null3"/>
            </w:pPr>
            <w:r>
              <w:rPr/>
              <w:t>57</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12）分组会话：教师可将全体学生分成若干个小组做会话练习，分组方式可按行按列自动或随机分组，也可手动拖拉学生图标在各组之间移进移出做分组调整。</w:t>
            </w:r>
          </w:p>
        </w:tc>
      </w:tr>
      <w:tr>
        <w:tc>
          <w:tcPr>
            <w:tcW w:type="dxa" w:w="2769"/>
          </w:tcPr>
          <w:p/>
        </w:tc>
        <w:tc>
          <w:tcPr>
            <w:tcW w:type="dxa" w:w="2769"/>
          </w:tcPr>
          <w:p>
            <w:pPr>
              <w:pStyle w:val="null3"/>
            </w:pPr>
            <w:r>
              <w:rPr/>
              <w:t>58</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13）教师及学生终端本地直接完成MP3压缩和解压：口语考试或训练时，教师及学生的语音资料直接压缩生成MP3格式文件存储在资源库，教师及学生终端可以对资源库中以MP3格式存储的文件直接解压收听。</w:t>
            </w:r>
          </w:p>
        </w:tc>
      </w:tr>
      <w:tr>
        <w:tc>
          <w:tcPr>
            <w:tcW w:type="dxa" w:w="2769"/>
          </w:tcPr>
          <w:p/>
        </w:tc>
        <w:tc>
          <w:tcPr>
            <w:tcW w:type="dxa" w:w="2769"/>
          </w:tcPr>
          <w:p>
            <w:pPr>
              <w:pStyle w:val="null3"/>
            </w:pPr>
            <w:r>
              <w:rPr/>
              <w:t>59</w:t>
            </w:r>
          </w:p>
        </w:tc>
        <w:tc>
          <w:tcPr>
            <w:tcW w:type="dxa" w:w="2769"/>
          </w:tcPr>
          <w:p>
            <w:pPr>
              <w:pStyle w:val="null3"/>
              <w:ind w:firstLine="400"/>
              <w:jc w:val="both"/>
            </w:pPr>
            <w:r>
              <w:rPr>
                <w:rFonts w:ascii="宋体" w:hAnsi="宋体" w:cs="宋体" w:eastAsia="宋体"/>
                <w:sz w:val="20"/>
              </w:rPr>
              <w:t>2.2自主学习功能</w:t>
            </w:r>
          </w:p>
          <w:p>
            <w:pPr>
              <w:pStyle w:val="null3"/>
              <w:ind w:firstLine="400"/>
              <w:jc w:val="both"/>
            </w:pPr>
            <w:r>
              <w:rPr>
                <w:rFonts w:ascii="宋体" w:hAnsi="宋体" w:cs="宋体" w:eastAsia="宋体"/>
                <w:sz w:val="20"/>
              </w:rPr>
              <w:t>（</w:t>
            </w:r>
            <w:r>
              <w:rPr>
                <w:rFonts w:ascii="宋体" w:hAnsi="宋体" w:cs="宋体" w:eastAsia="宋体"/>
                <w:sz w:val="20"/>
              </w:rPr>
              <w:t>1）Internet浏览。</w:t>
            </w:r>
          </w:p>
        </w:tc>
      </w:tr>
      <w:tr>
        <w:tc>
          <w:tcPr>
            <w:tcW w:type="dxa" w:w="2769"/>
          </w:tcPr>
          <w:p/>
        </w:tc>
        <w:tc>
          <w:tcPr>
            <w:tcW w:type="dxa" w:w="2769"/>
          </w:tcPr>
          <w:p>
            <w:pPr>
              <w:pStyle w:val="null3"/>
            </w:pPr>
            <w:r>
              <w:rPr/>
              <w:t>60</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2）多媒体课件点播。</w:t>
            </w:r>
          </w:p>
        </w:tc>
      </w:tr>
      <w:tr>
        <w:tc>
          <w:tcPr>
            <w:tcW w:type="dxa" w:w="2769"/>
          </w:tcPr>
          <w:p/>
        </w:tc>
        <w:tc>
          <w:tcPr>
            <w:tcW w:type="dxa" w:w="2769"/>
          </w:tcPr>
          <w:p>
            <w:pPr>
              <w:pStyle w:val="null3"/>
            </w:pPr>
            <w:r>
              <w:rPr/>
              <w:t>61</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3</w:t>
            </w:r>
            <w:r>
              <w:rPr>
                <w:rFonts w:ascii="宋体" w:hAnsi="宋体" w:cs="宋体" w:eastAsia="宋体"/>
                <w:sz w:val="20"/>
              </w:rPr>
              <w:t>）</w:t>
            </w:r>
            <w:r>
              <w:rPr>
                <w:rFonts w:ascii="宋体" w:hAnsi="宋体" w:cs="宋体" w:eastAsia="宋体"/>
                <w:sz w:val="20"/>
              </w:rPr>
              <w:t>WEB环境下语言网络课程学习。</w:t>
            </w:r>
          </w:p>
        </w:tc>
      </w:tr>
      <w:tr>
        <w:tc>
          <w:tcPr>
            <w:tcW w:type="dxa" w:w="2769"/>
          </w:tcPr>
          <w:p/>
        </w:tc>
        <w:tc>
          <w:tcPr>
            <w:tcW w:type="dxa" w:w="2769"/>
          </w:tcPr>
          <w:p>
            <w:pPr>
              <w:pStyle w:val="null3"/>
            </w:pPr>
            <w:r>
              <w:rPr/>
              <w:t>62</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4</w:t>
            </w:r>
            <w:r>
              <w:rPr>
                <w:rFonts w:ascii="宋体" w:hAnsi="宋体" w:cs="宋体" w:eastAsia="宋体"/>
                <w:sz w:val="20"/>
              </w:rPr>
              <w:t>）</w:t>
            </w:r>
            <w:r>
              <w:rPr>
                <w:rFonts w:ascii="宋体" w:hAnsi="宋体" w:cs="宋体" w:eastAsia="宋体"/>
                <w:sz w:val="20"/>
              </w:rPr>
              <w:t>VOD视频点播。</w:t>
            </w:r>
          </w:p>
        </w:tc>
      </w:tr>
      <w:tr>
        <w:tc>
          <w:tcPr>
            <w:tcW w:type="dxa" w:w="2769"/>
          </w:tcPr>
          <w:p/>
        </w:tc>
        <w:tc>
          <w:tcPr>
            <w:tcW w:type="dxa" w:w="2769"/>
          </w:tcPr>
          <w:p>
            <w:pPr>
              <w:pStyle w:val="null3"/>
            </w:pPr>
            <w:r>
              <w:rPr/>
              <w:t>63</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5</w:t>
            </w:r>
            <w:r>
              <w:rPr>
                <w:rFonts w:ascii="宋体" w:hAnsi="宋体" w:cs="宋体" w:eastAsia="宋体"/>
                <w:sz w:val="20"/>
              </w:rPr>
              <w:t>）</w:t>
            </w:r>
            <w:r>
              <w:rPr>
                <w:rFonts w:ascii="宋体" w:hAnsi="宋体" w:cs="宋体" w:eastAsia="宋体"/>
                <w:sz w:val="20"/>
              </w:rPr>
              <w:t>AOD音频点播。</w:t>
            </w:r>
          </w:p>
        </w:tc>
      </w:tr>
      <w:tr>
        <w:tc>
          <w:tcPr>
            <w:tcW w:type="dxa" w:w="2769"/>
          </w:tcPr>
          <w:p/>
        </w:tc>
        <w:tc>
          <w:tcPr>
            <w:tcW w:type="dxa" w:w="2769"/>
          </w:tcPr>
          <w:p>
            <w:pPr>
              <w:pStyle w:val="null3"/>
            </w:pPr>
            <w:r>
              <w:rPr/>
              <w:t>64</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6</w:t>
            </w:r>
            <w:r>
              <w:rPr>
                <w:rFonts w:ascii="宋体" w:hAnsi="宋体" w:cs="宋体" w:eastAsia="宋体"/>
                <w:sz w:val="20"/>
              </w:rPr>
              <w:t>）自助式考试：学生可以自己任意点播本地服务器上的开放试题库中的考卷，进行自助式考试，考试完毕后，系统自动阅卷评分，在终端上立即显示测试成绩，以及标准答案与自测答案的对比。</w:t>
            </w:r>
          </w:p>
        </w:tc>
      </w:tr>
      <w:tr>
        <w:tc>
          <w:tcPr>
            <w:tcW w:type="dxa" w:w="2769"/>
          </w:tcPr>
          <w:p/>
        </w:tc>
        <w:tc>
          <w:tcPr>
            <w:tcW w:type="dxa" w:w="2769"/>
          </w:tcPr>
          <w:p>
            <w:pPr>
              <w:pStyle w:val="null3"/>
            </w:pPr>
            <w:r>
              <w:rPr/>
              <w:t>65</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7</w:t>
            </w:r>
            <w:r>
              <w:rPr>
                <w:rFonts w:ascii="宋体" w:hAnsi="宋体" w:cs="宋体" w:eastAsia="宋体"/>
                <w:sz w:val="20"/>
              </w:rPr>
              <w:t>）点播音频资料时，通过终端学生自主操作语音变速不变调播放（</w:t>
            </w:r>
            <w:r>
              <w:rPr>
                <w:rFonts w:ascii="宋体" w:hAnsi="宋体" w:cs="宋体" w:eastAsia="宋体"/>
                <w:sz w:val="20"/>
              </w:rPr>
              <w:t>±30%）以及SP编辑播放。</w:t>
            </w:r>
          </w:p>
        </w:tc>
      </w:tr>
      <w:tr>
        <w:tc>
          <w:tcPr>
            <w:tcW w:type="dxa" w:w="2769"/>
          </w:tcPr>
          <w:p/>
        </w:tc>
        <w:tc>
          <w:tcPr>
            <w:tcW w:type="dxa" w:w="2769"/>
          </w:tcPr>
          <w:p>
            <w:pPr>
              <w:pStyle w:val="null3"/>
            </w:pPr>
            <w:r>
              <w:rPr/>
              <w:t>66</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8</w:t>
            </w:r>
            <w:r>
              <w:rPr>
                <w:rFonts w:ascii="宋体" w:hAnsi="宋体" w:cs="宋体" w:eastAsia="宋体"/>
                <w:sz w:val="20"/>
              </w:rPr>
              <w:t>）数字录音功能：学生语音终端具备数字录音功能，录音时同步将音频数据压缩生成</w:t>
            </w:r>
            <w:r>
              <w:rPr>
                <w:rFonts w:ascii="宋体" w:hAnsi="宋体" w:cs="宋体" w:eastAsia="宋体"/>
                <w:sz w:val="20"/>
              </w:rPr>
              <w:t>MP3格式文件并以流媒体方式通过网络存放与服务器中，采用双轨录音技术，录音时间不限。</w:t>
            </w:r>
          </w:p>
        </w:tc>
      </w:tr>
      <w:tr>
        <w:tc>
          <w:tcPr>
            <w:tcW w:type="dxa" w:w="2769"/>
          </w:tcPr>
          <w:p/>
        </w:tc>
        <w:tc>
          <w:tcPr>
            <w:tcW w:type="dxa" w:w="2769"/>
          </w:tcPr>
          <w:p>
            <w:pPr>
              <w:pStyle w:val="null3"/>
            </w:pPr>
            <w:r>
              <w:rPr/>
              <w:t>67</w:t>
            </w:r>
          </w:p>
        </w:tc>
        <w:tc>
          <w:tcPr>
            <w:tcW w:type="dxa" w:w="2769"/>
          </w:tcPr>
          <w:p>
            <w:pPr>
              <w:pStyle w:val="null3"/>
              <w:ind w:firstLine="400"/>
              <w:jc w:val="both"/>
            </w:pPr>
            <w:r>
              <w:rPr>
                <w:rFonts w:ascii="宋体" w:hAnsi="宋体" w:cs="宋体" w:eastAsia="宋体"/>
                <w:sz w:val="20"/>
              </w:rPr>
              <w:t>2.3考试功能</w:t>
            </w:r>
          </w:p>
          <w:p>
            <w:pPr>
              <w:pStyle w:val="null3"/>
              <w:ind w:firstLine="400"/>
              <w:jc w:val="both"/>
            </w:pPr>
            <w:r>
              <w:rPr>
                <w:rFonts w:ascii="宋体" w:hAnsi="宋体" w:cs="宋体" w:eastAsia="宋体"/>
                <w:sz w:val="20"/>
              </w:rPr>
              <w:t>（</w:t>
            </w:r>
            <w:r>
              <w:rPr>
                <w:rFonts w:ascii="宋体" w:hAnsi="宋体" w:cs="宋体" w:eastAsia="宋体"/>
                <w:sz w:val="20"/>
              </w:rPr>
              <w:t>1）支持一周内</w:t>
            </w:r>
            <w:r>
              <w:rPr>
                <w:rFonts w:ascii="宋体" w:hAnsi="宋体" w:cs="宋体" w:eastAsia="宋体"/>
                <w:sz w:val="20"/>
              </w:rPr>
              <w:t>开展</w:t>
            </w:r>
            <w:r>
              <w:rPr>
                <w:rFonts w:ascii="宋体" w:hAnsi="宋体" w:cs="宋体" w:eastAsia="宋体"/>
                <w:sz w:val="20"/>
              </w:rPr>
              <w:t>全校大学英语四六级网络考试。试卷可以包含图片和音视频。</w:t>
            </w:r>
          </w:p>
        </w:tc>
      </w:tr>
      <w:tr>
        <w:tc>
          <w:tcPr>
            <w:tcW w:type="dxa" w:w="2769"/>
          </w:tcPr>
          <w:p/>
        </w:tc>
        <w:tc>
          <w:tcPr>
            <w:tcW w:type="dxa" w:w="2769"/>
          </w:tcPr>
          <w:p>
            <w:pPr>
              <w:pStyle w:val="null3"/>
            </w:pPr>
            <w:r>
              <w:rPr/>
              <w:t>68</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英语专四专八口语考试。</w:t>
            </w:r>
          </w:p>
        </w:tc>
      </w:tr>
      <w:tr>
        <w:tc>
          <w:tcPr>
            <w:tcW w:type="dxa" w:w="2769"/>
          </w:tcPr>
          <w:p/>
        </w:tc>
        <w:tc>
          <w:tcPr>
            <w:tcW w:type="dxa" w:w="2769"/>
          </w:tcPr>
          <w:p>
            <w:pPr>
              <w:pStyle w:val="null3"/>
            </w:pPr>
            <w:r>
              <w:rPr/>
              <w:t>69</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3）大学英语四六级口语考试。</w:t>
            </w:r>
          </w:p>
        </w:tc>
      </w:tr>
      <w:tr>
        <w:tc>
          <w:tcPr>
            <w:tcW w:type="dxa" w:w="2769"/>
          </w:tcPr>
          <w:p/>
        </w:tc>
        <w:tc>
          <w:tcPr>
            <w:tcW w:type="dxa" w:w="2769"/>
          </w:tcPr>
          <w:p>
            <w:pPr>
              <w:pStyle w:val="null3"/>
            </w:pPr>
            <w:r>
              <w:rPr/>
              <w:t>70</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4</w:t>
            </w:r>
            <w:r>
              <w:rPr>
                <w:rFonts w:ascii="宋体" w:hAnsi="宋体" w:cs="宋体" w:eastAsia="宋体"/>
                <w:sz w:val="20"/>
              </w:rPr>
              <w:t>）国家级翻译水平考试（</w:t>
            </w:r>
            <w:r>
              <w:rPr>
                <w:rFonts w:ascii="宋体" w:hAnsi="宋体" w:cs="宋体" w:eastAsia="宋体"/>
                <w:sz w:val="20"/>
              </w:rPr>
              <w:t>BFT）</w:t>
            </w:r>
            <w:r>
              <w:rPr>
                <w:rFonts w:ascii="宋体" w:hAnsi="宋体" w:cs="宋体" w:eastAsia="宋体"/>
                <w:sz w:val="20"/>
              </w:rPr>
              <w:t>。</w:t>
            </w:r>
          </w:p>
        </w:tc>
      </w:tr>
      <w:tr>
        <w:tc>
          <w:tcPr>
            <w:tcW w:type="dxa" w:w="2769"/>
          </w:tcPr>
          <w:p/>
        </w:tc>
        <w:tc>
          <w:tcPr>
            <w:tcW w:type="dxa" w:w="2769"/>
          </w:tcPr>
          <w:p>
            <w:pPr>
              <w:pStyle w:val="null3"/>
            </w:pPr>
            <w:r>
              <w:rPr/>
              <w:t>71</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5</w:t>
            </w:r>
            <w:r>
              <w:rPr>
                <w:rFonts w:ascii="宋体" w:hAnsi="宋体" w:cs="宋体" w:eastAsia="宋体"/>
                <w:sz w:val="20"/>
              </w:rPr>
              <w:t>）</w:t>
            </w:r>
            <w:r>
              <w:rPr>
                <w:rFonts w:ascii="宋体" w:hAnsi="宋体" w:cs="宋体" w:eastAsia="宋体"/>
                <w:sz w:val="20"/>
              </w:rPr>
              <w:t>AB卷考试。</w:t>
            </w:r>
          </w:p>
        </w:tc>
      </w:tr>
      <w:tr>
        <w:tc>
          <w:tcPr>
            <w:tcW w:type="dxa" w:w="2769"/>
          </w:tcPr>
          <w:p/>
        </w:tc>
        <w:tc>
          <w:tcPr>
            <w:tcW w:type="dxa" w:w="2769"/>
          </w:tcPr>
          <w:p>
            <w:pPr>
              <w:pStyle w:val="null3"/>
            </w:pPr>
            <w:r>
              <w:rPr/>
              <w:t>72</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6</w:t>
            </w:r>
            <w:r>
              <w:rPr>
                <w:rFonts w:ascii="宋体" w:hAnsi="宋体" w:cs="宋体" w:eastAsia="宋体"/>
                <w:sz w:val="20"/>
              </w:rPr>
              <w:t>）写作考试。</w:t>
            </w:r>
          </w:p>
        </w:tc>
      </w:tr>
      <w:tr>
        <w:tc>
          <w:tcPr>
            <w:tcW w:type="dxa" w:w="2769"/>
          </w:tcPr>
          <w:p/>
        </w:tc>
        <w:tc>
          <w:tcPr>
            <w:tcW w:type="dxa" w:w="2769"/>
          </w:tcPr>
          <w:p>
            <w:pPr>
              <w:pStyle w:val="null3"/>
            </w:pPr>
            <w:r>
              <w:rPr/>
              <w:t>73</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7</w:t>
            </w:r>
            <w:r>
              <w:rPr>
                <w:rFonts w:ascii="宋体" w:hAnsi="宋体" w:cs="宋体" w:eastAsia="宋体"/>
                <w:sz w:val="20"/>
              </w:rPr>
              <w:t>）国家汉语口语考试（</w:t>
            </w:r>
            <w:r>
              <w:rPr>
                <w:rFonts w:ascii="宋体" w:hAnsi="宋体" w:cs="宋体" w:eastAsia="宋体"/>
                <w:sz w:val="20"/>
              </w:rPr>
              <w:t>HSK）。</w:t>
            </w:r>
          </w:p>
        </w:tc>
      </w:tr>
      <w:tr>
        <w:tc>
          <w:tcPr>
            <w:tcW w:type="dxa" w:w="2769"/>
          </w:tcPr>
          <w:p/>
        </w:tc>
        <w:tc>
          <w:tcPr>
            <w:tcW w:type="dxa" w:w="2769"/>
          </w:tcPr>
          <w:p>
            <w:pPr>
              <w:pStyle w:val="null3"/>
            </w:pPr>
            <w:r>
              <w:rPr/>
              <w:t>74</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8</w:t>
            </w:r>
            <w:r>
              <w:rPr>
                <w:rFonts w:ascii="宋体" w:hAnsi="宋体" w:cs="宋体" w:eastAsia="宋体"/>
                <w:sz w:val="20"/>
              </w:rPr>
              <w:t>）自动组卷系统：教师可以根据组卷系统的提示从试题库中自动生成电子试卷。</w:t>
            </w:r>
          </w:p>
        </w:tc>
      </w:tr>
      <w:tr>
        <w:tc>
          <w:tcPr>
            <w:tcW w:type="dxa" w:w="2769"/>
          </w:tcPr>
          <w:p/>
        </w:tc>
        <w:tc>
          <w:tcPr>
            <w:tcW w:type="dxa" w:w="2769"/>
          </w:tcPr>
          <w:p>
            <w:pPr>
              <w:pStyle w:val="null3"/>
            </w:pPr>
            <w:r>
              <w:rPr/>
              <w:t>75</w:t>
            </w:r>
          </w:p>
        </w:tc>
        <w:tc>
          <w:tcPr>
            <w:tcW w:type="dxa" w:w="2769"/>
          </w:tcPr>
          <w:p>
            <w:pPr>
              <w:pStyle w:val="null3"/>
              <w:ind w:firstLine="400"/>
              <w:jc w:val="both"/>
            </w:pPr>
            <w:r>
              <w:rPr>
                <w:rFonts w:ascii="宋体" w:hAnsi="宋体" w:cs="宋体" w:eastAsia="宋体"/>
                <w:sz w:val="20"/>
              </w:rPr>
              <w:t>2.4管理功能</w:t>
            </w:r>
          </w:p>
          <w:p>
            <w:pPr>
              <w:pStyle w:val="null3"/>
              <w:ind w:firstLine="400"/>
              <w:jc w:val="both"/>
            </w:pPr>
            <w:r>
              <w:rPr>
                <w:rFonts w:ascii="宋体" w:hAnsi="宋体" w:cs="宋体" w:eastAsia="宋体"/>
                <w:sz w:val="20"/>
              </w:rPr>
              <w:t>（</w:t>
            </w:r>
            <w:r>
              <w:rPr>
                <w:rFonts w:ascii="宋体" w:hAnsi="宋体" w:cs="宋体" w:eastAsia="宋体"/>
                <w:sz w:val="20"/>
              </w:rPr>
              <w:t>1）试题库的建立与管理：具有资源分类，提供口语考试、听力考试、文字考试、写作考试、综合试卷等多项试卷的建立，维护与管理功能。</w:t>
            </w:r>
          </w:p>
        </w:tc>
      </w:tr>
      <w:tr>
        <w:tc>
          <w:tcPr>
            <w:tcW w:type="dxa" w:w="2769"/>
          </w:tcPr>
          <w:p/>
        </w:tc>
        <w:tc>
          <w:tcPr>
            <w:tcW w:type="dxa" w:w="2769"/>
          </w:tcPr>
          <w:p>
            <w:pPr>
              <w:pStyle w:val="null3"/>
            </w:pPr>
            <w:r>
              <w:rPr/>
              <w:t>76</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2）备课系统：提供专业的备课系统平台，利用此平台可以对电子作业、试卷、及各种交互式课件进行制作和管理。</w:t>
            </w:r>
          </w:p>
        </w:tc>
      </w:tr>
      <w:tr>
        <w:tc>
          <w:tcPr>
            <w:tcW w:type="dxa" w:w="2769"/>
          </w:tcPr>
          <w:p/>
        </w:tc>
        <w:tc>
          <w:tcPr>
            <w:tcW w:type="dxa" w:w="2769"/>
          </w:tcPr>
          <w:p>
            <w:pPr>
              <w:pStyle w:val="null3"/>
            </w:pPr>
            <w:r>
              <w:rPr/>
              <w:t>77</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3）教学资源库的建立与管理：教师可根据教学要求对教学资源库进行添加、删除、修改、编辑。</w:t>
            </w:r>
          </w:p>
        </w:tc>
      </w:tr>
      <w:tr>
        <w:tc>
          <w:tcPr>
            <w:tcW w:type="dxa" w:w="2769"/>
          </w:tcPr>
          <w:p/>
        </w:tc>
        <w:tc>
          <w:tcPr>
            <w:tcW w:type="dxa" w:w="2769"/>
          </w:tcPr>
          <w:p>
            <w:pPr>
              <w:pStyle w:val="null3"/>
            </w:pPr>
            <w:r>
              <w:rPr/>
              <w:t>78</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4）教学资源库中须提供大量高校外语教学所需的主流的音频资料、音像资料及丰富的各类试题资料供学生收听、收看及进行自我测试。</w:t>
            </w:r>
          </w:p>
        </w:tc>
      </w:tr>
      <w:tr>
        <w:tc>
          <w:tcPr>
            <w:tcW w:type="dxa" w:w="2769"/>
          </w:tcPr>
          <w:p/>
        </w:tc>
        <w:tc>
          <w:tcPr>
            <w:tcW w:type="dxa" w:w="2769"/>
          </w:tcPr>
          <w:p>
            <w:pPr>
              <w:pStyle w:val="null3"/>
            </w:pPr>
            <w:r>
              <w:rPr/>
              <w:t>79</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5）成绩管理：系统将每次的考试成绩保存在数据库中，可以查询使用，并可以对每次的成绩单进行考试结果分析，以图示显示</w:t>
            </w:r>
            <w:r>
              <w:rPr>
                <w:rFonts w:ascii="宋体" w:hAnsi="宋体" w:cs="宋体" w:eastAsia="宋体"/>
                <w:sz w:val="20"/>
              </w:rPr>
              <w:t>。</w:t>
            </w:r>
          </w:p>
        </w:tc>
      </w:tr>
      <w:tr>
        <w:tc>
          <w:tcPr>
            <w:tcW w:type="dxa" w:w="2769"/>
          </w:tcPr>
          <w:p/>
        </w:tc>
        <w:tc>
          <w:tcPr>
            <w:tcW w:type="dxa" w:w="2769"/>
          </w:tcPr>
          <w:p>
            <w:pPr>
              <w:pStyle w:val="null3"/>
            </w:pPr>
            <w:r>
              <w:rPr/>
              <w:t>80</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6）师学档案及考勤管理。</w:t>
            </w:r>
          </w:p>
        </w:tc>
      </w:tr>
      <w:tr>
        <w:tc>
          <w:tcPr>
            <w:tcW w:type="dxa" w:w="2769"/>
          </w:tcPr>
          <w:p/>
        </w:tc>
        <w:tc>
          <w:tcPr>
            <w:tcW w:type="dxa" w:w="2769"/>
          </w:tcPr>
          <w:p>
            <w:pPr>
              <w:pStyle w:val="null3"/>
            </w:pPr>
            <w:r>
              <w:rPr/>
              <w:t>81</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7）设备使用管理：系统对学生使用情况做自动登记，并记录各学生上机时间，统计建档，方便查找造成设备故障的责任人，便于设备管理。</w:t>
            </w:r>
          </w:p>
        </w:tc>
      </w:tr>
      <w:tr>
        <w:tc>
          <w:tcPr>
            <w:tcW w:type="dxa" w:w="2769"/>
          </w:tcPr>
          <w:p/>
        </w:tc>
        <w:tc>
          <w:tcPr>
            <w:tcW w:type="dxa" w:w="2769"/>
          </w:tcPr>
          <w:p>
            <w:pPr>
              <w:pStyle w:val="null3"/>
            </w:pPr>
            <w:r>
              <w:rPr/>
              <w:t>82</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8）计费管理：系统支持条码、磁卡以及IC卡等刷卡收费管理；支持利用学号和密码登录计费管理。</w:t>
            </w:r>
          </w:p>
        </w:tc>
      </w:tr>
      <w:tr>
        <w:tc>
          <w:tcPr>
            <w:tcW w:type="dxa" w:w="2769"/>
          </w:tcPr>
          <w:p/>
        </w:tc>
        <w:tc>
          <w:tcPr>
            <w:tcW w:type="dxa" w:w="2769"/>
          </w:tcPr>
          <w:p>
            <w:pPr>
              <w:pStyle w:val="null3"/>
            </w:pPr>
            <w:r>
              <w:rPr/>
              <w:t>83</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9）课件制作：支持通用的网页编辑器生成交互式WEB课件，供学生自习时浏览。</w:t>
            </w:r>
          </w:p>
        </w:tc>
      </w:tr>
      <w:tr>
        <w:tc>
          <w:tcPr>
            <w:tcW w:type="dxa" w:w="2769"/>
          </w:tcPr>
          <w:p/>
        </w:tc>
        <w:tc>
          <w:tcPr>
            <w:tcW w:type="dxa" w:w="2769"/>
          </w:tcPr>
          <w:p>
            <w:pPr>
              <w:pStyle w:val="null3"/>
            </w:pPr>
            <w:r>
              <w:rPr/>
              <w:t>84</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10）教师可以控制学生计算机与学生语音终端这两种教学模式的平台管理功能。</w:t>
            </w:r>
          </w:p>
        </w:tc>
      </w:tr>
      <w:tr>
        <w:tc>
          <w:tcPr>
            <w:tcW w:type="dxa" w:w="2769"/>
          </w:tcPr>
          <w:p/>
        </w:tc>
        <w:tc>
          <w:tcPr>
            <w:tcW w:type="dxa" w:w="2769"/>
          </w:tcPr>
          <w:p>
            <w:pPr>
              <w:pStyle w:val="null3"/>
            </w:pPr>
            <w:r>
              <w:rPr/>
              <w:t>85</w:t>
            </w:r>
          </w:p>
        </w:tc>
        <w:tc>
          <w:tcPr>
            <w:tcW w:type="dxa" w:w="2769"/>
          </w:tcPr>
          <w:p>
            <w:pPr>
              <w:pStyle w:val="null3"/>
              <w:ind w:firstLine="400"/>
              <w:jc w:val="both"/>
            </w:pPr>
            <w:r>
              <w:rPr>
                <w:rFonts w:ascii="宋体" w:hAnsi="宋体" w:cs="宋体" w:eastAsia="宋体"/>
                <w:sz w:val="20"/>
              </w:rPr>
              <w:t>3.</w:t>
            </w:r>
            <w:r>
              <w:rPr>
                <w:rFonts w:ascii="宋体" w:hAnsi="宋体" w:cs="宋体" w:eastAsia="宋体"/>
                <w:sz w:val="20"/>
              </w:rPr>
              <w:t>产品资质</w:t>
            </w:r>
          </w:p>
          <w:p>
            <w:pPr>
              <w:pStyle w:val="null3"/>
              <w:ind w:firstLine="400"/>
              <w:jc w:val="both"/>
            </w:pPr>
            <w:r>
              <w:rPr>
                <w:rFonts w:ascii="宋体" w:hAnsi="宋体" w:cs="宋体" w:eastAsia="宋体"/>
                <w:sz w:val="20"/>
              </w:rPr>
              <w:t>（</w:t>
            </w:r>
            <w:r>
              <w:rPr>
                <w:rFonts w:ascii="宋体" w:hAnsi="宋体" w:cs="宋体" w:eastAsia="宋体"/>
                <w:sz w:val="20"/>
              </w:rPr>
              <w:t>1）产品应符合中国教育技术协会关于《数字语言学习系统技术规范》的要求，并有中国教育技术协会的相关鉴定；</w:t>
            </w:r>
          </w:p>
          <w:p>
            <w:pPr>
              <w:pStyle w:val="null3"/>
              <w:ind w:firstLine="400"/>
              <w:jc w:val="both"/>
            </w:pPr>
          </w:p>
        </w:tc>
      </w:tr>
      <w:tr>
        <w:tc>
          <w:tcPr>
            <w:tcW w:type="dxa" w:w="2769"/>
          </w:tcPr>
          <w:p/>
        </w:tc>
        <w:tc>
          <w:tcPr>
            <w:tcW w:type="dxa" w:w="2769"/>
          </w:tcPr>
          <w:p>
            <w:pPr>
              <w:pStyle w:val="null3"/>
            </w:pPr>
            <w:r>
              <w:rPr/>
              <w:t>86</w:t>
            </w:r>
          </w:p>
        </w:tc>
        <w:tc>
          <w:tcPr>
            <w:tcW w:type="dxa" w:w="2769"/>
          </w:tcPr>
          <w:p>
            <w:pPr>
              <w:pStyle w:val="null3"/>
              <w:ind w:firstLine="400"/>
              <w:jc w:val="both"/>
            </w:pPr>
            <w:r>
              <w:rPr>
                <w:rFonts w:ascii="宋体" w:hAnsi="宋体" w:cs="宋体" w:eastAsia="宋体"/>
                <w:sz w:val="20"/>
              </w:rPr>
              <w:t>（</w:t>
            </w:r>
            <w:r>
              <w:rPr>
                <w:rFonts w:ascii="宋体" w:hAnsi="宋体" w:cs="宋体" w:eastAsia="宋体"/>
                <w:sz w:val="20"/>
              </w:rPr>
              <w:t>2）产品已通过国家CCC强制性产品认证；</w:t>
            </w:r>
          </w:p>
        </w:tc>
      </w:tr>
      <w:tr>
        <w:tc>
          <w:tcPr>
            <w:tcW w:type="dxa" w:w="2769"/>
          </w:tcPr>
          <w:p/>
        </w:tc>
        <w:tc>
          <w:tcPr>
            <w:tcW w:type="dxa" w:w="2769"/>
          </w:tcPr>
          <w:p>
            <w:pPr>
              <w:pStyle w:val="null3"/>
            </w:pPr>
            <w:r>
              <w:rPr/>
              <w:t>87</w:t>
            </w:r>
          </w:p>
        </w:tc>
        <w:tc>
          <w:tcPr>
            <w:tcW w:type="dxa" w:w="2769"/>
          </w:tcPr>
          <w:p>
            <w:pPr>
              <w:pStyle w:val="null3"/>
              <w:jc w:val="both"/>
            </w:pPr>
            <w:r>
              <w:rPr>
                <w:rFonts w:ascii="宋体" w:hAnsi="宋体" w:cs="宋体" w:eastAsia="宋体"/>
                <w:sz w:val="20"/>
              </w:rPr>
              <w:t xml:space="preserve">  （</w:t>
            </w:r>
            <w:r>
              <w:rPr>
                <w:rFonts w:ascii="宋体" w:hAnsi="宋体" w:cs="宋体" w:eastAsia="宋体"/>
                <w:sz w:val="20"/>
              </w:rPr>
              <w:t>3）产品生产企业拥有自主的知识产权。</w:t>
            </w:r>
          </w:p>
        </w:tc>
      </w:tr>
      <w:tr>
        <w:tc>
          <w:tcPr>
            <w:tcW w:type="dxa" w:w="2769"/>
          </w:tcPr>
          <w:p/>
        </w:tc>
        <w:tc>
          <w:tcPr>
            <w:tcW w:type="dxa" w:w="2769"/>
          </w:tcPr>
          <w:p>
            <w:pPr>
              <w:pStyle w:val="null3"/>
            </w:pPr>
            <w:r>
              <w:rPr/>
              <w:t>88</w:t>
            </w:r>
          </w:p>
        </w:tc>
        <w:tc>
          <w:tcPr>
            <w:tcW w:type="dxa" w:w="2769"/>
          </w:tcPr>
          <w:p>
            <w:pPr>
              <w:pStyle w:val="null3"/>
              <w:jc w:val="both"/>
            </w:pPr>
            <w:r>
              <w:rPr>
                <w:rFonts w:ascii="宋体" w:hAnsi="宋体" w:cs="宋体" w:eastAsia="宋体"/>
                <w:sz w:val="20"/>
                <w:b/>
              </w:rPr>
              <w:t>（三）教室桌椅配置要求</w:t>
            </w:r>
          </w:p>
          <w:p>
            <w:pPr>
              <w:pStyle w:val="null3"/>
              <w:jc w:val="both"/>
            </w:pPr>
            <w:r>
              <w:rPr>
                <w:rFonts w:ascii="宋体" w:hAnsi="宋体" w:cs="宋体" w:eastAsia="宋体"/>
                <w:sz w:val="20"/>
              </w:rPr>
              <w:t>1.教师主控桌椅</w:t>
            </w:r>
          </w:p>
          <w:p>
            <w:pPr>
              <w:pStyle w:val="null3"/>
              <w:ind w:firstLine="400"/>
              <w:jc w:val="both"/>
            </w:pPr>
            <w:r>
              <w:rPr>
                <w:rFonts w:ascii="宋体" w:hAnsi="宋体" w:cs="宋体" w:eastAsia="宋体"/>
                <w:sz w:val="20"/>
              </w:rPr>
              <w:t>电脑桌桌面预留键盘位置，留有</w:t>
            </w:r>
            <w:r>
              <w:rPr>
                <w:rFonts w:ascii="宋体" w:hAnsi="宋体" w:cs="宋体" w:eastAsia="宋体"/>
                <w:sz w:val="20"/>
              </w:rPr>
              <w:t>1个进线孔，配有主机箱位置,配有多项电源插</w:t>
            </w:r>
            <w:r>
              <w:rPr>
                <w:rFonts w:ascii="宋体" w:hAnsi="宋体" w:cs="宋体" w:eastAsia="宋体"/>
                <w:sz w:val="20"/>
              </w:rPr>
              <w:t>孔</w:t>
            </w:r>
            <w:r>
              <w:rPr>
                <w:rFonts w:ascii="宋体" w:hAnsi="宋体" w:cs="宋体" w:eastAsia="宋体"/>
                <w:sz w:val="20"/>
              </w:rPr>
              <w:t>。台面采用一体成型防水板，耐高温，白色</w:t>
            </w:r>
            <w:r>
              <w:rPr>
                <w:rFonts w:ascii="宋体" w:hAnsi="宋体" w:cs="宋体" w:eastAsia="宋体"/>
                <w:sz w:val="20"/>
              </w:rPr>
              <w:t>PVC封边，耐磨，防腐蚀，硬度高。台身整体结构长180CM，宽70CM，高80CM。配有可升降，可旋转，固定扶手式靠背电脑椅。</w:t>
            </w:r>
          </w:p>
        </w:tc>
      </w:tr>
      <w:tr>
        <w:tc>
          <w:tcPr>
            <w:tcW w:type="dxa" w:w="2769"/>
          </w:tcPr>
          <w:p/>
        </w:tc>
        <w:tc>
          <w:tcPr>
            <w:tcW w:type="dxa" w:w="2769"/>
          </w:tcPr>
          <w:p>
            <w:pPr>
              <w:pStyle w:val="null3"/>
            </w:pPr>
            <w:r>
              <w:rPr/>
              <w:t>89</w:t>
            </w:r>
          </w:p>
        </w:tc>
        <w:tc>
          <w:tcPr>
            <w:tcW w:type="dxa" w:w="2769"/>
          </w:tcPr>
          <w:p>
            <w:pPr>
              <w:pStyle w:val="null3"/>
              <w:jc w:val="both"/>
            </w:pPr>
            <w:r>
              <w:rPr>
                <w:rFonts w:ascii="宋体" w:hAnsi="宋体" w:cs="宋体" w:eastAsia="宋体"/>
                <w:sz w:val="20"/>
              </w:rPr>
              <w:t>2.学生电脑桌椅</w:t>
            </w:r>
          </w:p>
          <w:p>
            <w:pPr>
              <w:pStyle w:val="null3"/>
              <w:ind w:firstLine="400"/>
              <w:jc w:val="both"/>
            </w:pPr>
            <w:r>
              <w:rPr>
                <w:rFonts w:ascii="宋体" w:hAnsi="宋体" w:cs="宋体" w:eastAsia="宋体"/>
                <w:sz w:val="20"/>
              </w:rPr>
              <w:t>电脑桌为双人结构，桌面预留键盘位置，留有两个进线孔，配有主机箱位置。台面采用一体成型防水板，耐高温，白色</w:t>
            </w:r>
            <w:r>
              <w:rPr>
                <w:rFonts w:ascii="宋体" w:hAnsi="宋体" w:cs="宋体" w:eastAsia="宋体"/>
                <w:sz w:val="20"/>
              </w:rPr>
              <w:t>PVC封边，耐磨，防腐蚀，硬度高。台身整体结构长150CM，宽50CM，高70CM。每张电脑桌配2</w:t>
            </w:r>
            <w:r>
              <w:rPr>
                <w:rFonts w:ascii="宋体" w:hAnsi="宋体" w:cs="宋体" w:eastAsia="宋体"/>
                <w:sz w:val="20"/>
              </w:rPr>
              <w:t>把</w:t>
            </w:r>
            <w:r>
              <w:rPr>
                <w:rFonts w:ascii="宋体" w:hAnsi="宋体" w:cs="宋体" w:eastAsia="宋体"/>
                <w:sz w:val="20"/>
              </w:rPr>
              <w:t>学生椅。</w:t>
            </w:r>
          </w:p>
        </w:tc>
      </w:tr>
      <w:tr>
        <w:tc>
          <w:tcPr>
            <w:tcW w:type="dxa" w:w="2769"/>
          </w:tcPr>
          <w:p/>
        </w:tc>
        <w:tc>
          <w:tcPr>
            <w:tcW w:type="dxa" w:w="2769"/>
          </w:tcPr>
          <w:p>
            <w:pPr>
              <w:pStyle w:val="null3"/>
            </w:pPr>
            <w:r>
              <w:rPr/>
              <w:t>90</w:t>
            </w:r>
          </w:p>
        </w:tc>
        <w:tc>
          <w:tcPr>
            <w:tcW w:type="dxa" w:w="2769"/>
          </w:tcPr>
          <w:p>
            <w:pPr>
              <w:pStyle w:val="null3"/>
              <w:spacing w:after="150"/>
              <w:jc w:val="center"/>
            </w:pPr>
            <w:r>
              <w:rPr>
                <w:rFonts w:ascii="方正小标宋简体" w:hAnsi="方正小标宋简体" w:cs="方正小标宋简体" w:eastAsia="方正小标宋简体"/>
                <w:sz w:val="28"/>
                <w:b/>
              </w:rPr>
              <w:t>草堂校区计算与语言中心使用教室清单</w:t>
            </w:r>
          </w:p>
          <w:tbl>
            <w:tblPr>
              <w:tblBorders>
                <w:top w:val="none" w:color="000000" w:sz="4"/>
                <w:left w:val="none" w:color="000000" w:sz="4"/>
                <w:bottom w:val="none" w:color="000000" w:sz="4"/>
                <w:right w:val="none" w:color="000000" w:sz="4"/>
                <w:insideH w:val="none"/>
                <w:insideV w:val="none"/>
              </w:tblBorders>
            </w:tblPr>
            <w:tblGrid>
              <w:gridCol w:w="568"/>
              <w:gridCol w:w="687"/>
              <w:gridCol w:w="493"/>
              <w:gridCol w:w="805"/>
            </w:tblGrid>
            <w:tr>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楼名</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房号</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开间</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使用面积</w:t>
                  </w:r>
                </w:p>
                <w:p>
                  <w:pPr>
                    <w:pStyle w:val="null3"/>
                    <w:jc w:val="center"/>
                  </w:pPr>
                  <w:r>
                    <w:rPr>
                      <w:rFonts w:ascii="宋体" w:hAnsi="宋体" w:cs="宋体" w:eastAsia="宋体"/>
                      <w:sz w:val="20"/>
                      <w:b/>
                    </w:rPr>
                    <w:t>（㎡）</w:t>
                  </w:r>
                </w:p>
              </w:tc>
            </w:tr>
            <w:tr>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学府城南区</w:t>
                  </w:r>
                  <w:r>
                    <w:rPr>
                      <w:rFonts w:ascii="宋体" w:hAnsi="宋体" w:cs="宋体" w:eastAsia="宋体"/>
                      <w:sz w:val="20"/>
                    </w:rPr>
                    <w:t>8#</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301</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69.12</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138.24</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303</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28.44</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304</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138.24</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305</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138.24</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307</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28.44</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308</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207.36</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309</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103.68</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310</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103.68</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313</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28.44</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314</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207.36</w:t>
                  </w:r>
                </w:p>
              </w:tc>
            </w:tr>
            <w:tr>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学府城南区</w:t>
                  </w:r>
                  <w:r>
                    <w:rPr>
                      <w:rFonts w:ascii="宋体" w:hAnsi="宋体" w:cs="宋体" w:eastAsia="宋体"/>
                      <w:sz w:val="20"/>
                    </w:rPr>
                    <w:t>13#</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401</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25.92</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77.76</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403</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103.68</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404</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103.68</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405</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103.68</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406</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51.84</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407</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51.84</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409</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103.68</w:t>
                  </w:r>
                </w:p>
              </w:tc>
            </w:tr>
            <w:tr>
              <w:tc>
                <w:tcPr>
                  <w:tcW w:type="dxa" w:w="568"/>
                  <w:vMerge/>
                  <w:tcBorders>
                    <w:top w:val="none" w:color="000000" w:sz="4"/>
                    <w:left w:val="single" w:color="000000" w:sz="4"/>
                    <w:bottom w:val="single" w:color="000000" w:sz="4"/>
                    <w:right w:val="single" w:color="000000" w:sz="4"/>
                  </w:tcBorders>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410</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103.68</w:t>
                  </w:r>
                </w:p>
              </w:tc>
            </w:tr>
            <w:tr>
              <w:tc>
                <w:tcPr>
                  <w:tcW w:type="dxa" w:w="17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宋体" w:hAnsi="宋体" w:cs="宋体" w:eastAsia="宋体"/>
                      <w:sz w:val="24"/>
                      <w:b/>
                    </w:rPr>
                    <w:t>合计</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times new roman, times, serif" w:hAnsi="times new roman, times, serif" w:cs="times new roman, times, serif" w:eastAsia="times new roman, times, serif"/>
                      <w:sz w:val="24"/>
                    </w:rPr>
                    <w:t>1917</w:t>
                  </w:r>
                </w:p>
              </w:tc>
            </w:tr>
          </w:tbl>
          <w:p/>
        </w:tc>
      </w:tr>
    </w:tbl>
    <w:p>
      <w:pPr>
        <w:pStyle w:val="null3"/>
        <w:outlineLvl w:val="2"/>
      </w:pPr>
      <w:r>
        <w:rPr>
          <w:sz w:val="28"/>
          <w:b/>
        </w:rPr>
        <w:t>3.2.3人员配置要求</w:t>
      </w:r>
    </w:p>
    <w:p>
      <w:pPr>
        <w:pStyle w:val="null3"/>
      </w:pPr>
      <w:r>
        <w:rPr/>
        <w:t>采购包1：</w:t>
      </w:r>
    </w:p>
    <w:p>
      <w:pPr>
        <w:pStyle w:val="null3"/>
      </w:pPr>
      <w:r>
        <w:rPr/>
        <w:t>根据采购文件要求执行</w:t>
      </w:r>
    </w:p>
    <w:p>
      <w:pPr>
        <w:pStyle w:val="null3"/>
        <w:outlineLvl w:val="2"/>
      </w:pPr>
      <w:r>
        <w:rPr>
          <w:sz w:val="28"/>
          <w:b/>
        </w:rPr>
        <w:t>3.2.4设施设备要求</w:t>
      </w:r>
    </w:p>
    <w:p>
      <w:pPr>
        <w:pStyle w:val="null3"/>
      </w:pPr>
      <w:r>
        <w:rPr/>
        <w:t>采购包1：</w:t>
      </w:r>
    </w:p>
    <w:p>
      <w:pPr>
        <w:pStyle w:val="null3"/>
      </w:pPr>
      <w:r>
        <w:rPr/>
        <w:t>根据采购文件要求执行</w:t>
      </w:r>
    </w:p>
    <w:p>
      <w:pPr>
        <w:pStyle w:val="null3"/>
        <w:outlineLvl w:val="2"/>
      </w:pPr>
      <w:r>
        <w:rPr>
          <w:sz w:val="28"/>
          <w:b/>
        </w:rPr>
        <w:t>3.2.5其他要求</w:t>
      </w:r>
    </w:p>
    <w:p>
      <w:pPr>
        <w:pStyle w:val="null3"/>
      </w:pPr>
      <w:r>
        <w:rPr/>
        <w:t>采购包1：</w:t>
      </w:r>
    </w:p>
    <w:p>
      <w:pPr>
        <w:pStyle w:val="null3"/>
      </w:pPr>
      <w:r>
        <w:rPr/>
        <w:t>根据采购文件要求执行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2024年9月1日——2027年7月31日</w:t>
      </w:r>
    </w:p>
    <w:p>
      <w:pPr>
        <w:pStyle w:val="null3"/>
        <w:outlineLvl w:val="3"/>
      </w:pPr>
      <w:r>
        <w:rPr>
          <w:sz w:val="24"/>
          <w:b/>
        </w:rPr>
        <w:t>3.3.2服务地点</w:t>
      </w:r>
    </w:p>
    <w:p>
      <w:pPr>
        <w:pStyle w:val="null3"/>
      </w:pPr>
      <w:r>
        <w:rPr/>
        <w:t>采购包1：</w:t>
      </w:r>
    </w:p>
    <w:p>
      <w:pPr>
        <w:pStyle w:val="null3"/>
      </w:pPr>
      <w:r>
        <w:rPr/>
        <w:t>西安建筑科技大学草堂校区学府城8号楼、13号楼</w:t>
      </w:r>
    </w:p>
    <w:p>
      <w:pPr>
        <w:pStyle w:val="null3"/>
        <w:outlineLvl w:val="3"/>
      </w:pPr>
      <w:r>
        <w:rPr>
          <w:sz w:val="24"/>
          <w:b/>
        </w:rPr>
        <w:t>3.3.3考核（验收）标准和方法</w:t>
      </w:r>
    </w:p>
    <w:p>
      <w:pPr>
        <w:pStyle w:val="null3"/>
      </w:pPr>
      <w:r>
        <w:rPr/>
        <w:t>采购包1：</w:t>
      </w:r>
    </w:p>
    <w:p>
      <w:pPr>
        <w:pStyle w:val="null3"/>
      </w:pPr>
      <w:r>
        <w:rPr/>
        <w:t>验收组织单位：由实验室与设备管理处及计算机与大学英语课程具体使用学院及相关教师验收，根据采购文件和合同约定执行。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采购人结算，在付款前必须开具全额增值税专用发票给采购人。每学期初两个月内按照中标价、根据课时量据实结算上学期的机时费。同时，供应商向学校缴纳电费、暖气费、网费等</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采购人结算，在付款前必须开具全额增值税专用发票给采购人。每学期初两个月内按照中标价、根据课时量据实结算上学期的机时费。同时，供应商向学校缴纳电费、暖气费、网费等</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按照招标文件、投标文件及合同约定执行</w:t>
      </w:r>
    </w:p>
    <w:p>
      <w:pPr>
        <w:pStyle w:val="null3"/>
        <w:outlineLvl w:val="2"/>
      </w:pPr>
      <w:r>
        <w:rPr>
          <w:sz w:val="28"/>
          <w:b/>
        </w:rPr>
        <w:t>3.4其他要求</w:t>
      </w:r>
    </w:p>
    <w:p>
      <w:pPr>
        <w:pStyle w:val="null3"/>
      </w:pPr>
      <w:r>
        <w:rPr/>
        <w:t>一、商务要求： 1.服务期限：2024年9月1日——2027年7月31日 2.交付期：从接到中标通知之日起30天内完成，包括方案制作、产品交付、安装调试等。 3.限价要求：最高报价不得超过2元/人时。 4.付款方式：采购人结算，在付款前必须开具全额增值税专用发票给采购人。每学期初两个月内按照中标价、根据课时量据实结算上学期的机时费。同时，供应商向学校缴纳电费、暖气费、网费等。 5.本项目预算为110万元/年，合同期1年，在合同期满前，采购人将对中标人进行考核，根据服务满意程度，采购人有权决定是否续签合同，累计合同履行期限不超过3年。 二、其他要求： 1.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西安市雁塔区科技路30号合力紫郡大厦B座21层第三会议室，若电子投标文件与纸质投标文件不一致的，以电子投标文件为准。 2.若供应商因电子化项目操作系统不熟悉，可在递交纸质文件同时携带电脑及公采签在投标文件递交截止时间前到达西安市雁塔区科技路30号合力紫郡大厦B座21层第三会议室参加开标。</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 2023年6月（含6月）以来至少一个月的纳税证明或完税证明（时间以税款所属日期为准），依法免税的单位应提供相关证明材料</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 2023年6月（含6月）以来至少一个月的社会保障资金缴存单据或社保机构开具的社会保险参保缴费情况证明。依法不需要缴纳社会保障资金的供应商应提供相关文件证明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参加采购活动前 3 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非法定代表人参加投标的，须提供法定代表人委托授权书及被授权人身份证，法定代表人参加投标时,只须提供法定代表人身份证</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供应商应提供中小企业声明函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非联合体投标声明</w:t>
            </w:r>
          </w:p>
        </w:tc>
        <w:tc>
          <w:tcPr>
            <w:tcW w:type="dxa" w:w="3322"/>
          </w:tcPr>
          <w:p>
            <w:pPr>
              <w:pStyle w:val="null3"/>
            </w:pPr>
            <w:r>
              <w:rPr/>
              <w:t>本项目不接受联合体响应</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响应报价未超过采购预算或最高限价(合格)，响应报价超过采购预算或最高限价(不合格)</w:t>
            </w:r>
          </w:p>
        </w:tc>
        <w:tc>
          <w:tcPr>
            <w:tcW w:type="dxa" w:w="1661"/>
          </w:tcPr>
          <w:p>
            <w:pPr>
              <w:pStyle w:val="null3"/>
            </w:pPr>
            <w:r>
              <w:rPr/>
              <w:t>响应文件封面 标的清单 报价表</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服务期限满足竞争性磋商文件要求(合格)，服务期限不满足竞争性磋商文件要求(不合格)</w:t>
            </w:r>
          </w:p>
        </w:tc>
        <w:tc>
          <w:tcPr>
            <w:tcW w:type="dxa" w:w="1661"/>
          </w:tcPr>
          <w:p>
            <w:pPr>
              <w:pStyle w:val="null3"/>
            </w:pPr>
            <w:r>
              <w:rPr/>
              <w:t>响应文件封面 商务应答表</w:t>
            </w:r>
          </w:p>
        </w:tc>
      </w:tr>
      <w:tr>
        <w:tc>
          <w:tcPr>
            <w:tcW w:type="dxa" w:w="831"/>
          </w:tcPr>
          <w:p>
            <w:pPr>
              <w:pStyle w:val="null3"/>
            </w:pPr>
            <w:r>
              <w:rPr/>
              <w:t>4</w:t>
            </w:r>
          </w:p>
        </w:tc>
        <w:tc>
          <w:tcPr>
            <w:tcW w:type="dxa" w:w="2492"/>
          </w:tcPr>
          <w:p>
            <w:pPr>
              <w:pStyle w:val="null3"/>
            </w:pPr>
            <w:r>
              <w:rPr/>
              <w:t>交付期</w:t>
            </w:r>
          </w:p>
        </w:tc>
        <w:tc>
          <w:tcPr>
            <w:tcW w:type="dxa" w:w="3322"/>
          </w:tcPr>
          <w:p>
            <w:pPr>
              <w:pStyle w:val="null3"/>
            </w:pPr>
            <w:r>
              <w:rPr/>
              <w:t>交付期满足竞争性磋商文件最低要求(合格)，交付期不满足竞争性磋商文件最低要求(不合格)</w:t>
            </w:r>
          </w:p>
        </w:tc>
        <w:tc>
          <w:tcPr>
            <w:tcW w:type="dxa" w:w="1661"/>
          </w:tcPr>
          <w:p>
            <w:pPr>
              <w:pStyle w:val="null3"/>
            </w:pPr>
            <w:r>
              <w:rPr/>
              <w:t>响应文件封面 商务应答表</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响应文件的签署、盖章符合竞争性磋商文件要求(合格)，响应文件的签署、盖章不符合竞争性磋商文件要求 (不合格)</w:t>
            </w:r>
          </w:p>
        </w:tc>
        <w:tc>
          <w:tcPr>
            <w:tcW w:type="dxa" w:w="1661"/>
          </w:tcPr>
          <w:p>
            <w:pPr>
              <w:pStyle w:val="null3"/>
            </w:pPr>
            <w:r>
              <w:rPr/>
              <w:t>响应文件封面 中小企业声明函 供应商资格要求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响应文件投标有效期符合竞争性磋商文件要求的(合格)，响应文件无投标有效期或有效期达不到竞争性磋商 文件要求的(不合格)</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供应商按照竞争性磋商文件要求缴纳磋商保证金的(合格)，供应商未按照竞争性磋商文件要求缴纳磋商保证金或磋商保证金缴纳金额少于竞争性磋商文件要求的(不合格)</w:t>
            </w:r>
          </w:p>
        </w:tc>
        <w:tc>
          <w:tcPr>
            <w:tcW w:type="dxa" w:w="1661"/>
          </w:tcPr>
          <w:p>
            <w:pPr>
              <w:pStyle w:val="null3"/>
            </w:pPr>
            <w:r>
              <w:rPr/>
              <w:t>响应文件封面 供应商认为有必要说明的其他问题</w:t>
            </w:r>
          </w:p>
        </w:tc>
      </w:tr>
      <w:tr>
        <w:tc>
          <w:tcPr>
            <w:tcW w:type="dxa" w:w="831"/>
          </w:tcPr>
          <w:p>
            <w:pPr>
              <w:pStyle w:val="null3"/>
            </w:pPr>
            <w:r>
              <w:rPr/>
              <w:t>8</w:t>
            </w:r>
          </w:p>
        </w:tc>
        <w:tc>
          <w:tcPr>
            <w:tcW w:type="dxa" w:w="2492"/>
          </w:tcPr>
          <w:p>
            <w:pPr>
              <w:pStyle w:val="null3"/>
            </w:pPr>
            <w:r>
              <w:rPr/>
              <w:t>响应文件含有采购人不能接受的附加条件的</w:t>
            </w:r>
          </w:p>
        </w:tc>
        <w:tc>
          <w:tcPr>
            <w:tcW w:type="dxa" w:w="3322"/>
          </w:tcPr>
          <w:p>
            <w:pPr>
              <w:pStyle w:val="null3"/>
            </w:pPr>
            <w:r>
              <w:rPr/>
              <w:t>响应文件没有采购人不能接受的附加条件的（合格）响应文件含有采购人不能接受的附加条件的（不合格）</w:t>
            </w:r>
          </w:p>
        </w:tc>
        <w:tc>
          <w:tcPr>
            <w:tcW w:type="dxa" w:w="1661"/>
          </w:tcPr>
          <w:p>
            <w:pPr>
              <w:pStyle w:val="null3"/>
            </w:pPr>
            <w:r>
              <w:rPr/>
              <w:t>响应文件封面 商务应答表</w:t>
            </w:r>
          </w:p>
        </w:tc>
      </w:tr>
      <w:tr>
        <w:tc>
          <w:tcPr>
            <w:tcW w:type="dxa" w:w="831"/>
          </w:tcPr>
          <w:p>
            <w:pPr>
              <w:pStyle w:val="null3"/>
            </w:pPr>
            <w:r>
              <w:rPr/>
              <w:t>9</w:t>
            </w:r>
          </w:p>
        </w:tc>
        <w:tc>
          <w:tcPr>
            <w:tcW w:type="dxa" w:w="2492"/>
          </w:tcPr>
          <w:p>
            <w:pPr>
              <w:pStyle w:val="null3"/>
            </w:pPr>
            <w:r>
              <w:rPr/>
              <w:t>法律、法规和采购文件规定的其他无效情形</w:t>
            </w:r>
          </w:p>
        </w:tc>
        <w:tc>
          <w:tcPr>
            <w:tcW w:type="dxa" w:w="3322"/>
          </w:tcPr>
          <w:p>
            <w:pPr>
              <w:pStyle w:val="null3"/>
            </w:pPr>
            <w:r>
              <w:rPr/>
              <w:t>不存在法律、法规和采购文件规定的其他无效情形（合格），存在法律、法规和采购文件规定的其他无效情形（不合格）</w:t>
            </w:r>
          </w:p>
        </w:tc>
        <w:tc>
          <w:tcPr>
            <w:tcW w:type="dxa" w:w="1661"/>
          </w:tcPr>
          <w:p>
            <w:pPr>
              <w:pStyle w:val="null3"/>
            </w:pPr>
            <w:r>
              <w:rPr/>
              <w:t>响应文件封面 商务应答表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详细评审75.0000分</w:t>
            </w:r>
          </w:p>
          <w:p>
            <w:pPr>
              <w:pStyle w:val="null3"/>
            </w:pPr>
            <w:r>
              <w:rPr/>
              <w:t>报价得分25.0000分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根据供应商提供所投产品的技术需求及参数的响应，经评审专家审定得分。 基本分（20分）：完全符合、响应采购文件要求，没有负偏离的得20分；参数负偏离一项扣1分，扣完为止。 注：技术需求及参数的响应需提供证明材料（包括但不限于产品彩页、测试报告、官网和功能截图等技术支持性文件（资料）），未提供或提供的证明材料低于采购文件规定的响应技术指标、参数时视为负偏离。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服务方案</w:t>
            </w:r>
          </w:p>
        </w:tc>
        <w:tc>
          <w:tcPr>
            <w:tcW w:type="dxa" w:w="2492"/>
          </w:tcPr>
          <w:p>
            <w:pPr>
              <w:pStyle w:val="null3"/>
            </w:pPr>
            <w:r>
              <w:rPr/>
              <w:t>针对本项目提供具体可行的服务方案，包括①实施方案；②拟投入的设施、设备及配置情况；③工作质量、进度控制保障措施：④网络安全防护措施；⑤组织协调内容及措施；⑥安全管理措施；⑦工作重点与难点分析及对应措施。从方案全面性、科学合理性、可操作性等方面综合评价，每提供一项最高得2分，本项最高得14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针对本项目提供具体可行的人员配置方案，包括但不限于①项目实施组织设置、组成人员名单，实施人员岗位职责；②团队人员中具有与本项目服务相关的专业人员证书（包括但不限于学历证、职称证、资质证书等，提供复印件）；③团队人员荣誉奖项，人员工作年限、经验等可以证明自身实力的材料，提供复印件。从人员岗位职责、工作流程、工作规范和标准等方面综合评价，每提供一项最高得3分，本项最高得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人员配备</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根据所提供图形图像设计类兼容机、程序设计类兼容机、英语教学类兼容机、win10及以上操作系统、教学服务器、交换机、计算机教学资源平台、外语语音教学设备的货源渠道的证明文件（包括但不限于销售协议、代理协议、原厂授权等，供应商若为所投产品制造商，视为具有合法来源渠道证明）计分，提供齐全得4分，每缺少一个扣0.5分，扣完为止。</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培训方案</w:t>
            </w:r>
          </w:p>
        </w:tc>
        <w:tc>
          <w:tcPr>
            <w:tcW w:type="dxa" w:w="2492"/>
          </w:tcPr>
          <w:p>
            <w:pPr>
              <w:pStyle w:val="null3"/>
            </w:pPr>
            <w:r>
              <w:rPr/>
              <w:t>根据供应商针对本项目基本情况拟定培训方案，包括但不限于①培训目标和计划；②培训时间、地点和进度安排；③培训内容、方法和形式；④培训总结、评估和档案管理。根据培训安排设计科学可行的培训计划，全面、合理、规范，可操作性综合评价，每提供一项最高得2分，本项最高得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内控管理制度</w:t>
            </w:r>
          </w:p>
        </w:tc>
        <w:tc>
          <w:tcPr>
            <w:tcW w:type="dxa" w:w="2492"/>
          </w:tcPr>
          <w:p>
            <w:pPr>
              <w:pStyle w:val="null3"/>
            </w:pPr>
            <w:r>
              <w:rPr/>
              <w:t>供应商具有良好的内控管理制度，包括但不限于①管理制度，②工作流程，③考核制度，④档案管理制度： 根据供应商内控管理制度全面，合理、有效综合评价，每提供一项最高得1分，本项最高得4分。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内控管理制度</w:t>
            </w:r>
          </w:p>
        </w:tc>
      </w:tr>
      <w:tr>
        <w:tc>
          <w:tcPr>
            <w:tcW w:type="dxa" w:w="831"/>
            <w:vMerge/>
          </w:tcPr>
          <w:p/>
        </w:tc>
        <w:tc>
          <w:tcPr>
            <w:tcW w:type="dxa" w:w="1661"/>
          </w:tcPr>
          <w:p>
            <w:pPr>
              <w:pStyle w:val="null3"/>
            </w:pPr>
            <w:r>
              <w:rPr/>
              <w:t>服务承诺</w:t>
            </w:r>
          </w:p>
        </w:tc>
        <w:tc>
          <w:tcPr>
            <w:tcW w:type="dxa" w:w="2492"/>
          </w:tcPr>
          <w:p>
            <w:pPr>
              <w:pStyle w:val="null3"/>
            </w:pPr>
            <w:r>
              <w:rPr/>
              <w:t>针对本项目提供具体可行的服务承诺及合理化建议，包括但不限于①服务承诺和保证措施；②服务响应时限、人员到位、安全保障、不能完全履行承诺时愿意接受相关处罚等以及其他服务的承诺；③有利于本项目实施的合理化建议；④故障处理响应时间安排计划；⑤质量保证期限及质量保证的范围承诺；⑥应急预案。 根据供应商承诺完善性、可实施性、针对性进行综合评价，每提供一项最高得1分，本项最高得6分。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增值服务</w:t>
            </w:r>
          </w:p>
        </w:tc>
        <w:tc>
          <w:tcPr>
            <w:tcW w:type="dxa" w:w="2492"/>
          </w:tcPr>
          <w:p>
            <w:pPr>
              <w:pStyle w:val="null3"/>
            </w:pPr>
            <w:r>
              <w:rPr/>
              <w:t>根据供应商提供的切实可行的增值服务，每提供一项最高得1分，满分4分。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增值服务</w:t>
            </w:r>
          </w:p>
        </w:tc>
      </w:tr>
      <w:tr>
        <w:tc>
          <w:tcPr>
            <w:tcW w:type="dxa" w:w="831"/>
            <w:vMerge/>
          </w:tcPr>
          <w:p/>
        </w:tc>
        <w:tc>
          <w:tcPr>
            <w:tcW w:type="dxa" w:w="1661"/>
          </w:tcPr>
          <w:p>
            <w:pPr>
              <w:pStyle w:val="null3"/>
            </w:pPr>
            <w:r>
              <w:rPr/>
              <w:t>节能环保</w:t>
            </w:r>
          </w:p>
        </w:tc>
        <w:tc>
          <w:tcPr>
            <w:tcW w:type="dxa" w:w="2492"/>
          </w:tcPr>
          <w:p>
            <w:pPr>
              <w:pStyle w:val="null3"/>
            </w:pPr>
            <w:r>
              <w:rPr/>
              <w:t>供应商所投产品中每有一项经国家认证机构认定为节能产品的得0.5分，每有一项为环境标志产品的得0.5分，供应商所投产品中每有一项产品即为节能产品又是环境标志产品得1分，最多得1分。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供应商提供自2021年1月1日以来类似业绩（提供合同复印件并加盖公章，至少包含合同首页、内容页和盖章页），每提供一项合同的得1分，最高得5分。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经初审合格的响应文件，其响应报价为有效响应报价。（按预估55万人时统一计算进行报价） 评标基准价：即满足采购文件要求且响应价格最低的响应报价为评标基准价。 其他供应商的价格分统一按照下列公式计算。响应报价得分=(评标基准价／响应报价)×25</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详见附件：服务承诺</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详见附件：节能环保</w:t>
      </w:r>
    </w:p>
    <w:p>
      <w:pPr>
        <w:pStyle w:val="null3"/>
        <w:ind w:firstLine="960"/>
      </w:pPr>
      <w:r>
        <w:rPr/>
        <w:t>详见附件：内控管理制度</w:t>
      </w:r>
    </w:p>
    <w:p>
      <w:pPr>
        <w:pStyle w:val="null3"/>
        <w:ind w:firstLine="960"/>
      </w:pPr>
      <w:r>
        <w:rPr/>
        <w:t>详见附件：培训方案</w:t>
      </w:r>
    </w:p>
    <w:p>
      <w:pPr>
        <w:pStyle w:val="null3"/>
        <w:ind w:firstLine="960"/>
      </w:pPr>
      <w:r>
        <w:rPr/>
        <w:t>详见附件：人员配备</w:t>
      </w:r>
    </w:p>
    <w:p>
      <w:pPr>
        <w:pStyle w:val="null3"/>
        <w:ind w:firstLine="960"/>
      </w:pPr>
      <w:r>
        <w:rPr/>
        <w:t>详见附件：业绩一览表</w:t>
      </w:r>
    </w:p>
    <w:p>
      <w:pPr>
        <w:pStyle w:val="null3"/>
        <w:ind w:firstLine="960"/>
      </w:pPr>
      <w:r>
        <w:rPr/>
        <w:t>详见附件：增值服务</w:t>
      </w:r>
    </w:p>
    <w:p>
      <w:pPr>
        <w:pStyle w:val="null3"/>
        <w:ind w:firstLine="960"/>
      </w:pPr>
      <w:r>
        <w:rPr/>
        <w:t>详见附件：质量保证</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