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方正小标宋简体" w:hAnsi="宋体" w:eastAsia="方正小标宋简体"/>
          <w:b/>
          <w:sz w:val="36"/>
          <w:szCs w:val="36"/>
        </w:rPr>
      </w:pPr>
      <w:r>
        <w:rPr>
          <w:rFonts w:hint="eastAsia" w:ascii="方正小标宋简体" w:hAnsi="宋体" w:eastAsia="方正小标宋简体"/>
          <w:b/>
          <w:sz w:val="36"/>
          <w:szCs w:val="36"/>
        </w:rPr>
        <w:t>西安建筑科技大学</w:t>
      </w:r>
    </w:p>
    <w:p>
      <w:pPr>
        <w:spacing w:line="480" w:lineRule="exact"/>
        <w:jc w:val="center"/>
        <w:rPr>
          <w:rFonts w:hint="eastAsia" w:ascii="方正小标宋简体" w:hAnsi="宋体" w:eastAsia="方正小标宋简体"/>
          <w:b/>
          <w:sz w:val="36"/>
          <w:szCs w:val="36"/>
        </w:rPr>
      </w:pPr>
      <w:r>
        <w:rPr>
          <w:rFonts w:hint="eastAsia" w:ascii="方正小标宋简体" w:hAnsi="宋体" w:eastAsia="方正小标宋简体"/>
          <w:b/>
          <w:sz w:val="36"/>
          <w:szCs w:val="36"/>
        </w:rPr>
        <w:t>草堂校区计算与语言中心教学服务承包项目</w:t>
      </w:r>
    </w:p>
    <w:p>
      <w:pPr>
        <w:spacing w:line="460" w:lineRule="exact"/>
        <w:ind w:firstLine="420" w:firstLineChars="200"/>
        <w:rPr>
          <w:rFonts w:hint="eastAsia" w:ascii="宋体" w:hAnsi="宋体"/>
          <w:szCs w:val="21"/>
        </w:rPr>
      </w:pPr>
      <w:r>
        <w:rPr>
          <w:rFonts w:hint="eastAsia" w:ascii="宋体" w:hAnsi="宋体"/>
          <w:szCs w:val="21"/>
        </w:rPr>
        <w:t>甲方：西安建筑科技大学</w:t>
      </w:r>
    </w:p>
    <w:p>
      <w:pPr>
        <w:spacing w:line="460" w:lineRule="exact"/>
        <w:ind w:firstLine="420" w:firstLineChars="200"/>
        <w:rPr>
          <w:rFonts w:hint="eastAsia" w:ascii="宋体" w:hAnsi="宋体"/>
          <w:szCs w:val="21"/>
        </w:rPr>
      </w:pPr>
      <w:r>
        <w:rPr>
          <w:rFonts w:hint="eastAsia" w:ascii="宋体" w:hAnsi="宋体"/>
          <w:szCs w:val="21"/>
        </w:rPr>
        <w:t>乙方：</w:t>
      </w:r>
    </w:p>
    <w:p>
      <w:pPr>
        <w:spacing w:line="460" w:lineRule="exact"/>
        <w:ind w:firstLine="420" w:firstLineChars="200"/>
        <w:rPr>
          <w:rFonts w:ascii="宋体" w:hAnsi="宋体"/>
          <w:szCs w:val="21"/>
        </w:rPr>
      </w:pPr>
      <w:r>
        <w:rPr>
          <w:rFonts w:hint="eastAsia" w:ascii="宋体" w:hAnsi="宋体"/>
          <w:szCs w:val="21"/>
        </w:rPr>
        <w:t>依据《中华人民共和国民法典》、《中华人民共和国政府采购法》与项目行业有关的法律法规，以及西安建筑科技大学草堂校区计算与语言中心教学服务承包项目（政府采购项目编号：ZMZB2024XJD-152）的《磋商文件》，乙方的《响应文件》及《成交通知书》，经甲、乙双方平等协商，同意签订本合同。</w:t>
      </w:r>
    </w:p>
    <w:p>
      <w:pPr>
        <w:spacing w:line="460" w:lineRule="exact"/>
        <w:ind w:firstLine="413" w:firstLineChars="196"/>
        <w:rPr>
          <w:rFonts w:ascii="宋体" w:hAnsi="宋体"/>
          <w:b/>
          <w:szCs w:val="21"/>
        </w:rPr>
      </w:pPr>
      <w:r>
        <w:rPr>
          <w:rFonts w:hint="eastAsia" w:ascii="宋体" w:hAnsi="宋体"/>
          <w:b/>
          <w:szCs w:val="21"/>
        </w:rPr>
        <w:t>一、合同内容</w:t>
      </w:r>
    </w:p>
    <w:p>
      <w:pPr>
        <w:spacing w:line="460" w:lineRule="exact"/>
        <w:ind w:firstLine="420" w:firstLineChars="200"/>
        <w:rPr>
          <w:rFonts w:hint="eastAsia" w:ascii="宋体" w:hAnsi="宋体"/>
          <w:szCs w:val="21"/>
        </w:rPr>
      </w:pPr>
      <w:r>
        <w:rPr>
          <w:rFonts w:hint="eastAsia" w:ascii="宋体" w:hAnsi="宋体"/>
          <w:szCs w:val="21"/>
        </w:rPr>
        <w:t>甲方在西安建筑科技大学草堂校区提供教室等设施，乙方出资购置、安装符合甲方教学需求的计算与语言教学设备及配套设施，共同建设计算与语言中心，以保证西安建筑科技大学计算与语言教学的开展。</w:t>
      </w:r>
    </w:p>
    <w:p>
      <w:pPr>
        <w:spacing w:line="460" w:lineRule="exact"/>
        <w:ind w:firstLine="420" w:firstLineChars="200"/>
        <w:rPr>
          <w:rFonts w:hint="eastAsia" w:ascii="宋体" w:hAnsi="宋体"/>
          <w:szCs w:val="21"/>
        </w:rPr>
      </w:pPr>
      <w:r>
        <w:rPr>
          <w:rFonts w:hint="eastAsia" w:ascii="宋体" w:hAnsi="宋体"/>
          <w:szCs w:val="21"/>
        </w:rPr>
        <w:t>乙方按本合同中确定的设备名称、型号与规格、产地、数量及配套设施，按时购置运抵甲方指定地点，并负责安装调试，达到正常使用（详细配置见附件1）。乙方负责为甲方培训授课教师及相关操作人员，负责仪器设备的日常管理和维护并做好教学服务工作。甲、乙双方完成合同明确规定的责任和义务后，按合同要求收取和缴纳相关费用。</w:t>
      </w:r>
    </w:p>
    <w:p>
      <w:pPr>
        <w:spacing w:line="460" w:lineRule="exact"/>
        <w:ind w:firstLine="413" w:firstLineChars="196"/>
        <w:rPr>
          <w:rFonts w:hint="eastAsia" w:ascii="宋体" w:hAnsi="宋体"/>
          <w:b/>
          <w:szCs w:val="21"/>
        </w:rPr>
      </w:pPr>
      <w:r>
        <w:rPr>
          <w:rFonts w:hint="eastAsia" w:ascii="宋体" w:hAnsi="宋体"/>
          <w:b/>
          <w:szCs w:val="21"/>
        </w:rPr>
        <w:t>二、双方投入</w:t>
      </w:r>
    </w:p>
    <w:p>
      <w:pPr>
        <w:spacing w:line="460" w:lineRule="exact"/>
        <w:ind w:firstLine="413" w:firstLineChars="196"/>
        <w:rPr>
          <w:rFonts w:hint="eastAsia" w:ascii="宋体" w:hAnsi="宋体"/>
          <w:b/>
          <w:szCs w:val="21"/>
        </w:rPr>
      </w:pPr>
      <w:r>
        <w:rPr>
          <w:rFonts w:hint="eastAsia" w:ascii="宋体" w:hAnsi="宋体"/>
          <w:b/>
          <w:szCs w:val="21"/>
        </w:rPr>
        <w:t>（一）甲方提供</w:t>
      </w:r>
    </w:p>
    <w:p>
      <w:pPr>
        <w:spacing w:line="460" w:lineRule="exact"/>
        <w:ind w:firstLine="420" w:firstLineChars="200"/>
        <w:rPr>
          <w:rFonts w:hint="eastAsia" w:ascii="宋体" w:hAnsi="宋体"/>
          <w:szCs w:val="21"/>
        </w:rPr>
      </w:pPr>
      <w:r>
        <w:rPr>
          <w:rFonts w:hint="eastAsia" w:ascii="宋体" w:hAnsi="宋体"/>
          <w:szCs w:val="21"/>
        </w:rPr>
        <w:t>1.草堂校区学府城南区13号楼四层、8号楼三层相应教室（见附件2）。</w:t>
      </w:r>
    </w:p>
    <w:p>
      <w:pPr>
        <w:spacing w:line="460" w:lineRule="exact"/>
        <w:ind w:firstLine="420" w:firstLineChars="200"/>
        <w:rPr>
          <w:rFonts w:hint="eastAsia" w:ascii="宋体" w:hAnsi="宋体"/>
          <w:szCs w:val="21"/>
        </w:rPr>
      </w:pPr>
      <w:r>
        <w:rPr>
          <w:rFonts w:hint="eastAsia" w:ascii="宋体" w:hAnsi="宋体"/>
          <w:szCs w:val="21"/>
        </w:rPr>
        <w:t>2.教室内及楼道的基本照明设施。</w:t>
      </w:r>
    </w:p>
    <w:p>
      <w:pPr>
        <w:spacing w:line="460" w:lineRule="exact"/>
        <w:ind w:firstLine="420" w:firstLineChars="200"/>
        <w:rPr>
          <w:rFonts w:hint="eastAsia" w:ascii="宋体" w:hAnsi="宋体"/>
          <w:szCs w:val="21"/>
        </w:rPr>
      </w:pPr>
      <w:r>
        <w:rPr>
          <w:rFonts w:hint="eastAsia" w:ascii="宋体" w:hAnsi="宋体"/>
          <w:szCs w:val="21"/>
        </w:rPr>
        <w:t>3.接入校园网的条件。</w:t>
      </w:r>
    </w:p>
    <w:p>
      <w:pPr>
        <w:spacing w:line="460" w:lineRule="exact"/>
        <w:ind w:firstLine="420" w:firstLineChars="200"/>
        <w:rPr>
          <w:rFonts w:hint="eastAsia" w:ascii="宋体" w:hAnsi="宋体"/>
          <w:szCs w:val="21"/>
        </w:rPr>
      </w:pPr>
      <w:r>
        <w:rPr>
          <w:rFonts w:hint="eastAsia" w:ascii="宋体" w:hAnsi="宋体"/>
          <w:szCs w:val="21"/>
        </w:rPr>
        <w:t>4.做好水、电、暖等的后勤保障。</w:t>
      </w:r>
    </w:p>
    <w:p>
      <w:pPr>
        <w:spacing w:line="460" w:lineRule="exact"/>
        <w:ind w:firstLine="413" w:firstLineChars="196"/>
        <w:rPr>
          <w:rFonts w:hint="eastAsia" w:ascii="宋体" w:hAnsi="宋体"/>
          <w:b/>
          <w:szCs w:val="21"/>
        </w:rPr>
      </w:pPr>
      <w:r>
        <w:rPr>
          <w:rFonts w:hint="eastAsia" w:ascii="宋体" w:hAnsi="宋体"/>
          <w:b/>
          <w:szCs w:val="21"/>
        </w:rPr>
        <w:t>（二）乙方投入</w:t>
      </w:r>
    </w:p>
    <w:p>
      <w:pPr>
        <w:spacing w:line="460" w:lineRule="exact"/>
        <w:ind w:firstLine="420" w:firstLineChars="200"/>
        <w:rPr>
          <w:rFonts w:hint="eastAsia" w:ascii="宋体" w:hAnsi="宋体"/>
          <w:szCs w:val="21"/>
        </w:rPr>
      </w:pPr>
      <w:r>
        <w:rPr>
          <w:rFonts w:hint="eastAsia" w:ascii="宋体" w:hAnsi="宋体"/>
          <w:szCs w:val="21"/>
        </w:rPr>
        <w:t>1.满足甲方计算机和大学外语教学用的教学设备及配套设施，并安装调试到位。</w:t>
      </w:r>
    </w:p>
    <w:p>
      <w:pPr>
        <w:spacing w:line="460" w:lineRule="exact"/>
        <w:ind w:firstLine="420" w:firstLineChars="200"/>
        <w:rPr>
          <w:rFonts w:hint="eastAsia" w:ascii="宋体" w:hAnsi="宋体"/>
          <w:szCs w:val="21"/>
        </w:rPr>
      </w:pPr>
      <w:r>
        <w:rPr>
          <w:rFonts w:hint="eastAsia" w:ascii="宋体" w:hAnsi="宋体"/>
          <w:szCs w:val="21"/>
        </w:rPr>
        <w:t>2.按时交纳甲方的电费、采暖费、移动宽带网费等费用。</w:t>
      </w:r>
    </w:p>
    <w:p>
      <w:pPr>
        <w:spacing w:line="460" w:lineRule="exact"/>
        <w:ind w:firstLine="420" w:firstLineChars="200"/>
        <w:rPr>
          <w:rFonts w:hint="eastAsia" w:ascii="宋体" w:hAnsi="宋体"/>
          <w:szCs w:val="21"/>
        </w:rPr>
      </w:pPr>
      <w:r>
        <w:rPr>
          <w:rFonts w:hint="eastAsia" w:ascii="宋体" w:hAnsi="宋体"/>
          <w:szCs w:val="21"/>
        </w:rPr>
        <w:t>3.安排人员24小时值班，以确保教学设备的安全及教学活动的正常开展。</w:t>
      </w:r>
    </w:p>
    <w:p>
      <w:pPr>
        <w:spacing w:line="460" w:lineRule="exact"/>
        <w:ind w:firstLine="413" w:firstLineChars="196"/>
        <w:rPr>
          <w:rFonts w:hint="eastAsia" w:ascii="宋体" w:hAnsi="宋体"/>
          <w:b/>
          <w:szCs w:val="21"/>
        </w:rPr>
      </w:pPr>
      <w:r>
        <w:rPr>
          <w:rFonts w:hint="eastAsia" w:ascii="宋体" w:hAnsi="宋体"/>
          <w:b/>
          <w:szCs w:val="21"/>
        </w:rPr>
        <w:t>三、双方责任</w:t>
      </w:r>
    </w:p>
    <w:p>
      <w:pPr>
        <w:spacing w:line="460" w:lineRule="exact"/>
        <w:ind w:firstLine="413" w:firstLineChars="196"/>
        <w:rPr>
          <w:rFonts w:hint="eastAsia" w:ascii="宋体" w:hAnsi="宋体"/>
          <w:b/>
          <w:szCs w:val="21"/>
        </w:rPr>
      </w:pPr>
      <w:r>
        <w:rPr>
          <w:rFonts w:hint="eastAsia" w:ascii="宋体" w:hAnsi="宋体"/>
          <w:b/>
          <w:szCs w:val="21"/>
        </w:rPr>
        <w:t>（一）甲方责任</w:t>
      </w:r>
    </w:p>
    <w:p>
      <w:pPr>
        <w:spacing w:line="460" w:lineRule="exact"/>
        <w:ind w:firstLine="420" w:firstLineChars="200"/>
        <w:rPr>
          <w:rFonts w:hint="eastAsia" w:ascii="宋体" w:hAnsi="宋体"/>
          <w:szCs w:val="21"/>
        </w:rPr>
      </w:pPr>
      <w:r>
        <w:rPr>
          <w:rFonts w:hint="eastAsia" w:ascii="宋体" w:hAnsi="宋体"/>
          <w:szCs w:val="21"/>
        </w:rPr>
        <w:t>1.对乙方的所有活动进行指导、监督、检查。</w:t>
      </w:r>
    </w:p>
    <w:p>
      <w:pPr>
        <w:spacing w:line="460" w:lineRule="exact"/>
        <w:ind w:firstLine="420" w:firstLineChars="200"/>
        <w:rPr>
          <w:rFonts w:hint="eastAsia" w:ascii="宋体" w:hAnsi="宋体"/>
          <w:szCs w:val="21"/>
        </w:rPr>
      </w:pPr>
      <w:r>
        <w:rPr>
          <w:rFonts w:hint="eastAsia" w:ascii="宋体" w:hAnsi="宋体"/>
          <w:szCs w:val="21"/>
        </w:rPr>
        <w:t>2.安装预付费电表，保障工作区域电力供应。</w:t>
      </w:r>
    </w:p>
    <w:p>
      <w:pPr>
        <w:spacing w:line="460" w:lineRule="exact"/>
        <w:ind w:firstLine="420" w:firstLineChars="200"/>
        <w:rPr>
          <w:rFonts w:hint="eastAsia" w:ascii="宋体" w:hAnsi="宋体"/>
          <w:szCs w:val="21"/>
        </w:rPr>
      </w:pPr>
      <w:r>
        <w:rPr>
          <w:rFonts w:hint="eastAsia" w:ascii="宋体" w:hAnsi="宋体"/>
          <w:szCs w:val="21"/>
        </w:rPr>
        <w:t>3.加强对学校师生员工的安全意识教育。</w:t>
      </w:r>
    </w:p>
    <w:p>
      <w:pPr>
        <w:spacing w:line="460" w:lineRule="exact"/>
        <w:ind w:firstLine="420" w:firstLineChars="200"/>
        <w:rPr>
          <w:rFonts w:hint="eastAsia" w:ascii="宋体" w:hAnsi="宋体"/>
          <w:szCs w:val="21"/>
        </w:rPr>
      </w:pPr>
      <w:r>
        <w:rPr>
          <w:rFonts w:hint="eastAsia" w:ascii="宋体" w:hAnsi="宋体"/>
          <w:szCs w:val="21"/>
        </w:rPr>
        <w:t>4.负责协调乙方在教学过程中与学校内部相关单位之间的关系。</w:t>
      </w:r>
    </w:p>
    <w:p>
      <w:pPr>
        <w:spacing w:line="460" w:lineRule="exact"/>
        <w:ind w:firstLine="420" w:firstLineChars="200"/>
        <w:rPr>
          <w:rFonts w:hint="eastAsia" w:ascii="宋体" w:hAnsi="宋体"/>
          <w:szCs w:val="21"/>
        </w:rPr>
      </w:pPr>
      <w:r>
        <w:rPr>
          <w:rFonts w:hint="eastAsia" w:ascii="宋体" w:hAnsi="宋体"/>
          <w:szCs w:val="21"/>
        </w:rPr>
        <w:t>5.按教学计划安排任课老师到计算与语言中心预约登记，并将需安装使用的教学软件提前告知中心工作人员。</w:t>
      </w:r>
    </w:p>
    <w:p>
      <w:pPr>
        <w:spacing w:line="460" w:lineRule="exact"/>
        <w:ind w:firstLine="420" w:firstLineChars="200"/>
        <w:rPr>
          <w:rFonts w:hint="eastAsia" w:ascii="宋体" w:hAnsi="宋体"/>
          <w:szCs w:val="21"/>
        </w:rPr>
      </w:pPr>
      <w:r>
        <w:rPr>
          <w:rFonts w:hint="eastAsia" w:ascii="宋体" w:hAnsi="宋体"/>
          <w:szCs w:val="21"/>
        </w:rPr>
        <w:t>6.</w:t>
      </w:r>
      <w:r>
        <w:rPr>
          <w:rFonts w:hint="eastAsia" w:ascii="宋体" w:hAnsi="宋体"/>
          <w:color w:val="000000"/>
          <w:szCs w:val="21"/>
        </w:rPr>
        <w:t>每学期初两个月内结算乙方上学期的机时费。</w:t>
      </w:r>
      <w:r>
        <w:rPr>
          <w:rFonts w:hint="eastAsia" w:ascii="宋体" w:hAnsi="宋体"/>
          <w:szCs w:val="21"/>
        </w:rPr>
        <w:t>甲方根据课时量据实结算，每人时费用为</w:t>
      </w:r>
      <w:r>
        <w:rPr>
          <w:rFonts w:hint="eastAsia" w:ascii="宋体" w:hAnsi="宋体"/>
          <w:szCs w:val="21"/>
          <w:lang w:val="en-US" w:eastAsia="zh-CN"/>
        </w:rPr>
        <w:t xml:space="preserve">   </w:t>
      </w:r>
      <w:r>
        <w:rPr>
          <w:rFonts w:hint="eastAsia" w:ascii="宋体" w:hAnsi="宋体"/>
          <w:szCs w:val="21"/>
        </w:rPr>
        <w:t>元。甲方向乙方支付的机时费优先以校内结算方式用于支付乙方需向甲方支付的电费、采暖费、宽带网费等，结余部分甲方以向乙方财务账户转账的方式支付，同时乙方出具与此部分相应的正式发票。</w:t>
      </w:r>
    </w:p>
    <w:p>
      <w:pPr>
        <w:spacing w:line="460" w:lineRule="exact"/>
        <w:ind w:firstLine="413" w:firstLineChars="196"/>
        <w:rPr>
          <w:rFonts w:hint="eastAsia" w:ascii="宋体" w:hAnsi="宋体"/>
          <w:b/>
          <w:szCs w:val="21"/>
        </w:rPr>
      </w:pPr>
      <w:r>
        <w:rPr>
          <w:rFonts w:hint="eastAsia" w:ascii="宋体" w:hAnsi="宋体"/>
          <w:b/>
          <w:szCs w:val="21"/>
        </w:rPr>
        <w:t>（二）乙方责任</w:t>
      </w:r>
    </w:p>
    <w:p>
      <w:pPr>
        <w:spacing w:line="460" w:lineRule="exact"/>
        <w:ind w:firstLine="420" w:firstLineChars="200"/>
        <w:rPr>
          <w:rFonts w:hint="eastAsia" w:ascii="宋体" w:hAnsi="宋体"/>
          <w:szCs w:val="21"/>
        </w:rPr>
      </w:pPr>
      <w:r>
        <w:rPr>
          <w:rFonts w:hint="eastAsia" w:ascii="宋体" w:hAnsi="宋体"/>
          <w:szCs w:val="21"/>
        </w:rPr>
        <w:t>1.202</w:t>
      </w:r>
      <w:r>
        <w:rPr>
          <w:rFonts w:hint="eastAsia" w:ascii="宋体" w:hAnsi="宋体"/>
          <w:szCs w:val="21"/>
          <w:lang w:val="en-US" w:eastAsia="zh-CN"/>
        </w:rPr>
        <w:t>4</w:t>
      </w:r>
      <w:r>
        <w:rPr>
          <w:rFonts w:hint="eastAsia" w:ascii="宋体" w:hAnsi="宋体"/>
          <w:szCs w:val="21"/>
        </w:rPr>
        <w:t>年</w:t>
      </w:r>
      <w:r>
        <w:rPr>
          <w:rFonts w:hint="eastAsia" w:ascii="宋体" w:hAnsi="宋体"/>
          <w:szCs w:val="21"/>
          <w:lang w:val="en-US" w:eastAsia="zh-CN"/>
        </w:rPr>
        <w:t xml:space="preserve">  </w:t>
      </w:r>
      <w:r>
        <w:rPr>
          <w:rFonts w:hint="eastAsia" w:ascii="宋体" w:hAnsi="宋体"/>
          <w:szCs w:val="21"/>
        </w:rPr>
        <w:t>月</w:t>
      </w:r>
      <w:r>
        <w:rPr>
          <w:rFonts w:hint="eastAsia" w:ascii="宋体" w:hAnsi="宋体"/>
          <w:szCs w:val="21"/>
          <w:lang w:val="en-US" w:eastAsia="zh-CN"/>
        </w:rPr>
        <w:t xml:space="preserve">  </w:t>
      </w:r>
      <w:r>
        <w:rPr>
          <w:rFonts w:hint="eastAsia" w:ascii="宋体" w:hAnsi="宋体"/>
          <w:szCs w:val="21"/>
        </w:rPr>
        <w:t>日前向甲方交纳</w:t>
      </w:r>
      <w:r>
        <w:rPr>
          <w:rFonts w:hint="eastAsia" w:ascii="宋体" w:hAnsi="宋体"/>
          <w:szCs w:val="21"/>
          <w:lang w:val="en-US" w:eastAsia="zh-CN"/>
        </w:rPr>
        <w:t xml:space="preserve">     </w:t>
      </w:r>
      <w:r>
        <w:rPr>
          <w:rFonts w:hint="eastAsia" w:ascii="宋体" w:hAnsi="宋体"/>
          <w:szCs w:val="21"/>
        </w:rPr>
        <w:t>元整作为本合同的履约保证金，待合同履约完毕后无息退还。</w:t>
      </w:r>
    </w:p>
    <w:p>
      <w:pPr>
        <w:spacing w:line="460" w:lineRule="exact"/>
        <w:ind w:firstLine="420" w:firstLineChars="200"/>
        <w:rPr>
          <w:rFonts w:hint="eastAsia" w:ascii="宋体" w:hAnsi="宋体"/>
          <w:szCs w:val="21"/>
        </w:rPr>
      </w:pPr>
      <w:r>
        <w:rPr>
          <w:rFonts w:hint="eastAsia" w:ascii="宋体" w:hAnsi="宋体"/>
          <w:szCs w:val="21"/>
        </w:rPr>
        <w:t>2.确保计算机及语言教学质量，在计算机硬件基础上，增加相应的软件和硬件，以满足语言教学要求。能够随教材的更换及时升级或更换计算机，确保学校教学实验活动的顺利实施。</w:t>
      </w:r>
    </w:p>
    <w:p>
      <w:pPr>
        <w:spacing w:line="460" w:lineRule="exact"/>
        <w:ind w:firstLine="420" w:firstLineChars="200"/>
        <w:rPr>
          <w:rFonts w:hint="eastAsia" w:ascii="宋体" w:hAnsi="宋体"/>
          <w:szCs w:val="21"/>
        </w:rPr>
      </w:pPr>
      <w:r>
        <w:rPr>
          <w:rFonts w:hint="eastAsia" w:ascii="宋体" w:hAnsi="宋体"/>
          <w:szCs w:val="21"/>
        </w:rPr>
        <w:t>3.服从甲方监督管理，保障学校计算机及语言教学工作的顺利开展，依规开展经过学校批准的面向我校在校生的相关计算机类培训活动，开展面向我校在校生的计算机上网学习（严禁打游戏）服务，严禁用于上述活动以外的其他任何用途。不得在机房走廊、墙上等位置张贴、悬挂培训宣传信息，不得经营饮料、矿泉水、面包等零食以及其他任何商品，不得允许并须采取有效措施制止学生在机房抽烟。</w:t>
      </w:r>
    </w:p>
    <w:p>
      <w:pPr>
        <w:spacing w:line="460" w:lineRule="exact"/>
        <w:ind w:firstLine="420" w:firstLineChars="200"/>
        <w:rPr>
          <w:rFonts w:hint="eastAsia" w:ascii="宋体" w:hAnsi="宋体"/>
          <w:szCs w:val="21"/>
        </w:rPr>
      </w:pPr>
      <w:r>
        <w:rPr>
          <w:rFonts w:hint="eastAsia" w:ascii="宋体" w:hAnsi="宋体"/>
          <w:szCs w:val="21"/>
        </w:rPr>
        <w:t>4.乙方可使用甲方为机房教室安装的监控设备，并根据实际情况完善技防设施。乙方全面负责承包机房网络安全与日常运行安全管理；按国家及学校有关计算机网络管理的法律法规、规章制度等合法合规经营，确保网络安全；对在机房上网（严禁打游戏）的学生加强网络监管，采取追踪、定点及过滤等有效手段，保证不会从局域网内向外网发布不良信息，严禁出现网络色情、反党、反社会以及对学校不良宣传的信息言论；严禁设立论坛。设置专门的安全管理人员，“人防、物防、技防”到位。负责使用房间内用电安全，定期检查电路，设备等。接受甲方的监督和检查，确保绝对不能出现火灾等安全事故。若因乙方原因发生违法、违规事件，由乙方承担全部责任，甲方保留进一步追究乙方责任的权利。</w:t>
      </w:r>
    </w:p>
    <w:p>
      <w:pPr>
        <w:spacing w:line="460" w:lineRule="exact"/>
        <w:ind w:firstLine="420" w:firstLineChars="200"/>
        <w:rPr>
          <w:rFonts w:hint="eastAsia" w:ascii="宋体" w:hAnsi="宋体"/>
          <w:szCs w:val="21"/>
        </w:rPr>
      </w:pPr>
      <w:r>
        <w:rPr>
          <w:rFonts w:hint="eastAsia" w:ascii="宋体" w:hAnsi="宋体"/>
          <w:szCs w:val="21"/>
        </w:rPr>
        <w:t>5.配备管理、技术人员管理各个教室。学校寒暑假期间不开放，教学周内经营时间为每天8：00--22：00，不允许开夜机，不允许在规定时间以外开放机房。严禁将机房转交第三方经营。</w:t>
      </w:r>
    </w:p>
    <w:p>
      <w:pPr>
        <w:spacing w:line="460" w:lineRule="exact"/>
        <w:ind w:firstLine="420" w:firstLineChars="200"/>
        <w:rPr>
          <w:rFonts w:hint="eastAsia" w:ascii="宋体" w:hAnsi="宋体"/>
          <w:szCs w:val="21"/>
        </w:rPr>
      </w:pPr>
      <w:r>
        <w:rPr>
          <w:rFonts w:hint="eastAsia" w:ascii="宋体" w:hAnsi="宋体"/>
          <w:szCs w:val="21"/>
        </w:rPr>
        <w:t>6.所有计算机及服务器均不得安装任何形式的游戏软件，删除计算机自带游戏软件，所有计算机均不得出现游戏/培训及游戏/培训引导、宣传界面，并通过技术手段能够用服务器控制每台计算机，同时加强人力管理，使学生在任何时间段均不能打游戏或不能用自带活动硬盘、U盘等存储设备玩游戏。通过技术手段能够控制学生上网学习（严禁打游戏）的时间。</w:t>
      </w:r>
    </w:p>
    <w:p>
      <w:pPr>
        <w:spacing w:line="460" w:lineRule="exact"/>
        <w:ind w:firstLine="420" w:firstLineChars="200"/>
        <w:rPr>
          <w:rFonts w:hint="eastAsia" w:ascii="宋体" w:hAnsi="宋体"/>
          <w:szCs w:val="21"/>
        </w:rPr>
      </w:pPr>
      <w:r>
        <w:rPr>
          <w:rFonts w:hint="eastAsia" w:ascii="宋体" w:hAnsi="宋体"/>
          <w:szCs w:val="21"/>
        </w:rPr>
        <w:t>7.乙方举办的所有计算机类培训以及培训宣传等活动均须事先向甲方提交书面申请（包括培训内容、对象、人数、时间、地点，宣传方案等），在征得甲方书面同意后方可举办，严禁未经甲方批准举办任何形式的培训、宣传等活动。</w:t>
      </w:r>
    </w:p>
    <w:p>
      <w:pPr>
        <w:spacing w:line="460" w:lineRule="exact"/>
        <w:ind w:firstLine="420" w:firstLineChars="200"/>
        <w:rPr>
          <w:rFonts w:hint="eastAsia" w:ascii="宋体" w:hAnsi="宋体"/>
          <w:szCs w:val="21"/>
        </w:rPr>
      </w:pPr>
      <w:r>
        <w:rPr>
          <w:rFonts w:hint="eastAsia" w:ascii="宋体" w:hAnsi="宋体"/>
          <w:szCs w:val="21"/>
        </w:rPr>
        <w:t>8.机房开展所有活动的服务对象仅限于我校在校学生，进入教室前，须严格、逐个查验上网（严禁打游戏）学生的一卡通或学生证。</w:t>
      </w:r>
    </w:p>
    <w:p>
      <w:pPr>
        <w:spacing w:line="460" w:lineRule="exact"/>
        <w:ind w:firstLine="420" w:firstLineChars="200"/>
        <w:rPr>
          <w:rFonts w:hint="eastAsia" w:ascii="宋体" w:hAnsi="宋体"/>
          <w:szCs w:val="21"/>
        </w:rPr>
      </w:pPr>
      <w:r>
        <w:rPr>
          <w:rFonts w:hint="eastAsia" w:ascii="宋体" w:hAnsi="宋体"/>
          <w:szCs w:val="21"/>
        </w:rPr>
        <w:t>9.乙方应按照教学课表或日历提前做好计算与语言课程的教学服务保障工作，未经甲方教学管理部门同意，不得私自给教师调整上课教室及课表。</w:t>
      </w:r>
    </w:p>
    <w:p>
      <w:pPr>
        <w:spacing w:line="460" w:lineRule="exact"/>
        <w:ind w:firstLine="420" w:firstLineChars="200"/>
        <w:rPr>
          <w:rFonts w:hint="eastAsia" w:ascii="宋体" w:hAnsi="宋体"/>
          <w:szCs w:val="21"/>
        </w:rPr>
      </w:pPr>
      <w:r>
        <w:rPr>
          <w:rFonts w:hint="eastAsia" w:ascii="宋体" w:hAnsi="宋体"/>
          <w:szCs w:val="21"/>
        </w:rPr>
        <w:t>10.按时向甲方交纳甲方的电费、采暖费（电费按电表计费，每度</w:t>
      </w:r>
      <w:r>
        <w:rPr>
          <w:rFonts w:hint="eastAsia" w:ascii="宋体" w:hAnsi="宋体" w:eastAsia="宋体" w:cs="宋体"/>
          <w:color w:val="000000"/>
          <w:sz w:val="20"/>
          <w:szCs w:val="20"/>
          <w:highlight w:val="none"/>
        </w:rPr>
        <w:t>0.6607</w:t>
      </w:r>
      <w:r>
        <w:rPr>
          <w:rFonts w:hint="eastAsia" w:ascii="宋体" w:hAnsi="宋体"/>
          <w:szCs w:val="21"/>
        </w:rPr>
        <w:t>元；采暖费按采暖季2个月标准结算,收费标准为5.8元/㎡·月）、网费（校园网络费用按照网信处收费标准每个账号300元/月结算；宽带网络费用具体由中标商和电信、移动等运营商商洽））。</w:t>
      </w:r>
    </w:p>
    <w:p>
      <w:pPr>
        <w:spacing w:line="460" w:lineRule="exact"/>
        <w:ind w:firstLine="420" w:firstLineChars="200"/>
        <w:rPr>
          <w:rFonts w:hint="eastAsia" w:ascii="宋体" w:hAnsi="宋体"/>
          <w:szCs w:val="21"/>
        </w:rPr>
      </w:pPr>
      <w:r>
        <w:rPr>
          <w:rFonts w:hint="eastAsia" w:ascii="宋体" w:hAnsi="宋体"/>
          <w:szCs w:val="21"/>
        </w:rPr>
        <w:t>11.乙方保证所提供的服务、产品、软件或其任何一部分均不会侵犯任何第三方的专利权、商标权或著作权。乙方保证所提供的服务的所有权完全属于乙方且无任何抵押、查封等产权瑕疵，如有产权瑕疵的，视为乙方违约，乙方应负担由此而产生的一切损失。</w:t>
      </w:r>
    </w:p>
    <w:p>
      <w:pPr>
        <w:spacing w:line="460" w:lineRule="exact"/>
        <w:ind w:firstLine="420" w:firstLineChars="200"/>
        <w:rPr>
          <w:rFonts w:hint="eastAsia" w:ascii="宋体" w:hAnsi="宋体"/>
          <w:szCs w:val="21"/>
        </w:rPr>
      </w:pPr>
      <w:r>
        <w:rPr>
          <w:rFonts w:hint="eastAsia" w:ascii="宋体" w:hAnsi="宋体"/>
          <w:szCs w:val="21"/>
        </w:rPr>
        <w:t>12.乙方负责技术、管理等相关工作人员的人身、财产安全。工作人员在校期间发生任何安全、财产问题，所产生费用均由乙方自行解决，甲方不承担任何责任。</w:t>
      </w:r>
    </w:p>
    <w:p>
      <w:pPr>
        <w:spacing w:line="460" w:lineRule="exact"/>
        <w:ind w:firstLine="413" w:firstLineChars="196"/>
        <w:rPr>
          <w:rFonts w:hint="eastAsia" w:ascii="宋体" w:hAnsi="宋体"/>
          <w:b/>
          <w:szCs w:val="21"/>
        </w:rPr>
      </w:pPr>
      <w:r>
        <w:rPr>
          <w:rFonts w:hint="eastAsia" w:ascii="宋体" w:hAnsi="宋体"/>
          <w:b/>
          <w:szCs w:val="21"/>
        </w:rPr>
        <w:t>四、违约责任</w:t>
      </w:r>
    </w:p>
    <w:p>
      <w:pPr>
        <w:spacing w:line="460" w:lineRule="exact"/>
        <w:ind w:firstLine="420" w:firstLineChars="200"/>
        <w:rPr>
          <w:rFonts w:hint="eastAsia" w:ascii="宋体" w:hAnsi="宋体"/>
          <w:szCs w:val="21"/>
        </w:rPr>
      </w:pPr>
      <w:r>
        <w:rPr>
          <w:rFonts w:ascii="宋体" w:hAnsi="宋体"/>
          <w:szCs w:val="21"/>
        </w:rPr>
        <w:t>1</w:t>
      </w:r>
      <w:r>
        <w:rPr>
          <w:rFonts w:hint="eastAsia" w:ascii="宋体" w:hAnsi="宋体"/>
          <w:szCs w:val="21"/>
        </w:rPr>
        <w:t>.如遇下列情况之一者，</w:t>
      </w:r>
      <w:r>
        <w:rPr>
          <w:rFonts w:hint="eastAsia" w:ascii="宋体" w:hAnsi="宋体"/>
          <w:color w:val="000000"/>
          <w:szCs w:val="21"/>
        </w:rPr>
        <w:t>乙方所缴纳的履约保证金</w:t>
      </w:r>
      <w:r>
        <w:rPr>
          <w:rFonts w:hint="eastAsia" w:ascii="宋体" w:hAnsi="宋体"/>
          <w:szCs w:val="21"/>
        </w:rPr>
        <w:t>甲方有权不予退还，作为对甲方的赔偿，履约保证金不足以补偿甲方损失的，乙方应补足差额：（</w:t>
      </w:r>
      <w:r>
        <w:rPr>
          <w:rFonts w:ascii="宋体" w:hAnsi="宋体"/>
          <w:szCs w:val="21"/>
        </w:rPr>
        <w:t>1</w:t>
      </w:r>
      <w:r>
        <w:rPr>
          <w:rFonts w:hint="eastAsia" w:ascii="宋体" w:hAnsi="宋体"/>
          <w:szCs w:val="21"/>
        </w:rPr>
        <w:t>）合同签订后不能按合同时限要求完成全部设备的安装调试，影响甲方教学活动的顺利开展的；（</w:t>
      </w:r>
      <w:r>
        <w:rPr>
          <w:rFonts w:ascii="宋体" w:hAnsi="宋体"/>
          <w:szCs w:val="21"/>
        </w:rPr>
        <w:t>2</w:t>
      </w:r>
      <w:r>
        <w:rPr>
          <w:rFonts w:hint="eastAsia" w:ascii="宋体" w:hAnsi="宋体"/>
          <w:szCs w:val="21"/>
        </w:rPr>
        <w:t>）所供设备不合格、与合同要求不符的。合同履约过程中，甲方应积极配合乙方进行设备安装调试及运行的外围保障工作。否则，由此导致设备不能按期安装调试运行的，不能追究乙方责任；（3）因乙方违约，机房运行过程中出现负面舆情事件，给甲方造成严重负面影响的；（4）私自转交第三方经营的。</w:t>
      </w:r>
    </w:p>
    <w:p>
      <w:pPr>
        <w:spacing w:line="460" w:lineRule="exact"/>
        <w:ind w:firstLine="411" w:firstLineChars="196"/>
        <w:rPr>
          <w:rFonts w:hint="eastAsia" w:ascii="宋体" w:hAnsi="宋体"/>
          <w:szCs w:val="21"/>
        </w:rPr>
      </w:pPr>
      <w:r>
        <w:rPr>
          <w:rFonts w:hint="eastAsia" w:ascii="宋体" w:hAnsi="宋体"/>
          <w:szCs w:val="21"/>
        </w:rPr>
        <w:t>2.由于乙方原因导致出现下列行为的，按照以下原则处理：</w:t>
      </w:r>
    </w:p>
    <w:p>
      <w:pPr>
        <w:spacing w:line="460" w:lineRule="exact"/>
        <w:ind w:firstLine="411" w:firstLineChars="196"/>
        <w:rPr>
          <w:rFonts w:hint="eastAsia" w:ascii="宋体" w:hAnsi="宋体"/>
          <w:szCs w:val="21"/>
        </w:rPr>
      </w:pPr>
      <w:r>
        <w:rPr>
          <w:rFonts w:hint="eastAsia" w:ascii="宋体" w:hAnsi="宋体"/>
          <w:szCs w:val="21"/>
        </w:rPr>
        <w:t>（1）未经甲方同意，私自调整教室课表，每调整1课时，乙方向甲方交纳违约金1000元；</w:t>
      </w:r>
    </w:p>
    <w:p>
      <w:pPr>
        <w:spacing w:line="460" w:lineRule="exact"/>
        <w:ind w:firstLine="411" w:firstLineChars="196"/>
        <w:rPr>
          <w:rFonts w:hint="eastAsia" w:ascii="宋体" w:hAnsi="宋体"/>
          <w:szCs w:val="21"/>
        </w:rPr>
      </w:pPr>
      <w:r>
        <w:rPr>
          <w:rFonts w:hint="eastAsia" w:ascii="宋体" w:hAnsi="宋体"/>
          <w:szCs w:val="21"/>
        </w:rPr>
        <w:t>（2）学生在非上课期间在机房存在有打游戏、抽烟或其他违规活动的，每查实一位，乙方向甲方交纳违约金1000元；</w:t>
      </w:r>
    </w:p>
    <w:p>
      <w:pPr>
        <w:spacing w:line="460" w:lineRule="exact"/>
        <w:ind w:firstLine="411" w:firstLineChars="196"/>
        <w:rPr>
          <w:rFonts w:hint="eastAsia" w:ascii="宋体" w:hAnsi="宋体"/>
          <w:szCs w:val="21"/>
        </w:rPr>
      </w:pPr>
      <w:r>
        <w:rPr>
          <w:rFonts w:hint="eastAsia" w:ascii="宋体" w:hAnsi="宋体"/>
          <w:szCs w:val="21"/>
        </w:rPr>
        <w:t>（3）教学设备及教学软件没有按照甲方要求准备或准备不到位或维修更新不及时，并影响教学的，每查实一次，乙方向甲方交纳违约金3000元；</w:t>
      </w:r>
    </w:p>
    <w:p>
      <w:pPr>
        <w:spacing w:line="460" w:lineRule="exact"/>
        <w:ind w:firstLine="411" w:firstLineChars="196"/>
        <w:rPr>
          <w:rFonts w:hint="eastAsia" w:ascii="宋体" w:hAnsi="宋体"/>
          <w:szCs w:val="21"/>
        </w:rPr>
      </w:pPr>
      <w:r>
        <w:rPr>
          <w:rFonts w:hint="eastAsia" w:ascii="宋体" w:hAnsi="宋体"/>
          <w:szCs w:val="21"/>
        </w:rPr>
        <w:t>（4）未经甲方批准，擅自举办或超出批准范围举办任何形式的计算机培训，活动宣传，以及承接考试，私下转租或改变房屋用途用于开展其它活动的，每查实一次，乙方向甲方交纳违约金5000元以上；</w:t>
      </w:r>
    </w:p>
    <w:p>
      <w:pPr>
        <w:spacing w:line="460" w:lineRule="exact"/>
        <w:ind w:firstLine="420" w:firstLineChars="200"/>
        <w:rPr>
          <w:rFonts w:hint="eastAsia" w:ascii="宋体" w:hAnsi="宋体"/>
          <w:szCs w:val="21"/>
        </w:rPr>
      </w:pPr>
      <w:r>
        <w:rPr>
          <w:rFonts w:hint="eastAsia" w:ascii="宋体" w:hAnsi="宋体"/>
          <w:szCs w:val="21"/>
        </w:rPr>
        <w:t>（5）私自允许非我校在校生在机房上网（严禁打游戏）、参加计算机培训等活动的，每查实一位，乙方向甲方交纳违约金3000元；</w:t>
      </w:r>
    </w:p>
    <w:p>
      <w:pPr>
        <w:spacing w:line="460" w:lineRule="exact"/>
        <w:ind w:firstLine="420" w:firstLineChars="200"/>
        <w:rPr>
          <w:rFonts w:hint="eastAsia" w:ascii="宋体" w:hAnsi="宋体"/>
          <w:szCs w:val="21"/>
        </w:rPr>
      </w:pPr>
      <w:r>
        <w:rPr>
          <w:rFonts w:hint="eastAsia" w:ascii="宋体" w:hAnsi="宋体"/>
          <w:szCs w:val="21"/>
        </w:rPr>
        <w:t>（6）因监管不到位，导致发生网络安全特大事件、重大事件、较大事件、一般事件的，乙方分别向甲方交纳违约金50万、30万、10万、5万元。</w:t>
      </w:r>
    </w:p>
    <w:p>
      <w:pPr>
        <w:spacing w:line="460" w:lineRule="exact"/>
        <w:ind w:firstLine="411" w:firstLineChars="196"/>
        <w:rPr>
          <w:rFonts w:hint="eastAsia" w:ascii="宋体" w:hAnsi="宋体"/>
          <w:szCs w:val="21"/>
        </w:rPr>
      </w:pPr>
      <w:r>
        <w:rPr>
          <w:rFonts w:hint="eastAsia" w:ascii="宋体" w:hAnsi="宋体"/>
          <w:szCs w:val="21"/>
        </w:rPr>
        <w:t>上述违约金优先从甲方所付机时费中抵扣。</w:t>
      </w:r>
    </w:p>
    <w:p>
      <w:pPr>
        <w:spacing w:line="460" w:lineRule="exact"/>
        <w:ind w:firstLine="411" w:firstLineChars="196"/>
        <w:rPr>
          <w:rFonts w:hint="eastAsia" w:ascii="宋体" w:hAnsi="宋体"/>
          <w:szCs w:val="21"/>
        </w:rPr>
      </w:pPr>
      <w:r>
        <w:rPr>
          <w:rFonts w:hint="eastAsia" w:ascii="宋体" w:hAnsi="宋体"/>
          <w:szCs w:val="21"/>
        </w:rPr>
        <w:t>3.由于甲方未能做好水、电、暖等后勤保障影响正常教学活动的，不得追究乙方违约责任。</w:t>
      </w:r>
    </w:p>
    <w:p>
      <w:pPr>
        <w:spacing w:line="460" w:lineRule="exact"/>
        <w:ind w:firstLine="411" w:firstLineChars="196"/>
        <w:rPr>
          <w:rFonts w:hint="eastAsia" w:ascii="宋体" w:hAnsi="宋体"/>
          <w:szCs w:val="21"/>
        </w:rPr>
      </w:pPr>
      <w:r>
        <w:rPr>
          <w:rFonts w:hint="eastAsia" w:ascii="宋体" w:hAnsi="宋体"/>
          <w:szCs w:val="21"/>
        </w:rPr>
        <w:t>4.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pPr>
        <w:spacing w:line="460" w:lineRule="exact"/>
        <w:ind w:firstLine="413" w:firstLineChars="196"/>
        <w:rPr>
          <w:rFonts w:ascii="宋体" w:hAnsi="宋体"/>
          <w:b/>
          <w:szCs w:val="21"/>
        </w:rPr>
      </w:pPr>
      <w:r>
        <w:rPr>
          <w:rFonts w:hint="eastAsia" w:ascii="宋体" w:hAnsi="宋体"/>
          <w:b/>
          <w:szCs w:val="21"/>
        </w:rPr>
        <w:t>五、设备的质量保证及培训</w:t>
      </w:r>
    </w:p>
    <w:p>
      <w:pPr>
        <w:spacing w:line="460" w:lineRule="exact"/>
        <w:ind w:firstLine="420" w:firstLineChars="200"/>
        <w:rPr>
          <w:rFonts w:hint="eastAsia" w:ascii="宋体" w:hAnsi="宋体"/>
          <w:szCs w:val="21"/>
        </w:rPr>
      </w:pPr>
      <w:r>
        <w:rPr>
          <w:rFonts w:ascii="宋体" w:hAnsi="宋体"/>
          <w:szCs w:val="21"/>
        </w:rPr>
        <w:t>1</w:t>
      </w:r>
      <w:r>
        <w:rPr>
          <w:rFonts w:hint="eastAsia" w:ascii="宋体" w:hAnsi="宋体"/>
          <w:szCs w:val="21"/>
        </w:rPr>
        <w:t>.乙方提供的所有设备及配套产品，必须是合同规定厂家制造的、合格且经过国家质检部门检验，并颁发了产品合格证的产品。</w:t>
      </w:r>
    </w:p>
    <w:p>
      <w:pPr>
        <w:spacing w:line="460" w:lineRule="exact"/>
        <w:ind w:firstLine="420" w:firstLineChars="200"/>
        <w:rPr>
          <w:rFonts w:ascii="宋体" w:hAnsi="宋体"/>
          <w:szCs w:val="21"/>
        </w:rPr>
      </w:pPr>
      <w:r>
        <w:rPr>
          <w:rFonts w:ascii="宋体" w:hAnsi="宋体"/>
          <w:szCs w:val="21"/>
        </w:rPr>
        <w:t>2</w:t>
      </w:r>
      <w:r>
        <w:rPr>
          <w:rFonts w:hint="eastAsia" w:ascii="宋体" w:hAnsi="宋体"/>
          <w:szCs w:val="21"/>
        </w:rPr>
        <w:t>.乙方提供的设备及配套产品必须等同于或优于合同技术指标和招投标（磋商）响应文件要求，并能按国家标准供应、检测、调试，确保产品技术指标满足使用要求。</w:t>
      </w:r>
    </w:p>
    <w:p>
      <w:pPr>
        <w:spacing w:line="460" w:lineRule="exact"/>
        <w:ind w:firstLine="420" w:firstLineChars="200"/>
        <w:rPr>
          <w:rFonts w:hint="eastAsia" w:ascii="宋体" w:hAnsi="宋体"/>
          <w:szCs w:val="21"/>
        </w:rPr>
      </w:pPr>
      <w:r>
        <w:rPr>
          <w:rFonts w:ascii="宋体" w:hAnsi="宋体"/>
          <w:szCs w:val="21"/>
        </w:rPr>
        <w:t>3</w:t>
      </w:r>
      <w:r>
        <w:rPr>
          <w:rFonts w:hint="eastAsia" w:ascii="宋体" w:hAnsi="宋体"/>
          <w:szCs w:val="21"/>
        </w:rPr>
        <w:t>.乙方提供的设备必须确保甲方课程的正常进行，在合同期内由乙方负责对所供设备的维修维护更新。</w:t>
      </w:r>
    </w:p>
    <w:p>
      <w:pPr>
        <w:spacing w:line="460" w:lineRule="exact"/>
        <w:ind w:firstLine="420" w:firstLineChars="200"/>
        <w:rPr>
          <w:rFonts w:ascii="宋体" w:hAnsi="宋体"/>
          <w:szCs w:val="21"/>
        </w:rPr>
      </w:pPr>
      <w:r>
        <w:rPr>
          <w:rFonts w:hint="eastAsia" w:ascii="宋体" w:hAnsi="宋体"/>
          <w:szCs w:val="21"/>
        </w:rPr>
        <w:t>4.人员培训：乙方免费为甲方培训系统设备操作人员。</w:t>
      </w:r>
    </w:p>
    <w:p>
      <w:pPr>
        <w:spacing w:line="460" w:lineRule="exact"/>
        <w:ind w:firstLine="411" w:firstLineChars="196"/>
        <w:rPr>
          <w:rFonts w:hint="eastAsia" w:ascii="宋体" w:hAnsi="宋体"/>
          <w:szCs w:val="21"/>
        </w:rPr>
      </w:pPr>
      <w:r>
        <w:rPr>
          <w:rFonts w:hint="eastAsia" w:ascii="宋体" w:hAnsi="宋体"/>
          <w:szCs w:val="21"/>
        </w:rPr>
        <w:t>5.项目所有设备到货安装调试后，甲、乙双方共同对所有设备进行验收。检查设备原产地、型号、规格、配置是否符合合同要求，验收以国家标准或投标/磋商响应文件、合同附件仪器设备供货配置清单中描述的有关技术要求为准。</w:t>
      </w:r>
    </w:p>
    <w:p>
      <w:pPr>
        <w:spacing w:line="460" w:lineRule="exact"/>
        <w:ind w:firstLine="413" w:firstLineChars="196"/>
        <w:rPr>
          <w:rFonts w:ascii="宋体" w:hAnsi="宋体"/>
          <w:b/>
          <w:szCs w:val="21"/>
        </w:rPr>
      </w:pPr>
      <w:r>
        <w:rPr>
          <w:rFonts w:hint="eastAsia" w:ascii="宋体" w:hAnsi="宋体"/>
          <w:b/>
          <w:szCs w:val="21"/>
        </w:rPr>
        <w:t>六、工期要求</w:t>
      </w:r>
    </w:p>
    <w:p>
      <w:pPr>
        <w:spacing w:line="460" w:lineRule="exact"/>
        <w:ind w:firstLine="420" w:firstLineChars="200"/>
        <w:rPr>
          <w:rFonts w:hint="eastAsia" w:ascii="宋体" w:hAnsi="宋体"/>
          <w:sz w:val="28"/>
          <w:szCs w:val="28"/>
        </w:rPr>
      </w:pPr>
      <w:r>
        <w:rPr>
          <w:rFonts w:hint="eastAsia" w:ascii="宋体" w:hAnsi="宋体"/>
          <w:szCs w:val="21"/>
        </w:rPr>
        <w:t>接到成交通知之日起30天内，完成所有相关设备进场、安装调试，达到具备开展教学活动的要求。</w:t>
      </w:r>
    </w:p>
    <w:p>
      <w:pPr>
        <w:pStyle w:val="4"/>
        <w:autoSpaceDE w:val="0"/>
        <w:autoSpaceDN w:val="0"/>
        <w:adjustRightInd w:val="0"/>
        <w:spacing w:line="460" w:lineRule="exact"/>
        <w:rPr>
          <w:rFonts w:hint="eastAsia"/>
        </w:rPr>
      </w:pPr>
      <w:r>
        <w:rPr>
          <w:rFonts w:hint="eastAsia"/>
        </w:rPr>
        <w:t>地点：西安建筑科技大学草堂校区。</w:t>
      </w:r>
    </w:p>
    <w:p>
      <w:pPr>
        <w:pStyle w:val="4"/>
        <w:autoSpaceDE w:val="0"/>
        <w:autoSpaceDN w:val="0"/>
        <w:adjustRightInd w:val="0"/>
        <w:spacing w:line="460" w:lineRule="exact"/>
        <w:ind w:firstLine="422"/>
        <w:rPr>
          <w:rFonts w:hint="eastAsia"/>
          <w:b/>
        </w:rPr>
      </w:pPr>
      <w:r>
        <w:rPr>
          <w:rFonts w:hint="eastAsia"/>
          <w:b/>
        </w:rPr>
        <w:t>七、合同纠纷的解决方式</w:t>
      </w:r>
    </w:p>
    <w:p>
      <w:pPr>
        <w:pStyle w:val="4"/>
        <w:autoSpaceDE w:val="0"/>
        <w:autoSpaceDN w:val="0"/>
        <w:adjustRightInd w:val="0"/>
        <w:spacing w:line="460" w:lineRule="exact"/>
        <w:rPr>
          <w:rFonts w:hint="eastAsia"/>
        </w:rPr>
      </w:pPr>
      <w:r>
        <w:rPr>
          <w:rFonts w:hint="eastAsia" w:ascii="宋体" w:hAnsi="宋体"/>
          <w:szCs w:val="21"/>
        </w:rPr>
        <w:t>1.</w:t>
      </w:r>
      <w:r>
        <w:rPr>
          <w:rFonts w:hint="eastAsia"/>
        </w:rPr>
        <w:t>在执行本合同中发生的或与本合同有关的争端，双方应通过友好协商解决，经协商不能达成协议时，应提交西安市仲裁委员会仲裁。</w:t>
      </w:r>
    </w:p>
    <w:p>
      <w:pPr>
        <w:pStyle w:val="4"/>
        <w:autoSpaceDE w:val="0"/>
        <w:autoSpaceDN w:val="0"/>
        <w:adjustRightInd w:val="0"/>
        <w:spacing w:line="460" w:lineRule="exact"/>
        <w:rPr>
          <w:rFonts w:hint="eastAsia"/>
        </w:rPr>
      </w:pPr>
      <w:r>
        <w:rPr>
          <w:rFonts w:hint="eastAsia" w:ascii="宋体" w:hAnsi="宋体"/>
          <w:szCs w:val="21"/>
        </w:rPr>
        <w:t>2.</w:t>
      </w:r>
      <w:r>
        <w:rPr>
          <w:rFonts w:hint="eastAsia"/>
        </w:rPr>
        <w:t>仲裁裁决应为最终决定，并对双方具有约束力。</w:t>
      </w:r>
    </w:p>
    <w:p>
      <w:pPr>
        <w:pStyle w:val="4"/>
        <w:autoSpaceDE w:val="0"/>
        <w:autoSpaceDN w:val="0"/>
        <w:adjustRightInd w:val="0"/>
        <w:spacing w:line="460" w:lineRule="exact"/>
        <w:rPr>
          <w:rFonts w:hint="eastAsia"/>
        </w:rPr>
      </w:pPr>
      <w:r>
        <w:rPr>
          <w:rFonts w:hint="eastAsia" w:ascii="宋体" w:hAnsi="宋体"/>
          <w:szCs w:val="21"/>
        </w:rPr>
        <w:t>3.</w:t>
      </w:r>
      <w:r>
        <w:rPr>
          <w:rFonts w:hint="eastAsia"/>
        </w:rPr>
        <w:t>除另有裁决外，仲裁费应由败诉方负担。</w:t>
      </w:r>
    </w:p>
    <w:p>
      <w:pPr>
        <w:pStyle w:val="4"/>
        <w:autoSpaceDE w:val="0"/>
        <w:autoSpaceDN w:val="0"/>
        <w:adjustRightInd w:val="0"/>
        <w:spacing w:line="460" w:lineRule="exact"/>
      </w:pPr>
      <w:r>
        <w:rPr>
          <w:rFonts w:hint="eastAsia" w:ascii="宋体" w:hAnsi="宋体"/>
          <w:szCs w:val="21"/>
        </w:rPr>
        <w:t>4.</w:t>
      </w:r>
      <w:r>
        <w:rPr>
          <w:rFonts w:hint="eastAsia"/>
        </w:rPr>
        <w:t>在仲裁期间，除正在进行仲裁部分外，合同其他部分继续执行。</w:t>
      </w:r>
    </w:p>
    <w:p>
      <w:pPr>
        <w:spacing w:line="460" w:lineRule="exact"/>
        <w:ind w:firstLine="413" w:firstLineChars="196"/>
        <w:rPr>
          <w:rFonts w:ascii="宋体" w:hAnsi="宋体"/>
          <w:b/>
          <w:szCs w:val="21"/>
        </w:rPr>
      </w:pPr>
      <w:r>
        <w:rPr>
          <w:rFonts w:hint="eastAsia" w:ascii="宋体" w:hAnsi="宋体"/>
          <w:b/>
          <w:szCs w:val="21"/>
        </w:rPr>
        <w:t>八、其它事项</w:t>
      </w:r>
    </w:p>
    <w:p>
      <w:pPr>
        <w:spacing w:line="460" w:lineRule="exact"/>
        <w:ind w:left="2" w:leftChars="1" w:firstLine="420" w:firstLineChars="200"/>
        <w:rPr>
          <w:rFonts w:hint="eastAsia" w:ascii="宋体" w:hAnsi="宋体"/>
          <w:szCs w:val="21"/>
        </w:rPr>
      </w:pPr>
      <w:r>
        <w:rPr>
          <w:rFonts w:hint="eastAsia" w:ascii="宋体" w:hAnsi="宋体"/>
          <w:szCs w:val="21"/>
        </w:rPr>
        <w:t>1.合同期内所有涉及的相关费用（均为人民币）标准不变，任何一方均不得以任何理由向对方提出改变费用标准的请求，并不得单方面终止合同；一方因特殊情况要求提前终止合同的，需提前45天书面通知对方，待对方同意后双方解除合同，并向对方支付违约金50万元。</w:t>
      </w:r>
    </w:p>
    <w:p>
      <w:pPr>
        <w:spacing w:line="460" w:lineRule="exact"/>
        <w:ind w:left="2" w:leftChars="1" w:firstLine="420" w:firstLineChars="200"/>
        <w:rPr>
          <w:rFonts w:hint="eastAsia" w:ascii="宋体" w:hAnsi="宋体"/>
          <w:szCs w:val="21"/>
        </w:rPr>
      </w:pPr>
      <w:r>
        <w:rPr>
          <w:rFonts w:hint="eastAsia" w:ascii="宋体" w:hAnsi="宋体"/>
          <w:szCs w:val="21"/>
        </w:rPr>
        <w:t>2.本合同自202</w:t>
      </w:r>
      <w:r>
        <w:rPr>
          <w:rFonts w:hint="eastAsia" w:ascii="宋体" w:hAnsi="宋体"/>
          <w:szCs w:val="21"/>
          <w:lang w:val="en-US" w:eastAsia="zh-CN"/>
        </w:rPr>
        <w:t>4</w:t>
      </w:r>
      <w:r>
        <w:rPr>
          <w:rFonts w:hint="eastAsia" w:ascii="宋体" w:hAnsi="宋体"/>
          <w:szCs w:val="21"/>
        </w:rPr>
        <w:t>年</w:t>
      </w:r>
      <w:r>
        <w:rPr>
          <w:rFonts w:hint="eastAsia" w:ascii="宋体" w:hAnsi="宋体"/>
          <w:szCs w:val="21"/>
          <w:lang w:val="en-US" w:eastAsia="zh-CN"/>
        </w:rPr>
        <w:t xml:space="preserve"> </w:t>
      </w:r>
      <w:r>
        <w:rPr>
          <w:rFonts w:hint="eastAsia" w:ascii="宋体" w:hAnsi="宋体"/>
          <w:szCs w:val="21"/>
        </w:rPr>
        <w:t>月</w:t>
      </w:r>
      <w:r>
        <w:rPr>
          <w:rFonts w:hint="eastAsia" w:ascii="宋体" w:hAnsi="宋体"/>
          <w:szCs w:val="21"/>
          <w:lang w:val="en-US" w:eastAsia="zh-CN"/>
        </w:rPr>
        <w:t xml:space="preserve"> </w:t>
      </w:r>
      <w:r>
        <w:rPr>
          <w:rFonts w:hint="eastAsia" w:ascii="宋体" w:hAnsi="宋体"/>
          <w:szCs w:val="21"/>
        </w:rPr>
        <w:t>日起至202</w:t>
      </w:r>
      <w:r>
        <w:rPr>
          <w:rFonts w:hint="eastAsia" w:ascii="宋体" w:hAnsi="宋体"/>
          <w:szCs w:val="21"/>
          <w:lang w:val="en-US" w:eastAsia="zh-CN"/>
        </w:rPr>
        <w:t>5</w:t>
      </w:r>
      <w:r>
        <w:rPr>
          <w:rFonts w:hint="eastAsia" w:ascii="宋体" w:hAnsi="宋体"/>
          <w:szCs w:val="21"/>
        </w:rPr>
        <w:t>年</w:t>
      </w:r>
      <w:r>
        <w:rPr>
          <w:rFonts w:hint="eastAsia" w:ascii="宋体" w:hAnsi="宋体"/>
          <w:szCs w:val="21"/>
          <w:lang w:val="en-US" w:eastAsia="zh-CN"/>
        </w:rPr>
        <w:t xml:space="preserve"> </w:t>
      </w:r>
      <w:r>
        <w:rPr>
          <w:rFonts w:hint="eastAsia" w:ascii="宋体" w:hAnsi="宋体"/>
          <w:szCs w:val="21"/>
        </w:rPr>
        <w:t>月</w:t>
      </w:r>
      <w:r>
        <w:rPr>
          <w:rFonts w:hint="eastAsia" w:ascii="宋体" w:hAnsi="宋体"/>
          <w:szCs w:val="21"/>
          <w:lang w:val="en-US" w:eastAsia="zh-CN"/>
        </w:rPr>
        <w:t xml:space="preserve"> </w:t>
      </w:r>
      <w:r>
        <w:rPr>
          <w:rFonts w:hint="eastAsia" w:ascii="宋体" w:hAnsi="宋体"/>
          <w:szCs w:val="21"/>
        </w:rPr>
        <w:t>日结束，合同执行期为</w:t>
      </w:r>
      <w:r>
        <w:rPr>
          <w:rFonts w:hint="eastAsia" w:ascii="宋体" w:hAnsi="宋体"/>
          <w:szCs w:val="21"/>
          <w:lang w:val="en-US" w:eastAsia="zh-CN"/>
        </w:rPr>
        <w:t xml:space="preserve">  </w:t>
      </w:r>
      <w:r>
        <w:rPr>
          <w:rFonts w:hint="eastAsia" w:ascii="宋体" w:hAnsi="宋体"/>
          <w:szCs w:val="21"/>
        </w:rPr>
        <w:t>年，经双方法定代表人或授权委托代理人签字并加盖单位公章后生效。合同期满前，甲方要提前通知乙方，乙方自行搬离、处理设备（乙方只能搬离可移动设备，二次装修后附着在房屋内的设施不得拆除），并不得以任何理由继续使用或占用甲方所提供的教室场地。</w:t>
      </w:r>
    </w:p>
    <w:p>
      <w:pPr>
        <w:spacing w:line="460" w:lineRule="exact"/>
        <w:ind w:firstLine="411" w:firstLineChars="196"/>
        <w:rPr>
          <w:rFonts w:hint="eastAsia" w:ascii="宋体" w:hAnsi="宋体"/>
          <w:szCs w:val="21"/>
        </w:rPr>
      </w:pPr>
      <w:r>
        <w:rPr>
          <w:rFonts w:hint="eastAsia" w:ascii="宋体" w:hAnsi="宋体"/>
          <w:szCs w:val="21"/>
        </w:rPr>
        <w:t>3.合同附件及本项目的《磋商文件》、《响应文件》（含澄清文件、修改说明）、《成交通知书》等均为本合同的组成部分，且具有同等法律效力。</w:t>
      </w:r>
    </w:p>
    <w:p>
      <w:pPr>
        <w:spacing w:line="460" w:lineRule="exact"/>
        <w:ind w:firstLine="420" w:firstLineChars="200"/>
        <w:rPr>
          <w:rFonts w:ascii="宋体" w:hAnsi="宋体"/>
          <w:szCs w:val="21"/>
        </w:rPr>
      </w:pPr>
      <w:r>
        <w:rPr>
          <w:rFonts w:hint="eastAsia" w:ascii="宋体" w:hAnsi="宋体"/>
          <w:szCs w:val="21"/>
        </w:rPr>
        <w:t>4.在本合同执行过程中，甲、乙双方协商签订的补充合同与原合同具有同等法律效力。</w:t>
      </w:r>
    </w:p>
    <w:p>
      <w:pPr>
        <w:spacing w:line="460" w:lineRule="exact"/>
        <w:ind w:firstLine="420" w:firstLineChars="200"/>
        <w:rPr>
          <w:rFonts w:hint="eastAsia" w:ascii="宋体" w:hAnsi="宋体"/>
          <w:szCs w:val="21"/>
        </w:rPr>
      </w:pPr>
      <w:r>
        <w:rPr>
          <w:rFonts w:hint="eastAsia" w:ascii="宋体" w:hAnsi="宋体"/>
          <w:szCs w:val="21"/>
        </w:rPr>
        <w:t>5.本合同一式五份，甲方执三份，乙方执两份。</w:t>
      </w:r>
    </w:p>
    <w:p>
      <w:pPr>
        <w:spacing w:line="460" w:lineRule="exact"/>
        <w:ind w:firstLine="420" w:firstLineChars="200"/>
        <w:rPr>
          <w:rFonts w:hint="eastAsia" w:ascii="宋体" w:hAnsi="宋体"/>
          <w:szCs w:val="21"/>
        </w:rPr>
      </w:pPr>
      <w:r>
        <w:rPr>
          <w:rFonts w:hint="eastAsia" w:ascii="宋体" w:hAnsi="宋体"/>
          <w:szCs w:val="21"/>
        </w:rPr>
        <w:t>6.未尽事宜，双方友好协商解决。</w:t>
      </w:r>
    </w:p>
    <w:p>
      <w:pPr>
        <w:spacing w:line="460" w:lineRule="exact"/>
        <w:ind w:firstLine="420" w:firstLineChars="200"/>
        <w:rPr>
          <w:rFonts w:hint="eastAsia" w:ascii="宋体" w:hAnsi="宋体"/>
          <w:szCs w:val="21"/>
        </w:rPr>
      </w:pPr>
    </w:p>
    <w:p>
      <w:pPr>
        <w:spacing w:line="360" w:lineRule="auto"/>
        <w:ind w:firstLine="422" w:firstLineChars="200"/>
        <w:rPr>
          <w:rFonts w:hint="eastAsia" w:ascii="宋体" w:hAnsi="宋体"/>
          <w:b/>
          <w:szCs w:val="21"/>
        </w:rPr>
      </w:pPr>
      <w:r>
        <w:rPr>
          <w:rFonts w:hint="eastAsia" w:ascii="宋体" w:hAnsi="宋体"/>
          <w:b/>
          <w:szCs w:val="21"/>
        </w:rPr>
        <w:t>合同签订地点：西安建筑科技大学</w:t>
      </w:r>
      <w:r>
        <w:rPr>
          <w:rFonts w:ascii="宋体" w:hAnsi="宋体"/>
          <w:b/>
          <w:szCs w:val="21"/>
        </w:rPr>
        <w:t xml:space="preserve"> </w:t>
      </w:r>
    </w:p>
    <w:p>
      <w:pPr>
        <w:spacing w:line="360" w:lineRule="auto"/>
        <w:ind w:firstLine="422" w:firstLineChars="200"/>
        <w:rPr>
          <w:rFonts w:hint="eastAsia" w:ascii="宋体" w:hAnsi="宋体"/>
          <w:b/>
          <w:szCs w:val="21"/>
        </w:rPr>
      </w:pPr>
      <w:r>
        <w:rPr>
          <w:rFonts w:hint="eastAsia" w:ascii="宋体" w:hAnsi="宋体"/>
          <w:b/>
          <w:szCs w:val="21"/>
        </w:rPr>
        <w:t>合同签订时间：202</w:t>
      </w:r>
      <w:r>
        <w:rPr>
          <w:rFonts w:hint="eastAsia" w:ascii="宋体" w:hAnsi="宋体"/>
          <w:b/>
          <w:szCs w:val="21"/>
          <w:lang w:val="en-US" w:eastAsia="zh-CN"/>
        </w:rPr>
        <w:t>4</w:t>
      </w:r>
      <w:r>
        <w:rPr>
          <w:rFonts w:hint="eastAsia" w:ascii="宋体" w:hAnsi="宋体"/>
          <w:b/>
          <w:szCs w:val="21"/>
        </w:rPr>
        <w:t>年</w:t>
      </w:r>
      <w:r>
        <w:rPr>
          <w:rFonts w:hint="eastAsia" w:ascii="宋体" w:hAnsi="宋体"/>
          <w:b/>
          <w:szCs w:val="21"/>
          <w:lang w:val="en-US" w:eastAsia="zh-CN"/>
        </w:rPr>
        <w:t xml:space="preserve"> </w:t>
      </w:r>
      <w:r>
        <w:rPr>
          <w:rFonts w:hint="eastAsia" w:ascii="宋体" w:hAnsi="宋体"/>
          <w:b/>
          <w:szCs w:val="21"/>
        </w:rPr>
        <w:t>月</w:t>
      </w:r>
      <w:r>
        <w:rPr>
          <w:rFonts w:hint="eastAsia" w:ascii="宋体" w:hAnsi="宋体"/>
          <w:b/>
          <w:szCs w:val="21"/>
          <w:lang w:val="en-US" w:eastAsia="zh-CN"/>
        </w:rPr>
        <w:t xml:space="preserve">  </w:t>
      </w:r>
      <w:r>
        <w:rPr>
          <w:rFonts w:hint="eastAsia" w:ascii="宋体" w:hAnsi="宋体"/>
          <w:b/>
          <w:szCs w:val="21"/>
        </w:rPr>
        <w:t xml:space="preserve">日 </w:t>
      </w:r>
    </w:p>
    <w:p>
      <w:pPr>
        <w:spacing w:line="360" w:lineRule="auto"/>
        <w:ind w:firstLine="422" w:firstLineChars="200"/>
        <w:rPr>
          <w:rFonts w:hint="eastAsia" w:ascii="宋体" w:hAnsi="宋体"/>
          <w:b/>
          <w:szCs w:val="21"/>
        </w:rPr>
      </w:pPr>
      <w:r>
        <w:rPr>
          <w:rFonts w:hint="eastAsia" w:ascii="宋体" w:hAnsi="宋体"/>
          <w:b/>
          <w:szCs w:val="21"/>
        </w:rPr>
        <w:t>合同执行期：</w:t>
      </w:r>
      <w:r>
        <w:rPr>
          <w:rFonts w:hint="eastAsia" w:ascii="宋体" w:hAnsi="宋体"/>
          <w:b/>
          <w:szCs w:val="21"/>
          <w:lang w:val="en-US" w:eastAsia="zh-CN"/>
        </w:rPr>
        <w:t xml:space="preserve">  一</w:t>
      </w:r>
      <w:r>
        <w:rPr>
          <w:rFonts w:hint="eastAsia" w:ascii="宋体" w:hAnsi="宋体"/>
          <w:b/>
          <w:szCs w:val="21"/>
        </w:rPr>
        <w:t xml:space="preserve">年 </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1"/>
        <w:gridCol w:w="4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101" w:type="dxa"/>
            <w:noWrap w:val="0"/>
            <w:vAlign w:val="center"/>
          </w:tcPr>
          <w:p>
            <w:pPr>
              <w:spacing w:line="360" w:lineRule="auto"/>
              <w:rPr>
                <w:rFonts w:hint="eastAsia" w:ascii="宋体" w:hAnsi="宋体"/>
                <w:szCs w:val="21"/>
              </w:rPr>
            </w:pPr>
            <w:r>
              <w:rPr>
                <w:rFonts w:hint="eastAsia" w:ascii="宋体" w:hAnsi="宋体"/>
                <w:b/>
                <w:szCs w:val="21"/>
              </w:rPr>
              <w:t>甲 方（盖章）：西安建筑科技大学</w:t>
            </w:r>
          </w:p>
        </w:tc>
        <w:tc>
          <w:tcPr>
            <w:tcW w:w="4647" w:type="dxa"/>
            <w:noWrap w:val="0"/>
            <w:vAlign w:val="center"/>
          </w:tcPr>
          <w:p>
            <w:pPr>
              <w:spacing w:line="360" w:lineRule="auto"/>
              <w:rPr>
                <w:rFonts w:hint="eastAsia" w:ascii="宋体" w:hAnsi="宋体"/>
                <w:szCs w:val="21"/>
              </w:rPr>
            </w:pPr>
            <w:r>
              <w:rPr>
                <w:rFonts w:hint="eastAsia" w:ascii="宋体" w:hAnsi="宋体"/>
                <w:b/>
                <w:szCs w:val="21"/>
              </w:rPr>
              <w:t>乙</w:t>
            </w:r>
            <w:r>
              <w:rPr>
                <w:rFonts w:ascii="宋体" w:hAnsi="宋体"/>
                <w:b/>
                <w:szCs w:val="21"/>
              </w:rPr>
              <w:t xml:space="preserve"> </w:t>
            </w:r>
            <w:r>
              <w:rPr>
                <w:rFonts w:hint="eastAsia" w:ascii="宋体" w:hAnsi="宋体"/>
                <w:b/>
                <w:szCs w:val="21"/>
              </w:rPr>
              <w:t>方（盖章）：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101" w:type="dxa"/>
            <w:noWrap w:val="0"/>
            <w:vAlign w:val="center"/>
          </w:tcPr>
          <w:p>
            <w:pPr>
              <w:spacing w:line="360" w:lineRule="auto"/>
              <w:rPr>
                <w:rFonts w:hint="eastAsia" w:ascii="宋体" w:hAnsi="宋体"/>
                <w:szCs w:val="21"/>
              </w:rPr>
            </w:pPr>
            <w:r>
              <w:rPr>
                <w:rFonts w:hint="eastAsia" w:ascii="宋体" w:hAnsi="宋体"/>
                <w:b/>
                <w:szCs w:val="21"/>
              </w:rPr>
              <w:t>地 址：西安市雁塔路中段13号</w:t>
            </w:r>
          </w:p>
        </w:tc>
        <w:tc>
          <w:tcPr>
            <w:tcW w:w="4647" w:type="dxa"/>
            <w:noWrap w:val="0"/>
            <w:vAlign w:val="center"/>
          </w:tcPr>
          <w:p>
            <w:pPr>
              <w:spacing w:line="360" w:lineRule="auto"/>
              <w:rPr>
                <w:rFonts w:hint="eastAsia" w:ascii="宋体" w:hAnsi="宋体"/>
                <w:szCs w:val="21"/>
              </w:rPr>
            </w:pPr>
            <w:r>
              <w:rPr>
                <w:rFonts w:hint="eastAsia" w:ascii="宋体" w:hAnsi="宋体"/>
                <w:b/>
                <w:szCs w:val="21"/>
              </w:rPr>
              <w:t>地</w:t>
            </w:r>
            <w:r>
              <w:rPr>
                <w:rFonts w:ascii="宋体" w:hAnsi="宋体"/>
                <w:b/>
                <w:szCs w:val="21"/>
              </w:rPr>
              <w:t xml:space="preserve"> </w:t>
            </w:r>
            <w:r>
              <w:rPr>
                <w:rFonts w:hint="eastAsia" w:ascii="宋体" w:hAnsi="宋体"/>
                <w:b/>
                <w:szCs w:val="21"/>
              </w:rPr>
              <w:t>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101" w:type="dxa"/>
            <w:noWrap w:val="0"/>
            <w:vAlign w:val="center"/>
          </w:tcPr>
          <w:p>
            <w:pPr>
              <w:spacing w:line="360" w:lineRule="auto"/>
              <w:rPr>
                <w:rFonts w:hint="eastAsia" w:ascii="宋体" w:hAnsi="宋体"/>
                <w:szCs w:val="21"/>
              </w:rPr>
            </w:pPr>
            <w:r>
              <w:rPr>
                <w:rFonts w:hint="eastAsia" w:ascii="宋体" w:hAnsi="宋体"/>
                <w:b/>
                <w:szCs w:val="21"/>
              </w:rPr>
              <w:t>法定代表人（签字）：</w:t>
            </w:r>
          </w:p>
        </w:tc>
        <w:tc>
          <w:tcPr>
            <w:tcW w:w="4647" w:type="dxa"/>
            <w:noWrap w:val="0"/>
            <w:vAlign w:val="center"/>
          </w:tcPr>
          <w:p>
            <w:pPr>
              <w:spacing w:line="360" w:lineRule="auto"/>
              <w:rPr>
                <w:rFonts w:hint="eastAsia" w:ascii="宋体" w:hAnsi="宋体"/>
                <w:szCs w:val="21"/>
              </w:rPr>
            </w:pPr>
            <w:r>
              <w:rPr>
                <w:rFonts w:hint="eastAsia" w:ascii="宋体" w:hAnsi="宋体"/>
                <w:b/>
                <w:szCs w:val="21"/>
              </w:rPr>
              <w:t>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101" w:type="dxa"/>
            <w:noWrap w:val="0"/>
            <w:vAlign w:val="center"/>
          </w:tcPr>
          <w:p>
            <w:pPr>
              <w:spacing w:line="360" w:lineRule="auto"/>
              <w:rPr>
                <w:rFonts w:hint="eastAsia" w:ascii="宋体" w:hAnsi="宋体"/>
                <w:szCs w:val="21"/>
              </w:rPr>
            </w:pPr>
            <w:r>
              <w:rPr>
                <w:rFonts w:hint="eastAsia" w:ascii="宋体" w:hAnsi="宋体"/>
                <w:b/>
                <w:szCs w:val="21"/>
              </w:rPr>
              <w:t>委托代理人（签字）：</w:t>
            </w:r>
            <w:bookmarkStart w:id="0" w:name="_GoBack"/>
            <w:bookmarkEnd w:id="0"/>
          </w:p>
        </w:tc>
        <w:tc>
          <w:tcPr>
            <w:tcW w:w="4647" w:type="dxa"/>
            <w:noWrap w:val="0"/>
            <w:vAlign w:val="center"/>
          </w:tcPr>
          <w:p>
            <w:pPr>
              <w:spacing w:line="360" w:lineRule="auto"/>
              <w:rPr>
                <w:rFonts w:hint="eastAsia" w:ascii="宋体" w:hAnsi="宋体"/>
                <w:szCs w:val="21"/>
              </w:rPr>
            </w:pPr>
            <w:r>
              <w:rPr>
                <w:rFonts w:hint="eastAsia" w:ascii="宋体" w:hAnsi="宋体"/>
                <w:b/>
                <w:szCs w:val="21"/>
              </w:rPr>
              <w:t>委托代理人（签字）：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101" w:type="dxa"/>
            <w:noWrap w:val="0"/>
            <w:vAlign w:val="center"/>
          </w:tcPr>
          <w:p>
            <w:pPr>
              <w:spacing w:line="360" w:lineRule="auto"/>
              <w:rPr>
                <w:rFonts w:hint="eastAsia" w:ascii="宋体" w:hAnsi="宋体"/>
                <w:szCs w:val="21"/>
              </w:rPr>
            </w:pPr>
            <w:r>
              <w:rPr>
                <w:rFonts w:hint="eastAsia" w:ascii="宋体" w:hAnsi="宋体"/>
                <w:b/>
                <w:szCs w:val="21"/>
              </w:rPr>
              <w:t>开户名：西安建筑科技大学</w:t>
            </w:r>
          </w:p>
        </w:tc>
        <w:tc>
          <w:tcPr>
            <w:tcW w:w="4647" w:type="dxa"/>
            <w:noWrap w:val="0"/>
            <w:vAlign w:val="center"/>
          </w:tcPr>
          <w:p>
            <w:pPr>
              <w:spacing w:line="360" w:lineRule="auto"/>
              <w:rPr>
                <w:rFonts w:hint="eastAsia" w:ascii="宋体" w:hAnsi="宋体"/>
                <w:szCs w:val="21"/>
              </w:rPr>
            </w:pPr>
            <w:r>
              <w:rPr>
                <w:rFonts w:hint="eastAsia" w:ascii="宋体" w:hAnsi="宋体"/>
                <w:b/>
                <w:szCs w:val="21"/>
              </w:rPr>
              <w:t>开户名：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101" w:type="dxa"/>
            <w:noWrap w:val="0"/>
            <w:vAlign w:val="center"/>
          </w:tcPr>
          <w:p>
            <w:pPr>
              <w:spacing w:line="360" w:lineRule="auto"/>
              <w:rPr>
                <w:rFonts w:hint="eastAsia" w:ascii="宋体" w:hAnsi="宋体"/>
                <w:szCs w:val="21"/>
              </w:rPr>
            </w:pPr>
            <w:r>
              <w:rPr>
                <w:rFonts w:hint="eastAsia" w:ascii="宋体" w:hAnsi="宋体"/>
                <w:b/>
                <w:szCs w:val="21"/>
              </w:rPr>
              <w:t>开户行：工行西安雁塔路支行</w:t>
            </w:r>
          </w:p>
        </w:tc>
        <w:tc>
          <w:tcPr>
            <w:tcW w:w="4647" w:type="dxa"/>
            <w:noWrap w:val="0"/>
            <w:vAlign w:val="center"/>
          </w:tcPr>
          <w:p>
            <w:pPr>
              <w:rPr>
                <w:rFonts w:hint="eastAsia" w:ascii="宋体" w:hAnsi="宋体"/>
                <w:szCs w:val="21"/>
              </w:rPr>
            </w:pPr>
            <w:r>
              <w:rPr>
                <w:rFonts w:hint="eastAsia" w:ascii="宋体" w:hAnsi="宋体"/>
                <w:b/>
                <w:szCs w:val="21"/>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101" w:type="dxa"/>
            <w:noWrap w:val="0"/>
            <w:vAlign w:val="center"/>
          </w:tcPr>
          <w:p>
            <w:pPr>
              <w:spacing w:line="360" w:lineRule="auto"/>
              <w:rPr>
                <w:rFonts w:hint="eastAsia" w:ascii="宋体" w:hAnsi="宋体"/>
                <w:b/>
                <w:szCs w:val="21"/>
              </w:rPr>
            </w:pPr>
            <w:r>
              <w:rPr>
                <w:rFonts w:hint="eastAsia" w:ascii="宋体" w:hAnsi="宋体"/>
                <w:b/>
                <w:szCs w:val="21"/>
              </w:rPr>
              <w:t>帐  号：</w:t>
            </w:r>
            <w:r>
              <w:rPr>
                <w:rFonts w:hint="eastAsia"/>
                <w:b/>
                <w:szCs w:val="21"/>
              </w:rPr>
              <w:t>3700023009026400639</w:t>
            </w:r>
          </w:p>
        </w:tc>
        <w:tc>
          <w:tcPr>
            <w:tcW w:w="4647" w:type="dxa"/>
            <w:noWrap w:val="0"/>
            <w:vAlign w:val="center"/>
          </w:tcPr>
          <w:p>
            <w:pPr>
              <w:rPr>
                <w:rFonts w:hint="eastAsia" w:ascii="宋体" w:hAnsi="宋体"/>
                <w:b/>
                <w:szCs w:val="21"/>
              </w:rPr>
            </w:pPr>
            <w:r>
              <w:rPr>
                <w:rFonts w:hint="eastAsia" w:ascii="宋体" w:hAnsi="宋体"/>
                <w:b/>
                <w:szCs w:val="21"/>
              </w:rPr>
              <w:t>帐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101" w:type="dxa"/>
            <w:noWrap w:val="0"/>
            <w:vAlign w:val="center"/>
          </w:tcPr>
          <w:p>
            <w:pPr>
              <w:spacing w:line="360" w:lineRule="auto"/>
              <w:rPr>
                <w:rFonts w:hint="eastAsia" w:ascii="宋体" w:hAnsi="宋体"/>
                <w:szCs w:val="21"/>
              </w:rPr>
            </w:pPr>
            <w:r>
              <w:rPr>
                <w:rFonts w:hint="eastAsia"/>
                <w:b/>
                <w:szCs w:val="21"/>
              </w:rPr>
              <w:t>联系电话：029-82201804</w:t>
            </w:r>
          </w:p>
        </w:tc>
        <w:tc>
          <w:tcPr>
            <w:tcW w:w="4647" w:type="dxa"/>
            <w:noWrap w:val="0"/>
            <w:vAlign w:val="center"/>
          </w:tcPr>
          <w:p>
            <w:pPr>
              <w:spacing w:line="360" w:lineRule="auto"/>
              <w:rPr>
                <w:rFonts w:hint="eastAsia" w:ascii="宋体" w:hAnsi="宋体"/>
                <w:szCs w:val="21"/>
              </w:rPr>
            </w:pPr>
            <w:r>
              <w:rPr>
                <w:rFonts w:hint="eastAsia"/>
                <w:b/>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101" w:type="dxa"/>
            <w:noWrap w:val="0"/>
            <w:vAlign w:val="center"/>
          </w:tcPr>
          <w:p>
            <w:pPr>
              <w:spacing w:line="360" w:lineRule="auto"/>
              <w:rPr>
                <w:rFonts w:hint="eastAsia"/>
                <w:b/>
                <w:szCs w:val="21"/>
              </w:rPr>
            </w:pPr>
            <w:r>
              <w:rPr>
                <w:rFonts w:hint="eastAsia"/>
                <w:b/>
                <w:szCs w:val="21"/>
              </w:rPr>
              <w:t>联系人：</w:t>
            </w:r>
          </w:p>
        </w:tc>
        <w:tc>
          <w:tcPr>
            <w:tcW w:w="4647" w:type="dxa"/>
            <w:noWrap w:val="0"/>
            <w:vAlign w:val="center"/>
          </w:tcPr>
          <w:p>
            <w:pPr>
              <w:spacing w:line="360" w:lineRule="auto"/>
              <w:rPr>
                <w:rFonts w:hint="eastAsia"/>
                <w:b/>
                <w:szCs w:val="21"/>
              </w:rPr>
            </w:pPr>
            <w:r>
              <w:rPr>
                <w:rFonts w:hint="eastAsia"/>
                <w:b/>
                <w:szCs w:val="21"/>
              </w:rPr>
              <w:t>联系人：</w:t>
            </w:r>
          </w:p>
        </w:tc>
      </w:tr>
    </w:tbl>
    <w:p>
      <w:pPr>
        <w:rPr>
          <w:rFonts w:hint="eastAsia" w:ascii="宋体" w:hAnsi="宋体"/>
          <w:b/>
          <w:sz w:val="28"/>
          <w:szCs w:val="28"/>
        </w:rPr>
      </w:pPr>
      <w:r>
        <w:rPr>
          <w:rFonts w:hint="eastAsia" w:ascii="宋体" w:hAnsi="宋体"/>
          <w:b/>
          <w:sz w:val="28"/>
          <w:szCs w:val="28"/>
        </w:rPr>
        <w:t>附件1：</w:t>
      </w:r>
    </w:p>
    <w:p>
      <w:pPr>
        <w:spacing w:after="156" w:afterLines="50"/>
        <w:jc w:val="center"/>
        <w:rPr>
          <w:rFonts w:hint="eastAsia" w:ascii="方正小标宋简体" w:hAnsi="宋体" w:eastAsia="方正小标宋简体"/>
          <w:b/>
          <w:sz w:val="28"/>
          <w:szCs w:val="28"/>
        </w:rPr>
      </w:pPr>
      <w:r>
        <w:rPr>
          <w:rFonts w:hint="eastAsia" w:ascii="方正小标宋简体" w:hAnsi="宋体" w:eastAsia="方正小标宋简体"/>
          <w:b/>
          <w:sz w:val="28"/>
          <w:szCs w:val="28"/>
        </w:rPr>
        <w:t>乙方提供设备配置清单及服务内容</w:t>
      </w:r>
    </w:p>
    <w:tbl>
      <w:tblPr>
        <w:tblStyle w:val="2"/>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701"/>
        <w:gridCol w:w="5953"/>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710" w:type="dxa"/>
            <w:noWrap w:val="0"/>
            <w:vAlign w:val="center"/>
          </w:tcPr>
          <w:p>
            <w:pPr>
              <w:spacing w:line="400" w:lineRule="exact"/>
              <w:jc w:val="center"/>
              <w:rPr>
                <w:rFonts w:hint="eastAsia" w:ascii="宋体" w:hAnsi="宋体"/>
                <w:b/>
                <w:color w:val="000000"/>
                <w:spacing w:val="-20"/>
                <w:szCs w:val="21"/>
              </w:rPr>
            </w:pPr>
            <w:r>
              <w:rPr>
                <w:rFonts w:hint="eastAsia" w:ascii="宋体" w:hAnsi="宋体"/>
                <w:b/>
                <w:color w:val="000000"/>
                <w:szCs w:val="21"/>
              </w:rPr>
              <w:t>序号</w:t>
            </w:r>
          </w:p>
        </w:tc>
        <w:tc>
          <w:tcPr>
            <w:tcW w:w="1701" w:type="dxa"/>
            <w:noWrap w:val="0"/>
            <w:vAlign w:val="center"/>
          </w:tcPr>
          <w:p>
            <w:pPr>
              <w:spacing w:line="400" w:lineRule="exact"/>
              <w:jc w:val="center"/>
              <w:rPr>
                <w:rFonts w:hint="eastAsia" w:ascii="宋体" w:hAnsi="宋体"/>
                <w:b/>
                <w:color w:val="000000"/>
                <w:spacing w:val="-20"/>
                <w:szCs w:val="21"/>
              </w:rPr>
            </w:pPr>
            <w:r>
              <w:rPr>
                <w:rFonts w:hint="eastAsia" w:ascii="宋体" w:hAnsi="宋体"/>
                <w:b/>
                <w:color w:val="000000"/>
                <w:spacing w:val="-20"/>
                <w:szCs w:val="21"/>
              </w:rPr>
              <w:t>技术要求</w:t>
            </w:r>
          </w:p>
        </w:tc>
        <w:tc>
          <w:tcPr>
            <w:tcW w:w="5953" w:type="dxa"/>
            <w:noWrap w:val="0"/>
            <w:vAlign w:val="center"/>
          </w:tcPr>
          <w:p>
            <w:pPr>
              <w:spacing w:line="400" w:lineRule="exact"/>
              <w:jc w:val="center"/>
              <w:rPr>
                <w:rFonts w:hint="eastAsia" w:ascii="宋体" w:hAnsi="宋体"/>
                <w:b/>
                <w:color w:val="000000"/>
                <w:szCs w:val="21"/>
              </w:rPr>
            </w:pPr>
            <w:r>
              <w:rPr>
                <w:rFonts w:hint="eastAsia" w:ascii="宋体" w:hAnsi="宋体"/>
                <w:b/>
                <w:color w:val="000000"/>
                <w:szCs w:val="21"/>
              </w:rPr>
              <w:t>品牌型号及主要技术参数</w:t>
            </w:r>
          </w:p>
        </w:tc>
        <w:tc>
          <w:tcPr>
            <w:tcW w:w="1276" w:type="dxa"/>
            <w:noWrap w:val="0"/>
            <w:vAlign w:val="center"/>
          </w:tcPr>
          <w:p>
            <w:pPr>
              <w:spacing w:line="400" w:lineRule="exact"/>
              <w:jc w:val="center"/>
              <w:rPr>
                <w:rFonts w:ascii="宋体" w:hAnsi="宋体"/>
                <w:b/>
                <w:color w:val="000000"/>
                <w:szCs w:val="21"/>
              </w:rPr>
            </w:pPr>
            <w:r>
              <w:rPr>
                <w:rFonts w:hint="eastAsia" w:ascii="宋体" w:hAnsi="宋体"/>
                <w:b/>
                <w:color w:val="000000"/>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7" w:hRule="atLeast"/>
        </w:trPr>
        <w:tc>
          <w:tcPr>
            <w:tcW w:w="710" w:type="dxa"/>
            <w:noWrap w:val="0"/>
            <w:vAlign w:val="center"/>
          </w:tcPr>
          <w:p>
            <w:pPr>
              <w:spacing w:line="400" w:lineRule="exact"/>
              <w:jc w:val="center"/>
              <w:rPr>
                <w:rFonts w:hint="eastAsia" w:hAnsi="宋体"/>
                <w:b/>
                <w:bCs/>
                <w:color w:val="000000"/>
                <w:szCs w:val="21"/>
              </w:rPr>
            </w:pPr>
            <w:r>
              <w:rPr>
                <w:rFonts w:hint="eastAsia" w:hAnsi="宋体"/>
                <w:b/>
                <w:bCs/>
                <w:color w:val="000000"/>
                <w:szCs w:val="21"/>
              </w:rPr>
              <w:t>1</w:t>
            </w:r>
          </w:p>
        </w:tc>
        <w:tc>
          <w:tcPr>
            <w:tcW w:w="1701" w:type="dxa"/>
            <w:noWrap w:val="0"/>
            <w:vAlign w:val="center"/>
          </w:tcPr>
          <w:p>
            <w:pPr>
              <w:spacing w:line="400" w:lineRule="exact"/>
              <w:jc w:val="center"/>
              <w:rPr>
                <w:rFonts w:hint="eastAsia" w:ascii="宋体" w:hAnsi="宋体"/>
                <w:b/>
                <w:szCs w:val="21"/>
              </w:rPr>
            </w:pPr>
          </w:p>
        </w:tc>
        <w:tc>
          <w:tcPr>
            <w:tcW w:w="5953" w:type="dxa"/>
            <w:noWrap w:val="0"/>
            <w:vAlign w:val="center"/>
          </w:tcPr>
          <w:p>
            <w:pPr>
              <w:spacing w:line="400" w:lineRule="exact"/>
              <w:rPr>
                <w:rFonts w:ascii="宋体" w:hAnsi="宋体" w:cs="Arial"/>
                <w:color w:val="000000"/>
                <w:kern w:val="0"/>
                <w:szCs w:val="21"/>
              </w:rPr>
            </w:pPr>
          </w:p>
        </w:tc>
        <w:tc>
          <w:tcPr>
            <w:tcW w:w="1276" w:type="dxa"/>
            <w:noWrap w:val="0"/>
            <w:vAlign w:val="center"/>
          </w:tcPr>
          <w:p>
            <w:pPr>
              <w:spacing w:line="400" w:lineRule="exact"/>
              <w:jc w:val="center"/>
              <w:rPr>
                <w:rFonts w:hint="eastAsia"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710" w:type="dxa"/>
            <w:noWrap w:val="0"/>
            <w:vAlign w:val="center"/>
          </w:tcPr>
          <w:p>
            <w:pPr>
              <w:spacing w:line="400" w:lineRule="exact"/>
              <w:jc w:val="center"/>
              <w:rPr>
                <w:rFonts w:hint="eastAsia" w:hAnsi="宋体"/>
                <w:b/>
                <w:bCs/>
                <w:color w:val="000000"/>
                <w:szCs w:val="21"/>
              </w:rPr>
            </w:pPr>
            <w:r>
              <w:rPr>
                <w:rFonts w:hint="eastAsia" w:hAnsi="宋体"/>
                <w:b/>
                <w:bCs/>
                <w:color w:val="000000"/>
                <w:szCs w:val="21"/>
              </w:rPr>
              <w:t>2</w:t>
            </w:r>
          </w:p>
        </w:tc>
        <w:tc>
          <w:tcPr>
            <w:tcW w:w="1701" w:type="dxa"/>
            <w:noWrap w:val="0"/>
            <w:vAlign w:val="center"/>
          </w:tcPr>
          <w:p>
            <w:pPr>
              <w:spacing w:line="400" w:lineRule="exact"/>
              <w:jc w:val="center"/>
              <w:rPr>
                <w:rFonts w:hint="eastAsia"/>
                <w:b/>
                <w:szCs w:val="21"/>
              </w:rPr>
            </w:pPr>
          </w:p>
        </w:tc>
        <w:tc>
          <w:tcPr>
            <w:tcW w:w="5953" w:type="dxa"/>
            <w:noWrap w:val="0"/>
            <w:vAlign w:val="center"/>
          </w:tcPr>
          <w:p>
            <w:pPr>
              <w:spacing w:line="400" w:lineRule="exact"/>
              <w:rPr>
                <w:rFonts w:hint="eastAsia" w:ascii="仿宋" w:hAnsi="仿宋" w:eastAsia="仿宋" w:cs="仿宋"/>
                <w:sz w:val="28"/>
                <w:szCs w:val="28"/>
              </w:rPr>
            </w:pPr>
          </w:p>
        </w:tc>
        <w:tc>
          <w:tcPr>
            <w:tcW w:w="1276" w:type="dxa"/>
            <w:noWrap w:val="0"/>
            <w:vAlign w:val="center"/>
          </w:tcPr>
          <w:p>
            <w:pPr>
              <w:spacing w:line="400" w:lineRule="exact"/>
              <w:jc w:val="center"/>
              <w:rPr>
                <w:rFonts w:hint="eastAsia"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710" w:type="dxa"/>
            <w:noWrap w:val="0"/>
            <w:vAlign w:val="center"/>
          </w:tcPr>
          <w:p>
            <w:pPr>
              <w:spacing w:line="400" w:lineRule="exact"/>
              <w:jc w:val="center"/>
              <w:rPr>
                <w:rFonts w:hint="eastAsia" w:hAnsi="宋体"/>
                <w:b/>
                <w:bCs/>
                <w:color w:val="000000"/>
                <w:szCs w:val="21"/>
              </w:rPr>
            </w:pPr>
            <w:r>
              <w:rPr>
                <w:rFonts w:hint="eastAsia" w:hAnsi="宋体"/>
                <w:b/>
                <w:bCs/>
                <w:color w:val="000000"/>
                <w:szCs w:val="21"/>
              </w:rPr>
              <w:t>3</w:t>
            </w:r>
          </w:p>
        </w:tc>
        <w:tc>
          <w:tcPr>
            <w:tcW w:w="1701" w:type="dxa"/>
            <w:noWrap w:val="0"/>
            <w:vAlign w:val="center"/>
          </w:tcPr>
          <w:p>
            <w:pPr>
              <w:spacing w:line="400" w:lineRule="exact"/>
              <w:jc w:val="center"/>
              <w:rPr>
                <w:rFonts w:hint="eastAsia" w:ascii="宋体" w:hAnsi="宋体" w:cs="宋体"/>
                <w:b/>
                <w:kern w:val="0"/>
                <w:szCs w:val="21"/>
              </w:rPr>
            </w:pPr>
          </w:p>
        </w:tc>
        <w:tc>
          <w:tcPr>
            <w:tcW w:w="5953" w:type="dxa"/>
            <w:noWrap w:val="0"/>
            <w:vAlign w:val="center"/>
          </w:tcPr>
          <w:p>
            <w:pPr>
              <w:spacing w:line="400" w:lineRule="exact"/>
              <w:rPr>
                <w:rFonts w:hint="eastAsia" w:ascii="宋体" w:hAnsi="宋体" w:cs="宋体"/>
                <w:b/>
                <w:kern w:val="0"/>
                <w:szCs w:val="21"/>
              </w:rPr>
            </w:pPr>
          </w:p>
        </w:tc>
        <w:tc>
          <w:tcPr>
            <w:tcW w:w="1276" w:type="dxa"/>
            <w:noWrap w:val="0"/>
            <w:vAlign w:val="center"/>
          </w:tcPr>
          <w:p>
            <w:pPr>
              <w:spacing w:line="400" w:lineRule="exact"/>
              <w:jc w:val="center"/>
              <w:rPr>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710" w:type="dxa"/>
            <w:noWrap w:val="0"/>
            <w:vAlign w:val="center"/>
          </w:tcPr>
          <w:p>
            <w:pPr>
              <w:spacing w:line="400" w:lineRule="exact"/>
              <w:jc w:val="center"/>
              <w:rPr>
                <w:rFonts w:hint="eastAsia" w:hAnsi="宋体"/>
                <w:b/>
                <w:bCs/>
                <w:color w:val="000000"/>
                <w:szCs w:val="21"/>
              </w:rPr>
            </w:pPr>
            <w:r>
              <w:rPr>
                <w:rFonts w:hint="eastAsia" w:hAnsi="宋体"/>
                <w:b/>
                <w:bCs/>
                <w:color w:val="000000"/>
                <w:szCs w:val="21"/>
              </w:rPr>
              <w:t>4</w:t>
            </w:r>
          </w:p>
        </w:tc>
        <w:tc>
          <w:tcPr>
            <w:tcW w:w="1701" w:type="dxa"/>
            <w:noWrap w:val="0"/>
            <w:vAlign w:val="center"/>
          </w:tcPr>
          <w:p>
            <w:pPr>
              <w:spacing w:line="400" w:lineRule="exact"/>
              <w:jc w:val="center"/>
              <w:rPr>
                <w:rFonts w:hint="eastAsia" w:ascii="宋体" w:hAnsi="宋体" w:cs="宋体"/>
                <w:b/>
                <w:kern w:val="0"/>
                <w:szCs w:val="21"/>
              </w:rPr>
            </w:pPr>
          </w:p>
        </w:tc>
        <w:tc>
          <w:tcPr>
            <w:tcW w:w="5953" w:type="dxa"/>
            <w:noWrap w:val="0"/>
            <w:vAlign w:val="center"/>
          </w:tcPr>
          <w:p>
            <w:pPr>
              <w:spacing w:line="400" w:lineRule="exact"/>
              <w:rPr>
                <w:rFonts w:hint="eastAsia" w:ascii="宋体" w:hAnsi="宋体" w:cs="宋体"/>
                <w:kern w:val="0"/>
                <w:szCs w:val="21"/>
              </w:rPr>
            </w:pPr>
          </w:p>
        </w:tc>
        <w:tc>
          <w:tcPr>
            <w:tcW w:w="1276" w:type="dxa"/>
            <w:noWrap w:val="0"/>
            <w:vAlign w:val="center"/>
          </w:tcPr>
          <w:p>
            <w:pPr>
              <w:spacing w:line="400" w:lineRule="exact"/>
              <w:jc w:val="center"/>
              <w:rPr>
                <w:rFonts w:hint="eastAsia" w:hAnsi="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710" w:type="dxa"/>
            <w:noWrap w:val="0"/>
            <w:vAlign w:val="center"/>
          </w:tcPr>
          <w:p>
            <w:pPr>
              <w:spacing w:line="400" w:lineRule="exact"/>
              <w:jc w:val="center"/>
              <w:rPr>
                <w:rFonts w:hint="eastAsia" w:hAnsi="宋体"/>
                <w:b/>
                <w:bCs/>
                <w:color w:val="000000"/>
                <w:szCs w:val="21"/>
              </w:rPr>
            </w:pPr>
            <w:r>
              <w:rPr>
                <w:rFonts w:hint="eastAsia" w:hAnsi="宋体"/>
                <w:b/>
                <w:bCs/>
                <w:color w:val="000000"/>
                <w:szCs w:val="21"/>
              </w:rPr>
              <w:t>5</w:t>
            </w:r>
          </w:p>
        </w:tc>
        <w:tc>
          <w:tcPr>
            <w:tcW w:w="1701" w:type="dxa"/>
            <w:noWrap w:val="0"/>
            <w:vAlign w:val="center"/>
          </w:tcPr>
          <w:p>
            <w:pPr>
              <w:spacing w:line="400" w:lineRule="exact"/>
              <w:jc w:val="center"/>
              <w:rPr>
                <w:rFonts w:hint="eastAsia" w:ascii="宋体" w:hAnsi="宋体" w:cs="宋体"/>
                <w:b/>
                <w:kern w:val="0"/>
                <w:szCs w:val="21"/>
              </w:rPr>
            </w:pPr>
          </w:p>
        </w:tc>
        <w:tc>
          <w:tcPr>
            <w:tcW w:w="5953" w:type="dxa"/>
            <w:noWrap w:val="0"/>
            <w:vAlign w:val="center"/>
          </w:tcPr>
          <w:p>
            <w:pPr>
              <w:spacing w:line="400" w:lineRule="exact"/>
              <w:rPr>
                <w:rFonts w:hint="eastAsia" w:ascii="宋体" w:hAnsi="宋体" w:cs="Arial"/>
                <w:color w:val="000000"/>
                <w:kern w:val="0"/>
                <w:szCs w:val="21"/>
              </w:rPr>
            </w:pPr>
          </w:p>
        </w:tc>
        <w:tc>
          <w:tcPr>
            <w:tcW w:w="1276" w:type="dxa"/>
            <w:noWrap w:val="0"/>
            <w:vAlign w:val="center"/>
          </w:tcPr>
          <w:p>
            <w:pPr>
              <w:spacing w:line="400" w:lineRule="exact"/>
              <w:jc w:val="center"/>
              <w:rPr>
                <w:rFonts w:hint="eastAsia"/>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710" w:type="dxa"/>
            <w:noWrap w:val="0"/>
            <w:vAlign w:val="center"/>
          </w:tcPr>
          <w:p>
            <w:pPr>
              <w:spacing w:line="400" w:lineRule="exact"/>
              <w:jc w:val="center"/>
              <w:rPr>
                <w:rFonts w:hint="eastAsia" w:hAnsi="宋体"/>
                <w:b/>
                <w:bCs/>
                <w:color w:val="000000"/>
                <w:szCs w:val="21"/>
              </w:rPr>
            </w:pPr>
            <w:r>
              <w:rPr>
                <w:rFonts w:hint="eastAsia" w:hAnsi="宋体"/>
                <w:b/>
                <w:bCs/>
                <w:color w:val="000000"/>
                <w:szCs w:val="21"/>
              </w:rPr>
              <w:t>6</w:t>
            </w:r>
          </w:p>
        </w:tc>
        <w:tc>
          <w:tcPr>
            <w:tcW w:w="1701" w:type="dxa"/>
            <w:noWrap w:val="0"/>
            <w:vAlign w:val="center"/>
          </w:tcPr>
          <w:p>
            <w:pPr>
              <w:spacing w:line="400" w:lineRule="exact"/>
              <w:jc w:val="center"/>
              <w:rPr>
                <w:rFonts w:hint="eastAsia" w:ascii="宋体" w:hAnsi="宋体" w:cs="宋体"/>
                <w:b/>
                <w:kern w:val="0"/>
                <w:szCs w:val="21"/>
              </w:rPr>
            </w:pPr>
          </w:p>
        </w:tc>
        <w:tc>
          <w:tcPr>
            <w:tcW w:w="5953" w:type="dxa"/>
            <w:noWrap w:val="0"/>
            <w:vAlign w:val="center"/>
          </w:tcPr>
          <w:p>
            <w:pPr>
              <w:spacing w:line="400" w:lineRule="exact"/>
              <w:rPr>
                <w:rFonts w:hint="eastAsia" w:ascii="宋体" w:hAnsi="宋体" w:cs="Arial"/>
                <w:color w:val="000000"/>
                <w:kern w:val="0"/>
                <w:szCs w:val="21"/>
              </w:rPr>
            </w:pPr>
          </w:p>
        </w:tc>
        <w:tc>
          <w:tcPr>
            <w:tcW w:w="1276" w:type="dxa"/>
            <w:noWrap w:val="0"/>
            <w:vAlign w:val="center"/>
          </w:tcPr>
          <w:p>
            <w:pPr>
              <w:spacing w:line="400" w:lineRule="exact"/>
              <w:jc w:val="center"/>
              <w:rPr>
                <w:rFonts w:hint="eastAsia"/>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710" w:type="dxa"/>
            <w:noWrap w:val="0"/>
            <w:vAlign w:val="center"/>
          </w:tcPr>
          <w:p>
            <w:pPr>
              <w:spacing w:line="400" w:lineRule="exact"/>
              <w:jc w:val="center"/>
              <w:rPr>
                <w:rFonts w:hint="eastAsia" w:hAnsi="宋体"/>
                <w:b/>
                <w:bCs/>
                <w:color w:val="000000"/>
                <w:szCs w:val="21"/>
              </w:rPr>
            </w:pPr>
            <w:r>
              <w:rPr>
                <w:rFonts w:hint="eastAsia" w:hAnsi="宋体"/>
                <w:b/>
                <w:bCs/>
                <w:color w:val="000000"/>
                <w:szCs w:val="21"/>
              </w:rPr>
              <w:t>7</w:t>
            </w:r>
          </w:p>
        </w:tc>
        <w:tc>
          <w:tcPr>
            <w:tcW w:w="1701" w:type="dxa"/>
            <w:noWrap w:val="0"/>
            <w:vAlign w:val="center"/>
          </w:tcPr>
          <w:p>
            <w:pPr>
              <w:widowControl/>
              <w:spacing w:line="400" w:lineRule="exact"/>
              <w:jc w:val="center"/>
              <w:rPr>
                <w:rFonts w:hint="eastAsia" w:ascii="宋体" w:hAnsi="宋体" w:cs="宋体"/>
                <w:b/>
                <w:kern w:val="0"/>
                <w:szCs w:val="21"/>
              </w:rPr>
            </w:pPr>
          </w:p>
        </w:tc>
        <w:tc>
          <w:tcPr>
            <w:tcW w:w="5953" w:type="dxa"/>
            <w:noWrap w:val="0"/>
            <w:vAlign w:val="center"/>
          </w:tcPr>
          <w:p>
            <w:pPr>
              <w:spacing w:line="400" w:lineRule="exact"/>
              <w:rPr>
                <w:rFonts w:hint="eastAsia" w:ascii="宋体" w:hAnsi="宋体" w:cs="Arial"/>
                <w:color w:val="000000"/>
                <w:kern w:val="0"/>
                <w:szCs w:val="21"/>
              </w:rPr>
            </w:pPr>
          </w:p>
        </w:tc>
        <w:tc>
          <w:tcPr>
            <w:tcW w:w="1276" w:type="dxa"/>
            <w:noWrap w:val="0"/>
            <w:vAlign w:val="center"/>
          </w:tcPr>
          <w:p>
            <w:pPr>
              <w:spacing w:line="400" w:lineRule="exact"/>
              <w:jc w:val="center"/>
              <w:rPr>
                <w:rFonts w:hint="eastAsia"/>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710" w:type="dxa"/>
            <w:noWrap w:val="0"/>
            <w:vAlign w:val="center"/>
          </w:tcPr>
          <w:p>
            <w:pPr>
              <w:spacing w:line="400" w:lineRule="exact"/>
              <w:jc w:val="center"/>
              <w:rPr>
                <w:rFonts w:hint="eastAsia" w:hAnsi="宋体"/>
                <w:b/>
                <w:bCs/>
                <w:color w:val="000000"/>
                <w:szCs w:val="21"/>
              </w:rPr>
            </w:pPr>
            <w:r>
              <w:rPr>
                <w:rFonts w:hint="eastAsia" w:hAnsi="宋体"/>
                <w:b/>
                <w:bCs/>
                <w:color w:val="000000"/>
                <w:szCs w:val="21"/>
              </w:rPr>
              <w:t>8</w:t>
            </w:r>
          </w:p>
        </w:tc>
        <w:tc>
          <w:tcPr>
            <w:tcW w:w="1701" w:type="dxa"/>
            <w:noWrap w:val="0"/>
            <w:vAlign w:val="center"/>
          </w:tcPr>
          <w:p>
            <w:pPr>
              <w:widowControl/>
              <w:spacing w:line="400" w:lineRule="exact"/>
              <w:jc w:val="center"/>
              <w:rPr>
                <w:rFonts w:hint="eastAsia" w:ascii="宋体" w:hAnsi="宋体" w:cs="宋体"/>
                <w:b/>
                <w:kern w:val="0"/>
                <w:szCs w:val="21"/>
              </w:rPr>
            </w:pPr>
          </w:p>
        </w:tc>
        <w:tc>
          <w:tcPr>
            <w:tcW w:w="5953" w:type="dxa"/>
            <w:noWrap w:val="0"/>
            <w:vAlign w:val="center"/>
          </w:tcPr>
          <w:p>
            <w:pPr>
              <w:spacing w:line="400" w:lineRule="exact"/>
              <w:rPr>
                <w:rFonts w:hint="eastAsia" w:ascii="宋体" w:hAnsi="宋体" w:cs="Arial"/>
                <w:color w:val="000000"/>
                <w:kern w:val="0"/>
                <w:szCs w:val="21"/>
              </w:rPr>
            </w:pPr>
          </w:p>
        </w:tc>
        <w:tc>
          <w:tcPr>
            <w:tcW w:w="1276" w:type="dxa"/>
            <w:noWrap w:val="0"/>
            <w:vAlign w:val="center"/>
          </w:tcPr>
          <w:p>
            <w:pPr>
              <w:spacing w:line="280" w:lineRule="exact"/>
              <w:jc w:val="center"/>
              <w:rPr>
                <w:rFonts w:hint="eastAsia"/>
                <w:b/>
                <w:bCs/>
                <w:color w:val="00000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710" w:type="dxa"/>
            <w:noWrap w:val="0"/>
            <w:vAlign w:val="center"/>
          </w:tcPr>
          <w:p>
            <w:pPr>
              <w:spacing w:line="400" w:lineRule="exact"/>
              <w:jc w:val="center"/>
              <w:rPr>
                <w:rFonts w:hint="eastAsia" w:hAnsi="宋体"/>
                <w:b/>
                <w:bCs/>
                <w:color w:val="000000"/>
                <w:szCs w:val="21"/>
              </w:rPr>
            </w:pPr>
            <w:r>
              <w:rPr>
                <w:rFonts w:hint="eastAsia" w:hAnsi="宋体"/>
                <w:b/>
                <w:bCs/>
                <w:color w:val="000000"/>
                <w:szCs w:val="21"/>
              </w:rPr>
              <w:t>9</w:t>
            </w:r>
          </w:p>
        </w:tc>
        <w:tc>
          <w:tcPr>
            <w:tcW w:w="1701" w:type="dxa"/>
            <w:noWrap w:val="0"/>
            <w:vAlign w:val="center"/>
          </w:tcPr>
          <w:p>
            <w:pPr>
              <w:widowControl/>
              <w:spacing w:line="400" w:lineRule="exact"/>
              <w:jc w:val="center"/>
              <w:rPr>
                <w:rFonts w:hint="eastAsia" w:ascii="宋体" w:hAnsi="宋体" w:cs="宋体"/>
                <w:b/>
                <w:kern w:val="0"/>
                <w:szCs w:val="21"/>
              </w:rPr>
            </w:pPr>
          </w:p>
        </w:tc>
        <w:tc>
          <w:tcPr>
            <w:tcW w:w="5953" w:type="dxa"/>
            <w:noWrap w:val="0"/>
            <w:vAlign w:val="center"/>
          </w:tcPr>
          <w:p>
            <w:pPr>
              <w:spacing w:line="400" w:lineRule="exact"/>
              <w:rPr>
                <w:rFonts w:hint="eastAsia" w:ascii="宋体" w:hAnsi="宋体" w:cs="Arial"/>
                <w:color w:val="000000"/>
                <w:kern w:val="0"/>
                <w:szCs w:val="21"/>
              </w:rPr>
            </w:pPr>
          </w:p>
        </w:tc>
        <w:tc>
          <w:tcPr>
            <w:tcW w:w="1276" w:type="dxa"/>
            <w:noWrap w:val="0"/>
            <w:vAlign w:val="center"/>
          </w:tcPr>
          <w:p>
            <w:pPr>
              <w:spacing w:line="400" w:lineRule="exact"/>
              <w:jc w:val="center"/>
              <w:rPr>
                <w:rFonts w:hint="eastAsia"/>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710" w:type="dxa"/>
            <w:noWrap w:val="0"/>
            <w:vAlign w:val="center"/>
          </w:tcPr>
          <w:p>
            <w:pPr>
              <w:spacing w:line="400" w:lineRule="exact"/>
              <w:jc w:val="center"/>
              <w:rPr>
                <w:rFonts w:hint="eastAsia" w:hAnsi="宋体"/>
                <w:b/>
                <w:bCs/>
                <w:color w:val="000000"/>
                <w:szCs w:val="21"/>
              </w:rPr>
            </w:pPr>
            <w:r>
              <w:rPr>
                <w:rFonts w:hint="eastAsia" w:hAnsi="宋体"/>
                <w:b/>
                <w:bCs/>
                <w:color w:val="000000"/>
                <w:szCs w:val="21"/>
              </w:rPr>
              <w:t>10</w:t>
            </w:r>
          </w:p>
        </w:tc>
        <w:tc>
          <w:tcPr>
            <w:tcW w:w="1701" w:type="dxa"/>
            <w:noWrap w:val="0"/>
            <w:vAlign w:val="center"/>
          </w:tcPr>
          <w:p>
            <w:pPr>
              <w:widowControl/>
              <w:spacing w:line="400" w:lineRule="exact"/>
              <w:jc w:val="center"/>
              <w:rPr>
                <w:rFonts w:hint="eastAsia" w:ascii="宋体" w:hAnsi="宋体" w:cs="宋体"/>
                <w:b/>
                <w:kern w:val="0"/>
                <w:szCs w:val="21"/>
              </w:rPr>
            </w:pPr>
          </w:p>
        </w:tc>
        <w:tc>
          <w:tcPr>
            <w:tcW w:w="5953" w:type="dxa"/>
            <w:noWrap w:val="0"/>
            <w:vAlign w:val="center"/>
          </w:tcPr>
          <w:p>
            <w:pPr>
              <w:spacing w:line="400" w:lineRule="exact"/>
              <w:rPr>
                <w:rFonts w:hint="eastAsia" w:ascii="宋体" w:hAnsi="宋体" w:cs="Arial"/>
                <w:color w:val="000000"/>
                <w:kern w:val="0"/>
                <w:szCs w:val="21"/>
              </w:rPr>
            </w:pPr>
          </w:p>
        </w:tc>
        <w:tc>
          <w:tcPr>
            <w:tcW w:w="1276" w:type="dxa"/>
            <w:noWrap w:val="0"/>
            <w:vAlign w:val="center"/>
          </w:tcPr>
          <w:p>
            <w:pPr>
              <w:spacing w:line="400" w:lineRule="exact"/>
              <w:jc w:val="center"/>
              <w:rPr>
                <w:rFonts w:hint="eastAsia"/>
                <w:b/>
                <w:bCs/>
                <w:color w:val="000000"/>
                <w:szCs w:val="21"/>
              </w:rPr>
            </w:pPr>
          </w:p>
        </w:tc>
      </w:tr>
    </w:tbl>
    <w:p>
      <w:pPr>
        <w:spacing w:before="156" w:beforeLines="50"/>
        <w:ind w:left="5746" w:hanging="5746" w:hangingChars="2385"/>
        <w:rPr>
          <w:rFonts w:hint="eastAsia"/>
          <w:b/>
          <w:sz w:val="24"/>
        </w:rPr>
      </w:pPr>
    </w:p>
    <w:p>
      <w:r>
        <w:rPr>
          <w:rFonts w:hint="eastAsia"/>
        </w:rPr>
        <w:t>乙方的服务承包具体内容：</w:t>
      </w:r>
    </w:p>
    <w:p>
      <w:pPr>
        <w:spacing w:line="460" w:lineRule="exact"/>
        <w:ind w:firstLine="420" w:firstLineChars="200"/>
        <w:rPr>
          <w:rFonts w:ascii="宋体" w:hAnsi="宋体"/>
          <w:szCs w:val="21"/>
        </w:rPr>
      </w:pPr>
      <w:r>
        <w:rPr>
          <w:rFonts w:hint="eastAsia" w:ascii="宋体" w:hAnsi="宋体"/>
          <w:szCs w:val="21"/>
        </w:rPr>
        <w:t>乙方按招投标文件响应要求，提供符合教学使用的计算机，购置安装符合甲方教学需求的投影仪、计算机教学资源平台、外语语音教学设备等计算与语言教学设备及配套设施，并聘请相关人员负责仪器设备的日常管理和维护，为师生做好教学服务工作。乙方在完成合同明确规定的责任和义务后，需按合同要求收取和缴纳相关费用。</w:t>
      </w:r>
    </w:p>
    <w:p/>
    <w:p>
      <w:pPr>
        <w:spacing w:before="156" w:beforeLines="50"/>
        <w:rPr>
          <w:rFonts w:hint="eastAsia"/>
          <w:b/>
          <w:sz w:val="24"/>
        </w:rPr>
      </w:pPr>
    </w:p>
    <w:p>
      <w:pPr>
        <w:spacing w:before="156" w:beforeLines="50"/>
        <w:rPr>
          <w:rFonts w:hint="eastAsia"/>
          <w:b/>
          <w:sz w:val="24"/>
        </w:rPr>
      </w:pPr>
    </w:p>
    <w:p>
      <w:pPr>
        <w:spacing w:before="156" w:beforeLines="50"/>
        <w:rPr>
          <w:rFonts w:hint="eastAsia"/>
          <w:b/>
          <w:sz w:val="24"/>
        </w:rPr>
      </w:pPr>
    </w:p>
    <w:p>
      <w:pPr>
        <w:spacing w:before="156" w:beforeLines="50"/>
        <w:rPr>
          <w:rFonts w:hint="eastAsia"/>
          <w:b/>
          <w:sz w:val="24"/>
        </w:rPr>
      </w:pPr>
      <w:r>
        <w:rPr>
          <w:rFonts w:hint="eastAsia"/>
          <w:b/>
          <w:sz w:val="24"/>
        </w:rPr>
        <w:t>附件2：</w:t>
      </w:r>
    </w:p>
    <w:p>
      <w:pPr>
        <w:spacing w:after="156" w:afterLines="50"/>
        <w:jc w:val="center"/>
        <w:rPr>
          <w:rFonts w:hint="eastAsia" w:ascii="方正小标宋简体" w:hAnsi="宋体" w:eastAsia="方正小标宋简体"/>
          <w:b/>
          <w:sz w:val="28"/>
          <w:szCs w:val="28"/>
        </w:rPr>
      </w:pPr>
      <w:r>
        <w:rPr>
          <w:rFonts w:hint="eastAsia" w:ascii="方正小标宋简体" w:hAnsi="宋体" w:eastAsia="方正小标宋简体"/>
          <w:b/>
          <w:sz w:val="28"/>
          <w:szCs w:val="28"/>
        </w:rPr>
        <w:t>草堂校区计算与语言中心使用教室清单</w:t>
      </w:r>
    </w:p>
    <w:tbl>
      <w:tblPr>
        <w:tblStyle w:val="2"/>
        <w:tblW w:w="0" w:type="auto"/>
        <w:jc w:val="center"/>
        <w:tblLayout w:type="fixed"/>
        <w:tblCellMar>
          <w:top w:w="0" w:type="dxa"/>
          <w:left w:w="108" w:type="dxa"/>
          <w:bottom w:w="0" w:type="dxa"/>
          <w:right w:w="108" w:type="dxa"/>
        </w:tblCellMar>
      </w:tblPr>
      <w:tblGrid>
        <w:gridCol w:w="1800"/>
        <w:gridCol w:w="2184"/>
        <w:gridCol w:w="1560"/>
        <w:gridCol w:w="2551"/>
      </w:tblGrid>
      <w:tr>
        <w:tblPrEx>
          <w:tblCellMar>
            <w:top w:w="0" w:type="dxa"/>
            <w:left w:w="108" w:type="dxa"/>
            <w:bottom w:w="0" w:type="dxa"/>
            <w:right w:w="108" w:type="dxa"/>
          </w:tblCellMar>
        </w:tblPrEx>
        <w:trPr>
          <w:trHeight w:val="518" w:hRule="atLeast"/>
          <w:jc w:val="center"/>
        </w:trPr>
        <w:tc>
          <w:tcPr>
            <w:tcW w:w="180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楼名</w:t>
            </w:r>
          </w:p>
        </w:tc>
        <w:tc>
          <w:tcPr>
            <w:tcW w:w="2184"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房号</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开间</w:t>
            </w:r>
          </w:p>
        </w:tc>
        <w:tc>
          <w:tcPr>
            <w:tcW w:w="2551"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b/>
                <w:bCs/>
                <w:kern w:val="0"/>
                <w:sz w:val="20"/>
                <w:szCs w:val="20"/>
                <w:lang w:eastAsia="zh-CN"/>
              </w:rPr>
            </w:pPr>
            <w:r>
              <w:rPr>
                <w:rFonts w:hint="eastAsia" w:ascii="宋体" w:hAnsi="宋体" w:cs="宋体"/>
                <w:b/>
                <w:bCs/>
                <w:kern w:val="0"/>
                <w:sz w:val="20"/>
                <w:szCs w:val="20"/>
              </w:rPr>
              <w:t>使用面积</w:t>
            </w:r>
          </w:p>
          <w:p>
            <w:pPr>
              <w:widowControl/>
              <w:jc w:val="center"/>
              <w:rPr>
                <w:rFonts w:ascii="宋体" w:hAnsi="宋体" w:cs="宋体"/>
                <w:b/>
                <w:bCs/>
                <w:kern w:val="0"/>
                <w:sz w:val="20"/>
                <w:szCs w:val="20"/>
              </w:rPr>
            </w:pPr>
            <w:r>
              <w:rPr>
                <w:rFonts w:hint="eastAsia" w:ascii="宋体" w:hAnsi="宋体" w:cs="宋体"/>
                <w:b/>
                <w:bCs/>
                <w:kern w:val="0"/>
                <w:sz w:val="20"/>
                <w:szCs w:val="20"/>
              </w:rPr>
              <w:t>（㎡）</w:t>
            </w:r>
          </w:p>
        </w:tc>
      </w:tr>
      <w:tr>
        <w:tblPrEx>
          <w:tblCellMar>
            <w:top w:w="0" w:type="dxa"/>
            <w:left w:w="108" w:type="dxa"/>
            <w:bottom w:w="0" w:type="dxa"/>
            <w:right w:w="108" w:type="dxa"/>
          </w:tblCellMar>
        </w:tblPrEx>
        <w:trPr>
          <w:trHeight w:val="518" w:hRule="atLeast"/>
          <w:jc w:val="center"/>
        </w:trPr>
        <w:tc>
          <w:tcPr>
            <w:tcW w:w="1800" w:type="dxa"/>
            <w:vMerge w:val="restart"/>
            <w:tcBorders>
              <w:top w:val="single" w:color="auto" w:sz="4" w:space="0"/>
              <w:left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学府城南区8#</w:t>
            </w:r>
          </w:p>
        </w:tc>
        <w:tc>
          <w:tcPr>
            <w:tcW w:w="2184"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301</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2</w:t>
            </w:r>
          </w:p>
        </w:tc>
        <w:tc>
          <w:tcPr>
            <w:tcW w:w="2551"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69.12</w:t>
            </w:r>
          </w:p>
        </w:tc>
      </w:tr>
      <w:tr>
        <w:tblPrEx>
          <w:tblCellMar>
            <w:top w:w="0" w:type="dxa"/>
            <w:left w:w="108" w:type="dxa"/>
            <w:bottom w:w="0" w:type="dxa"/>
            <w:right w:w="108" w:type="dxa"/>
          </w:tblCellMar>
        </w:tblPrEx>
        <w:trPr>
          <w:trHeight w:val="518" w:hRule="atLeast"/>
          <w:jc w:val="center"/>
        </w:trPr>
        <w:tc>
          <w:tcPr>
            <w:tcW w:w="1800" w:type="dxa"/>
            <w:vMerge w:val="continue"/>
            <w:tcBorders>
              <w:left w:val="single" w:color="auto" w:sz="4" w:space="0"/>
              <w:right w:val="single" w:color="auto" w:sz="4" w:space="0"/>
            </w:tcBorders>
            <w:noWrap w:val="0"/>
            <w:vAlign w:val="center"/>
          </w:tcPr>
          <w:p>
            <w:pPr>
              <w:jc w:val="center"/>
              <w:rPr>
                <w:rFonts w:ascii="宋体" w:hAnsi="宋体" w:cs="宋体"/>
                <w:kern w:val="0"/>
                <w:sz w:val="20"/>
                <w:szCs w:val="20"/>
              </w:rPr>
            </w:pPr>
          </w:p>
        </w:tc>
        <w:tc>
          <w:tcPr>
            <w:tcW w:w="2184"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302</w:t>
            </w:r>
          </w:p>
        </w:tc>
        <w:tc>
          <w:tcPr>
            <w:tcW w:w="15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2551"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xml:space="preserve">138.24 </w:t>
            </w:r>
          </w:p>
        </w:tc>
      </w:tr>
      <w:tr>
        <w:tblPrEx>
          <w:tblCellMar>
            <w:top w:w="0" w:type="dxa"/>
            <w:left w:w="108" w:type="dxa"/>
            <w:bottom w:w="0" w:type="dxa"/>
            <w:right w:w="108" w:type="dxa"/>
          </w:tblCellMar>
        </w:tblPrEx>
        <w:trPr>
          <w:trHeight w:val="518" w:hRule="atLeast"/>
          <w:jc w:val="center"/>
        </w:trPr>
        <w:tc>
          <w:tcPr>
            <w:tcW w:w="1800" w:type="dxa"/>
            <w:vMerge w:val="continue"/>
            <w:tcBorders>
              <w:left w:val="single" w:color="auto" w:sz="4" w:space="0"/>
              <w:right w:val="single" w:color="auto" w:sz="4" w:space="0"/>
            </w:tcBorders>
            <w:noWrap w:val="0"/>
            <w:vAlign w:val="center"/>
          </w:tcPr>
          <w:p>
            <w:pPr>
              <w:jc w:val="center"/>
              <w:rPr>
                <w:rFonts w:ascii="宋体" w:hAnsi="宋体" w:cs="宋体"/>
                <w:kern w:val="0"/>
                <w:sz w:val="20"/>
                <w:szCs w:val="20"/>
              </w:rPr>
            </w:pPr>
          </w:p>
        </w:tc>
        <w:tc>
          <w:tcPr>
            <w:tcW w:w="2184"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303</w:t>
            </w:r>
          </w:p>
        </w:tc>
        <w:tc>
          <w:tcPr>
            <w:tcW w:w="1560"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551"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xml:space="preserve">28.44 </w:t>
            </w:r>
          </w:p>
        </w:tc>
      </w:tr>
      <w:tr>
        <w:tblPrEx>
          <w:tblCellMar>
            <w:top w:w="0" w:type="dxa"/>
            <w:left w:w="108" w:type="dxa"/>
            <w:bottom w:w="0" w:type="dxa"/>
            <w:right w:w="108" w:type="dxa"/>
          </w:tblCellMar>
        </w:tblPrEx>
        <w:trPr>
          <w:trHeight w:val="518" w:hRule="atLeast"/>
          <w:jc w:val="center"/>
        </w:trPr>
        <w:tc>
          <w:tcPr>
            <w:tcW w:w="1800" w:type="dxa"/>
            <w:vMerge w:val="continue"/>
            <w:tcBorders>
              <w:left w:val="single" w:color="auto" w:sz="4" w:space="0"/>
              <w:right w:val="single" w:color="auto" w:sz="4" w:space="0"/>
            </w:tcBorders>
            <w:noWrap w:val="0"/>
            <w:vAlign w:val="center"/>
          </w:tcPr>
          <w:p>
            <w:pPr>
              <w:jc w:val="center"/>
              <w:rPr>
                <w:rFonts w:ascii="宋体" w:hAnsi="宋体" w:cs="宋体"/>
                <w:kern w:val="0"/>
                <w:sz w:val="20"/>
                <w:szCs w:val="20"/>
              </w:rPr>
            </w:pPr>
          </w:p>
        </w:tc>
        <w:tc>
          <w:tcPr>
            <w:tcW w:w="2184"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304</w:t>
            </w:r>
          </w:p>
        </w:tc>
        <w:tc>
          <w:tcPr>
            <w:tcW w:w="1560"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2551"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xml:space="preserve">138.24 </w:t>
            </w:r>
          </w:p>
        </w:tc>
      </w:tr>
      <w:tr>
        <w:tblPrEx>
          <w:tblCellMar>
            <w:top w:w="0" w:type="dxa"/>
            <w:left w:w="108" w:type="dxa"/>
            <w:bottom w:w="0" w:type="dxa"/>
            <w:right w:w="108" w:type="dxa"/>
          </w:tblCellMar>
        </w:tblPrEx>
        <w:trPr>
          <w:trHeight w:val="518" w:hRule="atLeast"/>
          <w:jc w:val="center"/>
        </w:trPr>
        <w:tc>
          <w:tcPr>
            <w:tcW w:w="1800" w:type="dxa"/>
            <w:vMerge w:val="continue"/>
            <w:tcBorders>
              <w:left w:val="single" w:color="auto" w:sz="4" w:space="0"/>
              <w:right w:val="single" w:color="auto" w:sz="4" w:space="0"/>
            </w:tcBorders>
            <w:noWrap w:val="0"/>
            <w:vAlign w:val="center"/>
          </w:tcPr>
          <w:p>
            <w:pPr>
              <w:jc w:val="center"/>
              <w:rPr>
                <w:rFonts w:ascii="宋体" w:hAnsi="宋体" w:cs="宋体"/>
                <w:kern w:val="0"/>
                <w:sz w:val="20"/>
                <w:szCs w:val="20"/>
              </w:rPr>
            </w:pPr>
          </w:p>
        </w:tc>
        <w:tc>
          <w:tcPr>
            <w:tcW w:w="2184"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305</w:t>
            </w:r>
          </w:p>
        </w:tc>
        <w:tc>
          <w:tcPr>
            <w:tcW w:w="1560"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2551"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xml:space="preserve">138.24 </w:t>
            </w:r>
          </w:p>
        </w:tc>
      </w:tr>
      <w:tr>
        <w:tblPrEx>
          <w:tblCellMar>
            <w:top w:w="0" w:type="dxa"/>
            <w:left w:w="108" w:type="dxa"/>
            <w:bottom w:w="0" w:type="dxa"/>
            <w:right w:w="108" w:type="dxa"/>
          </w:tblCellMar>
        </w:tblPrEx>
        <w:trPr>
          <w:trHeight w:val="518" w:hRule="atLeast"/>
          <w:jc w:val="center"/>
        </w:trPr>
        <w:tc>
          <w:tcPr>
            <w:tcW w:w="1800" w:type="dxa"/>
            <w:vMerge w:val="continue"/>
            <w:tcBorders>
              <w:left w:val="single" w:color="auto" w:sz="4" w:space="0"/>
              <w:right w:val="single" w:color="auto" w:sz="4" w:space="0"/>
            </w:tcBorders>
            <w:noWrap w:val="0"/>
            <w:vAlign w:val="center"/>
          </w:tcPr>
          <w:p>
            <w:pPr>
              <w:jc w:val="center"/>
              <w:rPr>
                <w:rFonts w:ascii="宋体" w:hAnsi="宋体" w:cs="宋体"/>
                <w:kern w:val="0"/>
                <w:sz w:val="20"/>
                <w:szCs w:val="20"/>
              </w:rPr>
            </w:pPr>
          </w:p>
        </w:tc>
        <w:tc>
          <w:tcPr>
            <w:tcW w:w="2184"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307</w:t>
            </w:r>
          </w:p>
        </w:tc>
        <w:tc>
          <w:tcPr>
            <w:tcW w:w="1560"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551"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xml:space="preserve">28.44 </w:t>
            </w:r>
          </w:p>
        </w:tc>
      </w:tr>
      <w:tr>
        <w:tblPrEx>
          <w:tblCellMar>
            <w:top w:w="0" w:type="dxa"/>
            <w:left w:w="108" w:type="dxa"/>
            <w:bottom w:w="0" w:type="dxa"/>
            <w:right w:w="108" w:type="dxa"/>
          </w:tblCellMar>
        </w:tblPrEx>
        <w:trPr>
          <w:trHeight w:val="518" w:hRule="atLeast"/>
          <w:jc w:val="center"/>
        </w:trPr>
        <w:tc>
          <w:tcPr>
            <w:tcW w:w="1800" w:type="dxa"/>
            <w:vMerge w:val="continue"/>
            <w:tcBorders>
              <w:left w:val="single" w:color="auto" w:sz="4" w:space="0"/>
              <w:right w:val="single" w:color="auto" w:sz="4" w:space="0"/>
            </w:tcBorders>
            <w:noWrap w:val="0"/>
            <w:vAlign w:val="center"/>
          </w:tcPr>
          <w:p>
            <w:pPr>
              <w:jc w:val="center"/>
              <w:rPr>
                <w:rFonts w:ascii="宋体" w:hAnsi="宋体" w:cs="宋体"/>
                <w:kern w:val="0"/>
                <w:sz w:val="20"/>
                <w:szCs w:val="20"/>
              </w:rPr>
            </w:pPr>
          </w:p>
        </w:tc>
        <w:tc>
          <w:tcPr>
            <w:tcW w:w="2184"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308</w:t>
            </w:r>
          </w:p>
        </w:tc>
        <w:tc>
          <w:tcPr>
            <w:tcW w:w="1560"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2551"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xml:space="preserve">207.36 </w:t>
            </w:r>
          </w:p>
        </w:tc>
      </w:tr>
      <w:tr>
        <w:tblPrEx>
          <w:tblCellMar>
            <w:top w:w="0" w:type="dxa"/>
            <w:left w:w="108" w:type="dxa"/>
            <w:bottom w:w="0" w:type="dxa"/>
            <w:right w:w="108" w:type="dxa"/>
          </w:tblCellMar>
        </w:tblPrEx>
        <w:trPr>
          <w:trHeight w:val="518" w:hRule="atLeast"/>
          <w:jc w:val="center"/>
        </w:trPr>
        <w:tc>
          <w:tcPr>
            <w:tcW w:w="1800" w:type="dxa"/>
            <w:vMerge w:val="continue"/>
            <w:tcBorders>
              <w:left w:val="single" w:color="auto" w:sz="4" w:space="0"/>
              <w:right w:val="single" w:color="auto" w:sz="4" w:space="0"/>
            </w:tcBorders>
            <w:noWrap w:val="0"/>
            <w:vAlign w:val="center"/>
          </w:tcPr>
          <w:p>
            <w:pPr>
              <w:jc w:val="center"/>
              <w:rPr>
                <w:rFonts w:ascii="宋体" w:hAnsi="宋体" w:cs="宋体"/>
                <w:kern w:val="0"/>
                <w:sz w:val="20"/>
                <w:szCs w:val="20"/>
              </w:rPr>
            </w:pPr>
          </w:p>
        </w:tc>
        <w:tc>
          <w:tcPr>
            <w:tcW w:w="2184"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309</w:t>
            </w:r>
          </w:p>
        </w:tc>
        <w:tc>
          <w:tcPr>
            <w:tcW w:w="1560"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2551"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xml:space="preserve">103.68 </w:t>
            </w:r>
          </w:p>
        </w:tc>
      </w:tr>
      <w:tr>
        <w:tblPrEx>
          <w:tblCellMar>
            <w:top w:w="0" w:type="dxa"/>
            <w:left w:w="108" w:type="dxa"/>
            <w:bottom w:w="0" w:type="dxa"/>
            <w:right w:w="108" w:type="dxa"/>
          </w:tblCellMar>
        </w:tblPrEx>
        <w:trPr>
          <w:trHeight w:val="518" w:hRule="atLeast"/>
          <w:jc w:val="center"/>
        </w:trPr>
        <w:tc>
          <w:tcPr>
            <w:tcW w:w="1800" w:type="dxa"/>
            <w:vMerge w:val="continue"/>
            <w:tcBorders>
              <w:left w:val="single" w:color="auto" w:sz="4" w:space="0"/>
              <w:right w:val="single" w:color="auto" w:sz="4" w:space="0"/>
            </w:tcBorders>
            <w:noWrap w:val="0"/>
            <w:vAlign w:val="center"/>
          </w:tcPr>
          <w:p>
            <w:pPr>
              <w:jc w:val="center"/>
              <w:rPr>
                <w:rFonts w:ascii="宋体" w:hAnsi="宋体" w:cs="宋体"/>
                <w:kern w:val="0"/>
                <w:sz w:val="20"/>
                <w:szCs w:val="20"/>
              </w:rPr>
            </w:pPr>
          </w:p>
        </w:tc>
        <w:tc>
          <w:tcPr>
            <w:tcW w:w="2184"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310</w:t>
            </w:r>
          </w:p>
        </w:tc>
        <w:tc>
          <w:tcPr>
            <w:tcW w:w="1560"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2551"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xml:space="preserve">103.68 </w:t>
            </w:r>
          </w:p>
        </w:tc>
      </w:tr>
      <w:tr>
        <w:tblPrEx>
          <w:tblCellMar>
            <w:top w:w="0" w:type="dxa"/>
            <w:left w:w="108" w:type="dxa"/>
            <w:bottom w:w="0" w:type="dxa"/>
            <w:right w:w="108" w:type="dxa"/>
          </w:tblCellMar>
        </w:tblPrEx>
        <w:trPr>
          <w:trHeight w:val="518" w:hRule="atLeast"/>
          <w:jc w:val="center"/>
        </w:trPr>
        <w:tc>
          <w:tcPr>
            <w:tcW w:w="1800" w:type="dxa"/>
            <w:vMerge w:val="continue"/>
            <w:tcBorders>
              <w:left w:val="single" w:color="auto" w:sz="4" w:space="0"/>
              <w:right w:val="single" w:color="auto" w:sz="4" w:space="0"/>
            </w:tcBorders>
            <w:noWrap w:val="0"/>
            <w:vAlign w:val="center"/>
          </w:tcPr>
          <w:p>
            <w:pPr>
              <w:jc w:val="center"/>
              <w:rPr>
                <w:rFonts w:ascii="宋体" w:hAnsi="宋体" w:cs="宋体"/>
                <w:kern w:val="0"/>
                <w:sz w:val="20"/>
                <w:szCs w:val="20"/>
              </w:rPr>
            </w:pPr>
          </w:p>
        </w:tc>
        <w:tc>
          <w:tcPr>
            <w:tcW w:w="2184"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313</w:t>
            </w:r>
          </w:p>
        </w:tc>
        <w:tc>
          <w:tcPr>
            <w:tcW w:w="156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w:t>
            </w:r>
          </w:p>
        </w:tc>
        <w:tc>
          <w:tcPr>
            <w:tcW w:w="2551"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xml:space="preserve">28.44 </w:t>
            </w:r>
          </w:p>
        </w:tc>
      </w:tr>
      <w:tr>
        <w:tblPrEx>
          <w:tblCellMar>
            <w:top w:w="0" w:type="dxa"/>
            <w:left w:w="108" w:type="dxa"/>
            <w:bottom w:w="0" w:type="dxa"/>
            <w:right w:w="108" w:type="dxa"/>
          </w:tblCellMar>
        </w:tblPrEx>
        <w:trPr>
          <w:trHeight w:val="518" w:hRule="atLeast"/>
          <w:jc w:val="center"/>
        </w:trPr>
        <w:tc>
          <w:tcPr>
            <w:tcW w:w="1800" w:type="dxa"/>
            <w:vMerge w:val="continue"/>
            <w:tcBorders>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0"/>
                <w:szCs w:val="20"/>
              </w:rPr>
            </w:pPr>
          </w:p>
        </w:tc>
        <w:tc>
          <w:tcPr>
            <w:tcW w:w="2184"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314</w:t>
            </w:r>
          </w:p>
        </w:tc>
        <w:tc>
          <w:tcPr>
            <w:tcW w:w="1560"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2551"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xml:space="preserve">207.36 </w:t>
            </w:r>
          </w:p>
        </w:tc>
      </w:tr>
      <w:tr>
        <w:tblPrEx>
          <w:tblCellMar>
            <w:top w:w="0" w:type="dxa"/>
            <w:left w:w="108" w:type="dxa"/>
            <w:bottom w:w="0" w:type="dxa"/>
            <w:right w:w="108" w:type="dxa"/>
          </w:tblCellMar>
        </w:tblPrEx>
        <w:trPr>
          <w:trHeight w:val="518" w:hRule="atLeast"/>
          <w:jc w:val="center"/>
        </w:trPr>
        <w:tc>
          <w:tcPr>
            <w:tcW w:w="1800" w:type="dxa"/>
            <w:vMerge w:val="restart"/>
            <w:tcBorders>
              <w:top w:val="nil"/>
              <w:left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学府城南区13#</w:t>
            </w:r>
          </w:p>
        </w:tc>
        <w:tc>
          <w:tcPr>
            <w:tcW w:w="2184"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401</w:t>
            </w:r>
          </w:p>
        </w:tc>
        <w:tc>
          <w:tcPr>
            <w:tcW w:w="156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w:t>
            </w:r>
          </w:p>
        </w:tc>
        <w:tc>
          <w:tcPr>
            <w:tcW w:w="2551"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xml:space="preserve">25.92 </w:t>
            </w:r>
          </w:p>
        </w:tc>
      </w:tr>
      <w:tr>
        <w:tblPrEx>
          <w:tblCellMar>
            <w:top w:w="0" w:type="dxa"/>
            <w:left w:w="108" w:type="dxa"/>
            <w:bottom w:w="0" w:type="dxa"/>
            <w:right w:w="108" w:type="dxa"/>
          </w:tblCellMar>
        </w:tblPrEx>
        <w:trPr>
          <w:trHeight w:val="518" w:hRule="atLeast"/>
          <w:jc w:val="center"/>
        </w:trPr>
        <w:tc>
          <w:tcPr>
            <w:tcW w:w="1800" w:type="dxa"/>
            <w:vMerge w:val="continue"/>
            <w:tcBorders>
              <w:left w:val="single" w:color="auto" w:sz="4" w:space="0"/>
              <w:right w:val="single" w:color="auto" w:sz="4" w:space="0"/>
            </w:tcBorders>
            <w:noWrap w:val="0"/>
            <w:vAlign w:val="center"/>
          </w:tcPr>
          <w:p>
            <w:pPr>
              <w:jc w:val="center"/>
              <w:rPr>
                <w:rFonts w:ascii="宋体" w:hAnsi="宋体" w:cs="宋体"/>
                <w:kern w:val="0"/>
                <w:sz w:val="20"/>
                <w:szCs w:val="20"/>
              </w:rPr>
            </w:pPr>
          </w:p>
        </w:tc>
        <w:tc>
          <w:tcPr>
            <w:tcW w:w="2184"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402</w:t>
            </w:r>
          </w:p>
        </w:tc>
        <w:tc>
          <w:tcPr>
            <w:tcW w:w="1560"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2551"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xml:space="preserve">77.76 </w:t>
            </w:r>
          </w:p>
        </w:tc>
      </w:tr>
      <w:tr>
        <w:tblPrEx>
          <w:tblCellMar>
            <w:top w:w="0" w:type="dxa"/>
            <w:left w:w="108" w:type="dxa"/>
            <w:bottom w:w="0" w:type="dxa"/>
            <w:right w:w="108" w:type="dxa"/>
          </w:tblCellMar>
        </w:tblPrEx>
        <w:trPr>
          <w:trHeight w:val="518" w:hRule="atLeast"/>
          <w:jc w:val="center"/>
        </w:trPr>
        <w:tc>
          <w:tcPr>
            <w:tcW w:w="1800" w:type="dxa"/>
            <w:vMerge w:val="continue"/>
            <w:tcBorders>
              <w:left w:val="single" w:color="auto" w:sz="4" w:space="0"/>
              <w:right w:val="single" w:color="auto" w:sz="4" w:space="0"/>
            </w:tcBorders>
            <w:noWrap w:val="0"/>
            <w:vAlign w:val="center"/>
          </w:tcPr>
          <w:p>
            <w:pPr>
              <w:jc w:val="center"/>
              <w:rPr>
                <w:rFonts w:ascii="宋体" w:hAnsi="宋体" w:cs="宋体"/>
                <w:kern w:val="0"/>
                <w:sz w:val="20"/>
                <w:szCs w:val="20"/>
              </w:rPr>
            </w:pPr>
          </w:p>
        </w:tc>
        <w:tc>
          <w:tcPr>
            <w:tcW w:w="2184"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403</w:t>
            </w:r>
          </w:p>
        </w:tc>
        <w:tc>
          <w:tcPr>
            <w:tcW w:w="156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4</w:t>
            </w:r>
          </w:p>
        </w:tc>
        <w:tc>
          <w:tcPr>
            <w:tcW w:w="2551"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xml:space="preserve">103.68 </w:t>
            </w:r>
          </w:p>
        </w:tc>
      </w:tr>
      <w:tr>
        <w:tblPrEx>
          <w:tblCellMar>
            <w:top w:w="0" w:type="dxa"/>
            <w:left w:w="108" w:type="dxa"/>
            <w:bottom w:w="0" w:type="dxa"/>
            <w:right w:w="108" w:type="dxa"/>
          </w:tblCellMar>
        </w:tblPrEx>
        <w:trPr>
          <w:trHeight w:val="518" w:hRule="atLeast"/>
          <w:jc w:val="center"/>
        </w:trPr>
        <w:tc>
          <w:tcPr>
            <w:tcW w:w="1800" w:type="dxa"/>
            <w:vMerge w:val="continue"/>
            <w:tcBorders>
              <w:left w:val="single" w:color="auto" w:sz="4" w:space="0"/>
              <w:right w:val="single" w:color="auto" w:sz="4" w:space="0"/>
            </w:tcBorders>
            <w:noWrap w:val="0"/>
            <w:vAlign w:val="center"/>
          </w:tcPr>
          <w:p>
            <w:pPr>
              <w:jc w:val="center"/>
              <w:rPr>
                <w:rFonts w:ascii="宋体" w:hAnsi="宋体" w:cs="宋体"/>
                <w:kern w:val="0"/>
                <w:sz w:val="20"/>
                <w:szCs w:val="20"/>
              </w:rPr>
            </w:pPr>
          </w:p>
        </w:tc>
        <w:tc>
          <w:tcPr>
            <w:tcW w:w="2184"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404</w:t>
            </w:r>
          </w:p>
        </w:tc>
        <w:tc>
          <w:tcPr>
            <w:tcW w:w="1560"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2551"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xml:space="preserve">103.68 </w:t>
            </w:r>
          </w:p>
        </w:tc>
      </w:tr>
      <w:tr>
        <w:tblPrEx>
          <w:tblCellMar>
            <w:top w:w="0" w:type="dxa"/>
            <w:left w:w="108" w:type="dxa"/>
            <w:bottom w:w="0" w:type="dxa"/>
            <w:right w:w="108" w:type="dxa"/>
          </w:tblCellMar>
        </w:tblPrEx>
        <w:trPr>
          <w:trHeight w:val="518" w:hRule="atLeast"/>
          <w:jc w:val="center"/>
        </w:trPr>
        <w:tc>
          <w:tcPr>
            <w:tcW w:w="1800" w:type="dxa"/>
            <w:vMerge w:val="continue"/>
            <w:tcBorders>
              <w:left w:val="single" w:color="auto" w:sz="4" w:space="0"/>
              <w:right w:val="single" w:color="auto" w:sz="4" w:space="0"/>
            </w:tcBorders>
            <w:noWrap w:val="0"/>
            <w:vAlign w:val="center"/>
          </w:tcPr>
          <w:p>
            <w:pPr>
              <w:jc w:val="center"/>
              <w:rPr>
                <w:rFonts w:ascii="宋体" w:hAnsi="宋体" w:cs="宋体"/>
                <w:kern w:val="0"/>
                <w:sz w:val="20"/>
                <w:szCs w:val="20"/>
              </w:rPr>
            </w:pPr>
          </w:p>
        </w:tc>
        <w:tc>
          <w:tcPr>
            <w:tcW w:w="2184"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405</w:t>
            </w:r>
          </w:p>
        </w:tc>
        <w:tc>
          <w:tcPr>
            <w:tcW w:w="15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2551"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xml:space="preserve">103.68 </w:t>
            </w:r>
          </w:p>
        </w:tc>
      </w:tr>
      <w:tr>
        <w:tblPrEx>
          <w:tblCellMar>
            <w:top w:w="0" w:type="dxa"/>
            <w:left w:w="108" w:type="dxa"/>
            <w:bottom w:w="0" w:type="dxa"/>
            <w:right w:w="108" w:type="dxa"/>
          </w:tblCellMar>
        </w:tblPrEx>
        <w:trPr>
          <w:trHeight w:val="518" w:hRule="atLeast"/>
          <w:jc w:val="center"/>
        </w:trPr>
        <w:tc>
          <w:tcPr>
            <w:tcW w:w="1800" w:type="dxa"/>
            <w:vMerge w:val="continue"/>
            <w:tcBorders>
              <w:left w:val="single" w:color="auto" w:sz="4" w:space="0"/>
              <w:right w:val="single" w:color="auto" w:sz="4" w:space="0"/>
            </w:tcBorders>
            <w:noWrap w:val="0"/>
            <w:vAlign w:val="center"/>
          </w:tcPr>
          <w:p>
            <w:pPr>
              <w:jc w:val="center"/>
              <w:rPr>
                <w:rFonts w:ascii="宋体" w:hAnsi="宋体" w:cs="宋体"/>
                <w:kern w:val="0"/>
                <w:sz w:val="20"/>
                <w:szCs w:val="20"/>
              </w:rPr>
            </w:pPr>
          </w:p>
        </w:tc>
        <w:tc>
          <w:tcPr>
            <w:tcW w:w="2184"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406</w:t>
            </w:r>
          </w:p>
        </w:tc>
        <w:tc>
          <w:tcPr>
            <w:tcW w:w="15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2</w:t>
            </w:r>
          </w:p>
        </w:tc>
        <w:tc>
          <w:tcPr>
            <w:tcW w:w="2551"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xml:space="preserve">51.84 </w:t>
            </w:r>
          </w:p>
        </w:tc>
      </w:tr>
      <w:tr>
        <w:tblPrEx>
          <w:tblCellMar>
            <w:top w:w="0" w:type="dxa"/>
            <w:left w:w="108" w:type="dxa"/>
            <w:bottom w:w="0" w:type="dxa"/>
            <w:right w:w="108" w:type="dxa"/>
          </w:tblCellMar>
        </w:tblPrEx>
        <w:trPr>
          <w:trHeight w:val="518" w:hRule="atLeast"/>
          <w:jc w:val="center"/>
        </w:trPr>
        <w:tc>
          <w:tcPr>
            <w:tcW w:w="1800" w:type="dxa"/>
            <w:vMerge w:val="continue"/>
            <w:tcBorders>
              <w:left w:val="single" w:color="auto" w:sz="4" w:space="0"/>
              <w:right w:val="single" w:color="auto" w:sz="4" w:space="0"/>
            </w:tcBorders>
            <w:noWrap w:val="0"/>
            <w:vAlign w:val="center"/>
          </w:tcPr>
          <w:p>
            <w:pPr>
              <w:jc w:val="center"/>
              <w:rPr>
                <w:rFonts w:ascii="宋体" w:hAnsi="宋体" w:cs="宋体"/>
                <w:kern w:val="0"/>
                <w:sz w:val="20"/>
                <w:szCs w:val="20"/>
              </w:rPr>
            </w:pPr>
          </w:p>
        </w:tc>
        <w:tc>
          <w:tcPr>
            <w:tcW w:w="2184"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407</w:t>
            </w:r>
          </w:p>
        </w:tc>
        <w:tc>
          <w:tcPr>
            <w:tcW w:w="15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2</w:t>
            </w:r>
          </w:p>
        </w:tc>
        <w:tc>
          <w:tcPr>
            <w:tcW w:w="2551"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xml:space="preserve">51.84 </w:t>
            </w:r>
          </w:p>
        </w:tc>
      </w:tr>
      <w:tr>
        <w:tblPrEx>
          <w:tblCellMar>
            <w:top w:w="0" w:type="dxa"/>
            <w:left w:w="108" w:type="dxa"/>
            <w:bottom w:w="0" w:type="dxa"/>
            <w:right w:w="108" w:type="dxa"/>
          </w:tblCellMar>
        </w:tblPrEx>
        <w:trPr>
          <w:trHeight w:val="518" w:hRule="atLeast"/>
          <w:jc w:val="center"/>
        </w:trPr>
        <w:tc>
          <w:tcPr>
            <w:tcW w:w="1800" w:type="dxa"/>
            <w:vMerge w:val="continue"/>
            <w:tcBorders>
              <w:left w:val="single" w:color="auto" w:sz="4" w:space="0"/>
              <w:right w:val="single" w:color="auto" w:sz="4" w:space="0"/>
            </w:tcBorders>
            <w:noWrap w:val="0"/>
            <w:vAlign w:val="center"/>
          </w:tcPr>
          <w:p>
            <w:pPr>
              <w:jc w:val="center"/>
              <w:rPr>
                <w:rFonts w:ascii="宋体" w:hAnsi="宋体" w:cs="宋体"/>
                <w:kern w:val="0"/>
                <w:sz w:val="20"/>
                <w:szCs w:val="20"/>
              </w:rPr>
            </w:pPr>
          </w:p>
        </w:tc>
        <w:tc>
          <w:tcPr>
            <w:tcW w:w="2184"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409</w:t>
            </w:r>
          </w:p>
        </w:tc>
        <w:tc>
          <w:tcPr>
            <w:tcW w:w="156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4</w:t>
            </w:r>
          </w:p>
        </w:tc>
        <w:tc>
          <w:tcPr>
            <w:tcW w:w="2551"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kern w:val="0"/>
                <w:sz w:val="20"/>
                <w:szCs w:val="20"/>
                <w:lang w:val="en-US" w:eastAsia="zh-CN" w:bidi="ar-SA"/>
              </w:rPr>
            </w:pPr>
            <w:r>
              <w:rPr>
                <w:rFonts w:hint="eastAsia" w:ascii="宋体" w:hAnsi="宋体" w:cs="宋体"/>
                <w:kern w:val="0"/>
                <w:sz w:val="20"/>
                <w:szCs w:val="20"/>
              </w:rPr>
              <w:t xml:space="preserve">103.68 </w:t>
            </w:r>
          </w:p>
        </w:tc>
      </w:tr>
      <w:tr>
        <w:tblPrEx>
          <w:tblCellMar>
            <w:top w:w="0" w:type="dxa"/>
            <w:left w:w="108" w:type="dxa"/>
            <w:bottom w:w="0" w:type="dxa"/>
            <w:right w:w="108" w:type="dxa"/>
          </w:tblCellMar>
        </w:tblPrEx>
        <w:trPr>
          <w:trHeight w:val="518" w:hRule="atLeast"/>
          <w:jc w:val="center"/>
        </w:trPr>
        <w:tc>
          <w:tcPr>
            <w:tcW w:w="1800" w:type="dxa"/>
            <w:vMerge w:val="continue"/>
            <w:tcBorders>
              <w:left w:val="single" w:color="auto" w:sz="4" w:space="0"/>
              <w:right w:val="single" w:color="auto" w:sz="4" w:space="0"/>
            </w:tcBorders>
            <w:noWrap w:val="0"/>
            <w:vAlign w:val="center"/>
          </w:tcPr>
          <w:p>
            <w:pPr>
              <w:jc w:val="center"/>
              <w:rPr>
                <w:rFonts w:ascii="宋体" w:hAnsi="宋体" w:cs="宋体"/>
                <w:kern w:val="0"/>
                <w:sz w:val="20"/>
                <w:szCs w:val="20"/>
              </w:rPr>
            </w:pPr>
          </w:p>
        </w:tc>
        <w:tc>
          <w:tcPr>
            <w:tcW w:w="2184"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410</w:t>
            </w:r>
          </w:p>
        </w:tc>
        <w:tc>
          <w:tcPr>
            <w:tcW w:w="156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4</w:t>
            </w:r>
          </w:p>
        </w:tc>
        <w:tc>
          <w:tcPr>
            <w:tcW w:w="2551"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kern w:val="0"/>
                <w:sz w:val="20"/>
                <w:szCs w:val="20"/>
                <w:lang w:val="en-US" w:eastAsia="zh-CN" w:bidi="ar-SA"/>
              </w:rPr>
            </w:pPr>
            <w:r>
              <w:rPr>
                <w:rFonts w:hint="eastAsia" w:ascii="宋体" w:hAnsi="宋体" w:cs="宋体"/>
                <w:kern w:val="0"/>
                <w:sz w:val="20"/>
                <w:szCs w:val="20"/>
              </w:rPr>
              <w:t xml:space="preserve">103.68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5544" w:type="dxa"/>
            <w:gridSpan w:val="3"/>
            <w:noWrap w:val="0"/>
            <w:vAlign w:val="center"/>
          </w:tcPr>
          <w:p>
            <w:pPr>
              <w:spacing w:before="156" w:beforeLines="50"/>
              <w:jc w:val="center"/>
              <w:rPr>
                <w:rFonts w:hint="eastAsia"/>
                <w:b/>
                <w:sz w:val="24"/>
              </w:rPr>
            </w:pPr>
            <w:r>
              <w:rPr>
                <w:rFonts w:hint="eastAsia"/>
                <w:b/>
                <w:sz w:val="24"/>
              </w:rPr>
              <w:t>合计</w:t>
            </w:r>
          </w:p>
        </w:tc>
        <w:tc>
          <w:tcPr>
            <w:tcW w:w="2551" w:type="dxa"/>
            <w:noWrap w:val="0"/>
            <w:vAlign w:val="top"/>
          </w:tcPr>
          <w:p>
            <w:pPr>
              <w:spacing w:before="156" w:beforeLines="50"/>
              <w:jc w:val="center"/>
              <w:rPr>
                <w:rFonts w:hint="default" w:eastAsia="宋体"/>
                <w:sz w:val="24"/>
                <w:lang w:val="en-US" w:eastAsia="zh-CN"/>
              </w:rPr>
            </w:pPr>
            <w:r>
              <w:rPr>
                <w:rFonts w:hint="eastAsia"/>
                <w:sz w:val="24"/>
                <w:lang w:val="en-US" w:eastAsia="zh-CN"/>
              </w:rPr>
              <w:t>1917</w:t>
            </w:r>
          </w:p>
        </w:tc>
      </w:tr>
    </w:tbl>
    <w:p>
      <w:pPr>
        <w:spacing w:before="156" w:beforeLines="50"/>
        <w:rPr>
          <w:rFonts w:hint="eastAsia"/>
          <w:b/>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mVlMWFiZDU5MjhiMmJlM2Y1NmM4NWIyN2E1YTkifQ=="/>
  </w:docVars>
  <w:rsids>
    <w:rsidRoot w:val="00000000"/>
    <w:rsid w:val="6BD654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List Paragraph"/>
    <w:basedOn w:val="1"/>
    <w:qFormat/>
    <w:uiPriority w:val="0"/>
    <w:pPr>
      <w:ind w:firstLine="420" w:firstLineChars="200"/>
    </w:p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2024-06-13T08:32:37Z</dcterms:created>
  <dc:creator>lenovo</dc:creator>
  <cp:lastModifiedBy>董菊莉</cp:lastModifiedBy>
  <dcterms:modified xsi:type="dcterms:W3CDTF">2024-06-13T08:39:33Z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2905FFBFA1DF4746A69F2DFD6E85A5EA_12</vt:lpwstr>
  </property>
</Properties>
</file>