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32"/>
          <w:szCs w:val="40"/>
          <w:highlight w:val="none"/>
          <w:lang w:val="en-US" w:eastAsia="zh-CN" w:bidi="ar-SA"/>
        </w:rPr>
        <w:t>商务偏离表</w:t>
      </w:r>
    </w:p>
    <w:p>
      <w:pPr>
        <w:spacing w:line="360" w:lineRule="auto"/>
        <w:textAlignment w:val="baseline"/>
        <w:rPr>
          <w:rFonts w:ascii="宋体" w:hAnsi="宋体" w:cs="宋体"/>
          <w:color w:val="auto"/>
          <w:szCs w:val="24"/>
          <w:highlight w:val="none"/>
        </w:rPr>
      </w:pPr>
    </w:p>
    <w:tbl>
      <w:tblPr>
        <w:tblStyle w:val="3"/>
        <w:tblW w:w="981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2"/>
        <w:gridCol w:w="2684"/>
        <w:gridCol w:w="2928"/>
        <w:gridCol w:w="1159"/>
        <w:gridCol w:w="22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文件商务要求</w:t>
            </w: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文件的商务响应情况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4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8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4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8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4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8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4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97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cs="宋体"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说明：供应商必须仔细阅读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文件中所有商务要求/合同条款，并将所有偏离的条目列入下表，未列入下表的视作供应商完全响应。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（公章）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880" w:firstLineChars="1200"/>
        <w:jc w:val="left"/>
        <w:rPr>
          <w:rFonts w:ascii="宋体" w:hAnsi="宋体" w:cs="宋体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textAlignment w:val="auto"/>
        <w:rPr>
          <w:rFonts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420" w:firstLineChars="200"/>
        <w:textAlignment w:val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1、本表即为对本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文件中“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第三章 招标项目技术、服务、商务及其他要求</w:t>
      </w:r>
      <w:r>
        <w:rPr>
          <w:rFonts w:hint="eastAsia" w:ascii="宋体" w:hAnsi="宋体" w:cs="宋体"/>
          <w:color w:val="auto"/>
          <w:szCs w:val="21"/>
          <w:highlight w:val="none"/>
        </w:rPr>
        <w:t>”以及合同主要条款中所列要求进行比较和响应。如果所有条款均应答满足，则在“备注”栏中注明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 xml:space="preserve"> “所有条款均完全响应”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420" w:firstLineChars="200"/>
        <w:textAlignment w:val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2、对有偏离的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条款</w:t>
      </w:r>
      <w:r>
        <w:rPr>
          <w:rFonts w:hint="eastAsia" w:ascii="宋体" w:hAnsi="宋体" w:cs="宋体"/>
          <w:color w:val="auto"/>
          <w:szCs w:val="21"/>
          <w:highlight w:val="none"/>
        </w:rPr>
        <w:t>，在本表“偏离情况”列中填写“正偏离”或“负偏离”，并在“偏离说明”列中加以说明。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列写完所有偏离项目后，在备注栏填写：除本偏离表所列的偏离指标外，其他所有条款均完全响应磋商文件中的要求。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420" w:firstLineChars="200"/>
        <w:textAlignment w:val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3、正偏离是指应答的条件高于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文件要求，负偏离是指应答的条件低于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文件要求。凡是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文件的商务响应部分与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文件的要求之间存在负偏离的（即不能满足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文件要求），必须在本表格中明确说明，否则在中标后采购人一律不予考虑。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如果在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文件的“商务响应偏离表”之外发现负偏离的，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评标委员会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会将作出对供应商不利的评估。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420" w:firstLineChars="200"/>
        <w:textAlignment w:val="auto"/>
        <w:rPr>
          <w:rFonts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4、招标商务要求为对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Cs w:val="21"/>
          <w:highlight w:val="none"/>
        </w:rPr>
        <w:t>提出的最低要求，将作为采购人与成交供应商签定合同的实质性要求。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对于其中任意一项条款，供应商如不满足，其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文件可以被否决。</w:t>
      </w:r>
    </w:p>
    <w:p>
      <w:pPr>
        <w:ind w:firstLine="420" w:firstLineChars="200"/>
      </w:pP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</w:rPr>
        <w:t>5、该表可扩展，并逐页签字或盖章。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72D64DF0"/>
    <w:rsid w:val="72D6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2024-05-27T08:09:00Z</dcterms:created>
  <dc:creator>你是个大芝麻</dc:creator>
  <cp:lastModifiedBy>你是个大芝麻</cp:lastModifiedBy>
  <dcterms:modified xsi:type="dcterms:W3CDTF">2024-05-27T08:09:54Z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A20A9C755247435082FF13C1A89651B3_11</vt:lpwstr>
  </property>
</Properties>
</file>