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超高压液相色谱仪</w:t>
      </w:r>
    </w:p>
    <w:p>
      <w:pPr>
        <w:pStyle w:val="null3"/>
        <w:jc w:val="center"/>
        <w:outlineLvl w:val="2"/>
      </w:pPr>
      <w:r>
        <w:rPr>
          <w:b/>
          <w:sz w:val="28"/>
        </w:rPr>
        <w:t>采购项目编号：</w:t>
      </w:r>
      <w:r>
        <w:rPr>
          <w:b/>
          <w:sz w:val="28"/>
        </w:rPr>
        <w:t>SZ2402-GP-SC-60H</w:t>
      </w:r>
      <w:r>
        <w:br/>
      </w:r>
      <w:r>
        <w:br/>
      </w:r>
      <w:r>
        <w:br/>
      </w:r>
    </w:p>
    <w:p>
      <w:pPr>
        <w:pStyle w:val="null3"/>
        <w:jc w:val="center"/>
        <w:outlineLvl w:val="2"/>
      </w:pPr>
      <w:r>
        <w:rPr>
          <w:b/>
          <w:sz w:val="28"/>
        </w:rPr>
        <w:t>陕西中药研究所（陕西医药信息中心）</w:t>
      </w:r>
    </w:p>
    <w:p>
      <w:pPr>
        <w:pStyle w:val="null3"/>
        <w:jc w:val="center"/>
        <w:outlineLvl w:val="2"/>
      </w:pPr>
      <w:r>
        <w:rPr>
          <w:b/>
          <w:sz w:val="28"/>
        </w:rPr>
        <w:t>陕西省招标有限责任公司</w:t>
      </w:r>
      <w:r>
        <w:rPr>
          <w:b/>
          <w:sz w:val="28"/>
        </w:rPr>
        <w:t>共同编制</w:t>
      </w:r>
    </w:p>
    <w:p>
      <w:pPr>
        <w:pStyle w:val="null3"/>
        <w:jc w:val="center"/>
        <w:outlineLvl w:val="2"/>
      </w:pPr>
      <w:r>
        <w:rPr>
          <w:b/>
          <w:sz w:val="28"/>
        </w:rPr>
        <w:t>2024年05月14日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陕西省招标有限责任公司</w:t>
      </w:r>
      <w:r>
        <w:rPr/>
        <w:t>（以下简称“代理机构”）受</w:t>
      </w:r>
      <w:r>
        <w:rPr/>
        <w:t>陕西中药研究所（陕西医药信息中心）</w:t>
      </w:r>
      <w:r>
        <w:rPr/>
        <w:t>委托，拟对</w:t>
      </w:r>
      <w:r>
        <w:rPr/>
        <w:t>超高压液相色谱仪</w:t>
      </w:r>
      <w:r>
        <w:rPr/>
        <w:t>进行国内公开招标，兹邀请符合本次招标要求的供应商参加投标。</w:t>
      </w:r>
    </w:p>
    <w:p>
      <w:pPr>
        <w:pStyle w:val="null3"/>
        <w:outlineLvl w:val="2"/>
      </w:pPr>
      <w:r>
        <w:rPr>
          <w:b/>
          <w:sz w:val="28"/>
        </w:rPr>
        <w:t>一、采购项目编号：</w:t>
      </w:r>
      <w:r>
        <w:rPr>
          <w:b/>
          <w:sz w:val="28"/>
        </w:rPr>
        <w:t>SZ2402-GP-SC-60H</w:t>
      </w:r>
    </w:p>
    <w:p>
      <w:pPr>
        <w:pStyle w:val="null3"/>
        <w:outlineLvl w:val="2"/>
      </w:pPr>
      <w:r>
        <w:rPr>
          <w:b/>
          <w:sz w:val="28"/>
        </w:rPr>
        <w:t>二、采购项目名称：</w:t>
      </w:r>
      <w:r>
        <w:rPr>
          <w:b/>
          <w:sz w:val="28"/>
        </w:rPr>
        <w:t>超高压液相色谱仪</w:t>
      </w:r>
    </w:p>
    <w:p>
      <w:pPr>
        <w:pStyle w:val="null3"/>
        <w:outlineLvl w:val="2"/>
      </w:pPr>
      <w:r>
        <w:rPr>
          <w:b/>
          <w:sz w:val="28"/>
        </w:rPr>
        <w:t>三、招标项目简介</w:t>
      </w:r>
    </w:p>
    <w:p>
      <w:pPr>
        <w:pStyle w:val="null3"/>
        <w:ind w:firstLine="480"/>
      </w:pPr>
      <w:r>
        <w:rPr/>
        <w:t>本项目购置超高压液相色谱仪1套，改善研究所的科研条件和环境，为广大科研工作者提供高水平的创新条件，推动科技条件资源的共享共用。</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t>2、财务状况报告：提供2021年度或2022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p>
      <w:pPr>
        <w:pStyle w:val="null3"/>
      </w:pPr>
      <w:r>
        <w:rPr/>
        <w:t>3、税收缴纳证明：提供已缴纳的本年度或上年度任一月份的缴税凭证，凭证应有税务机关或代收机关的公章或业务专用章。依法免税或无须缴纳税收的供应商应提供相应证明文件</w:t>
      </w:r>
    </w:p>
    <w:p>
      <w:pPr>
        <w:pStyle w:val="null3"/>
      </w:pPr>
      <w:r>
        <w:rPr/>
        <w:t>4、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t>5、信用记录：供应商未被列入《信用中国》（www.creditchina.gov.cn）“重大税收违法失信主体”名单和《中国执行信息公开网》（http：/zxgk.court.gov.cn/shixin/）“失信被执行人”名单及不处于《中国政府采购网》(www.ccgp.gov.cn)记录的“政府采购严重违法失信行为记录名单”中的禁止参加政府采购活动期间</w:t>
      </w:r>
    </w:p>
    <w:p>
      <w:pPr>
        <w:pStyle w:val="null3"/>
      </w:pPr>
      <w:r>
        <w:rPr/>
        <w:t>6、控股管理关系：若与其他供应商存在单位负责人为同一人或者存在直接控股、管理关系的，参加同一合同项下的政府采购活动，则投标无效</w:t>
      </w:r>
    </w:p>
    <w:p>
      <w:pPr>
        <w:pStyle w:val="null3"/>
      </w:pPr>
      <w:r>
        <w:rPr/>
        <w:t>7、书面声明：提供书面声明，包括声明具有履行合同所必需的设备和专业技术能力；参加政府采购活动前三年内在经营活动中没有重大违法记录</w:t>
      </w:r>
    </w:p>
    <w:p>
      <w:pPr>
        <w:pStyle w:val="null3"/>
      </w:pPr>
      <w:r>
        <w:rPr/>
        <w:t>8、法定代表人（单位负责人）授权委托书：法定代表人（单位负责人）授权书及被授权人身份证复印件或扫描件（法定代表人（单位负责人）参加只需提供法定代表人（单位负责人）身份证明）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陕西中药研究所（陕西医药信息中心）</w:t>
      </w:r>
    </w:p>
    <w:p>
      <w:pPr>
        <w:pStyle w:val="null3"/>
      </w:pPr>
      <w:r>
        <w:rPr/>
        <w:t xml:space="preserve"> 地址： </w:t>
      </w:r>
      <w:r>
        <w:rPr/>
        <w:t>陕西省咸阳市毕塬路西段16号</w:t>
      </w:r>
    </w:p>
    <w:p>
      <w:pPr>
        <w:pStyle w:val="null3"/>
      </w:pPr>
      <w:r>
        <w:rPr/>
        <w:t xml:space="preserve"> 邮编： </w:t>
      </w:r>
      <w:r>
        <w:rPr/>
        <w:t>712000</w:t>
      </w:r>
    </w:p>
    <w:p>
      <w:pPr>
        <w:pStyle w:val="null3"/>
      </w:pPr>
      <w:r>
        <w:rPr/>
        <w:t xml:space="preserve"> 联系人： </w:t>
      </w:r>
      <w:r>
        <w:rPr/>
        <w:t>来老师</w:t>
      </w:r>
    </w:p>
    <w:p>
      <w:pPr>
        <w:pStyle w:val="null3"/>
      </w:pPr>
      <w:r>
        <w:rPr/>
        <w:t xml:space="preserve"> 联系电话： </w:t>
      </w:r>
      <w:r>
        <w:rPr/>
        <w:t>029-33213061</w:t>
      </w:r>
    </w:p>
    <w:p>
      <w:pPr>
        <w:pStyle w:val="null3"/>
        <w:outlineLvl w:val="2"/>
      </w:pPr>
      <w:r>
        <w:rPr>
          <w:b/>
          <w:sz w:val="28"/>
        </w:rPr>
        <w:t>代理机构：</w:t>
      </w:r>
      <w:r>
        <w:rPr>
          <w:b/>
          <w:sz w:val="28"/>
        </w:rPr>
        <w:t>陕西省招标有限责任公司</w:t>
      </w:r>
    </w:p>
    <w:p>
      <w:pPr>
        <w:pStyle w:val="null3"/>
      </w:pPr>
      <w:r>
        <w:rPr/>
        <w:t xml:space="preserve"> 地址： </w:t>
      </w:r>
      <w:r>
        <w:rPr/>
        <w:t>西安市和平路108号佳腾大厦</w:t>
      </w:r>
    </w:p>
    <w:p>
      <w:pPr>
        <w:pStyle w:val="null3"/>
      </w:pPr>
      <w:r>
        <w:rPr/>
        <w:t xml:space="preserve"> 邮编： </w:t>
      </w:r>
      <w:r>
        <w:rPr/>
        <w:t>710001</w:t>
      </w:r>
    </w:p>
    <w:p>
      <w:pPr>
        <w:pStyle w:val="null3"/>
      </w:pPr>
      <w:r>
        <w:rPr/>
        <w:t xml:space="preserve"> 联系人： </w:t>
      </w:r>
      <w:r>
        <w:rPr/>
        <w:t>孙东、王祎玮</w:t>
      </w:r>
    </w:p>
    <w:p>
      <w:pPr>
        <w:pStyle w:val="null3"/>
      </w:pPr>
      <w:r>
        <w:rPr/>
        <w:t xml:space="preserve"> 联系电话： </w:t>
      </w:r>
      <w:r>
        <w:rPr/>
        <w:t>029-87515275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代理服务费收费标准：1.确定成交供应商后 3 个工作日内，由成交供应商按国家计委颁发的《招标代理服务收费管理暂行办法》（计价格[2002]1980号）和国家发展改革委员会办公厅颁发的《关于招标代理服务收费有关问题的通知》（发改办价格[2003] 857号）的有关规定标准，向采购代理机构一次付清代理服务费。2.采购代理服务费以对公基本账户汇到以下账号：采购代理机构开户名称：陕西省招标有限责任公司，开户银行：招商银行西安朝阳门支行，账号：1299 0424 2010 801。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陕西中药研究所（陕西医药信息中心）</w:t>
      </w:r>
      <w:r>
        <w:rPr/>
        <w:t>和</w:t>
      </w:r>
      <w:r>
        <w:rPr/>
        <w:t>陕西省招标有限责任公司</w:t>
      </w:r>
      <w:r>
        <w:rPr/>
        <w:t>享有。对招标文件中供应商参加本次政府采购活动应当具备的条件，招标项目技术、服务、商务及其他要求，评标细则及标准由</w:t>
      </w:r>
      <w:r>
        <w:rPr/>
        <w:t>陕西中药研究所（陕西医药信息中心）</w:t>
      </w:r>
      <w:r>
        <w:rPr/>
        <w:t>负责解释。除上述招标文件内容，其他内容由</w:t>
      </w:r>
      <w:r>
        <w:rPr/>
        <w:t>陕西省招标有限责任公司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陕西中药研究所（陕西医药信息中心）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按合同要求。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陕西省招标有限责任公司</w:t>
      </w:r>
      <w:r>
        <w:rPr/>
        <w:t xml:space="preserve"> 负责答复；供应商对除采购需求外的采购文件的询问、质疑由</w:t>
      </w:r>
      <w:r>
        <w:rPr/>
        <w:t>陕西省招标有限责任公司</w:t>
      </w:r>
      <w:r>
        <w:rPr/>
        <w:t xml:space="preserve"> 负责答复；供应商对采购过程、采购结果的询问、质疑由 </w:t>
      </w:r>
      <w:r>
        <w:rPr/>
        <w:t>陕西省招标有限责任公司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联系人：胡蕊</w:t>
      </w:r>
    </w:p>
    <w:p>
      <w:pPr>
        <w:pStyle w:val="null3"/>
      </w:pPr>
      <w:r>
        <w:rPr/>
        <w:t>联系电话：029-87517633</w:t>
      </w:r>
    </w:p>
    <w:p>
      <w:pPr>
        <w:pStyle w:val="null3"/>
      </w:pPr>
      <w:r>
        <w:rPr/>
        <w:t>地址：西安市碑林区108号佳腾大厦7层</w:t>
      </w:r>
    </w:p>
    <w:p>
      <w:pPr>
        <w:pStyle w:val="null3"/>
      </w:pPr>
      <w:r>
        <w:rPr/>
        <w:t>邮编：710001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本项目购置超高压液相色谱仪1套，改善研究所的科研条件和环境，为广大科研工作者提供高水平的创新条件，推动科技条件资源的共享共用。</w:t>
      </w:r>
    </w:p>
    <w:p>
      <w:pPr>
        <w:pStyle w:val="null3"/>
        <w:outlineLvl w:val="2"/>
      </w:pPr>
      <w:r>
        <w:rPr>
          <w:b/>
          <w:sz w:val="28"/>
        </w:rPr>
        <w:t>3.2采购内容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超高压液相色谱仪</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标的名称：超高压液相色谱仪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b/>
                <w:sz w:val="21"/>
              </w:rPr>
              <w:t>1. 工作条件：</w:t>
            </w:r>
          </w:p>
          <w:p>
            <w:pPr>
              <w:pStyle w:val="null3"/>
            </w:pPr>
            <w:r>
              <w:rPr>
                <w:rFonts w:ascii="宋体" w:hAnsi="宋体" w:cs="宋体" w:eastAsia="宋体"/>
                <w:sz w:val="21"/>
              </w:rPr>
              <w:t>1.1 工作电压：220V±10%，50Hz</w:t>
            </w:r>
          </w:p>
          <w:p>
            <w:pPr>
              <w:pStyle w:val="null3"/>
              <w:jc w:val="left"/>
            </w:pPr>
            <w:r>
              <w:rPr>
                <w:rFonts w:ascii="宋体" w:hAnsi="宋体" w:cs="宋体" w:eastAsia="宋体"/>
                <w:sz w:val="21"/>
              </w:rPr>
              <w:t>1.2 温度：4.0-40.0℃</w:t>
            </w:r>
          </w:p>
          <w:p>
            <w:pPr>
              <w:pStyle w:val="null3"/>
            </w:pPr>
            <w:r>
              <w:rPr>
                <w:rFonts w:ascii="宋体" w:hAnsi="宋体" w:cs="宋体" w:eastAsia="宋体"/>
                <w:sz w:val="21"/>
              </w:rPr>
              <w:t>1.3 湿度：20%-80%</w:t>
            </w:r>
          </w:p>
          <w:p>
            <w:pPr>
              <w:pStyle w:val="null3"/>
            </w:pPr>
            <w:r>
              <w:rPr>
                <w:rFonts w:ascii="宋体" w:hAnsi="宋体" w:cs="宋体" w:eastAsia="宋体"/>
                <w:b/>
                <w:sz w:val="21"/>
              </w:rPr>
              <w:t>2. 技术指标：</w:t>
            </w:r>
          </w:p>
          <w:p>
            <w:pPr>
              <w:pStyle w:val="null3"/>
            </w:pPr>
            <w:r>
              <w:rPr>
                <w:rFonts w:ascii="宋体" w:hAnsi="宋体" w:cs="宋体" w:eastAsia="宋体"/>
                <w:b/>
                <w:sz w:val="21"/>
              </w:rPr>
              <w:t>2.1 四元梯度泵</w:t>
            </w:r>
          </w:p>
          <w:p>
            <w:pPr>
              <w:pStyle w:val="null3"/>
            </w:pPr>
            <w:r>
              <w:rPr>
                <w:rFonts w:ascii="宋体" w:hAnsi="宋体" w:cs="宋体" w:eastAsia="宋体"/>
                <w:sz w:val="21"/>
              </w:rPr>
              <w:t xml:space="preserve">2.1.1 </w:t>
            </w:r>
            <w:r>
              <w:rPr>
                <w:rFonts w:ascii="宋体" w:hAnsi="宋体" w:cs="宋体" w:eastAsia="宋体"/>
                <w:sz w:val="21"/>
              </w:rPr>
              <w:t>色谱泵：一体式独立柱塞，数控直线驱动色谱泵技术，无需阻尼器，固定冲程</w:t>
            </w:r>
          </w:p>
          <w:p>
            <w:pPr>
              <w:pStyle w:val="null3"/>
            </w:pPr>
            <w:r>
              <w:rPr>
                <w:rFonts w:ascii="宋体" w:hAnsi="宋体" w:cs="宋体" w:eastAsia="宋体"/>
                <w:sz w:val="21"/>
              </w:rPr>
              <w:t>2.1.2 延迟体积不随反压变化</w:t>
            </w:r>
          </w:p>
          <w:p>
            <w:pPr>
              <w:pStyle w:val="null3"/>
            </w:pPr>
            <w:r>
              <w:rPr>
                <w:rFonts w:ascii="宋体" w:hAnsi="宋体" w:cs="宋体" w:eastAsia="宋体"/>
                <w:sz w:val="21"/>
              </w:rPr>
              <w:t>2.1.3 压缩补偿：自动连续</w:t>
            </w:r>
          </w:p>
          <w:p>
            <w:pPr>
              <w:pStyle w:val="null3"/>
            </w:pPr>
            <w:r>
              <w:rPr>
                <w:rFonts w:ascii="宋体" w:hAnsi="宋体" w:cs="宋体" w:eastAsia="宋体"/>
                <w:sz w:val="21"/>
              </w:rPr>
              <w:t>2.1.4 最大流速：≥4.000 mL/min，增量为0.001 mL/min</w:t>
            </w:r>
          </w:p>
          <w:p>
            <w:pPr>
              <w:pStyle w:val="null3"/>
            </w:pPr>
            <w:r>
              <w:rPr>
                <w:rFonts w:ascii="宋体" w:hAnsi="宋体" w:cs="宋体" w:eastAsia="宋体"/>
                <w:sz w:val="21"/>
              </w:rPr>
              <w:t>2.1.5 最大操作压力：≥9000 psi（全流量范围内）</w:t>
            </w:r>
          </w:p>
          <w:p>
            <w:pPr>
              <w:pStyle w:val="null3"/>
            </w:pPr>
            <w:r>
              <w:rPr>
                <w:rFonts w:ascii="宋体" w:hAnsi="宋体" w:cs="宋体" w:eastAsia="宋体"/>
                <w:sz w:val="21"/>
              </w:rPr>
              <w:t>2.1.6 流速准确度：≤1.0%</w:t>
            </w:r>
          </w:p>
          <w:p>
            <w:pPr>
              <w:pStyle w:val="null3"/>
            </w:pPr>
            <w:r>
              <w:rPr>
                <w:rFonts w:ascii="宋体" w:hAnsi="宋体" w:cs="宋体" w:eastAsia="宋体"/>
                <w:sz w:val="21"/>
              </w:rPr>
              <w:t>2.1.7 混合准确度：≤1.0%，不随反压变化</w:t>
            </w:r>
          </w:p>
          <w:p>
            <w:pPr>
              <w:pStyle w:val="null3"/>
            </w:pPr>
            <w:r>
              <w:rPr>
                <w:rFonts w:ascii="宋体" w:hAnsi="宋体" w:cs="宋体" w:eastAsia="宋体"/>
                <w:sz w:val="21"/>
              </w:rPr>
              <w:t>2.1.8 混合精度：≤0.2% RSD，不随反压变化</w:t>
            </w:r>
          </w:p>
          <w:p>
            <w:pPr>
              <w:pStyle w:val="null3"/>
            </w:pPr>
            <w:r>
              <w:rPr>
                <w:rFonts w:ascii="宋体" w:hAnsi="宋体" w:cs="宋体" w:eastAsia="宋体"/>
                <w:sz w:val="21"/>
              </w:rPr>
              <w:t>2.1.9 混合波动：≤0.5 mAU</w:t>
            </w:r>
          </w:p>
          <w:p>
            <w:pPr>
              <w:pStyle w:val="null3"/>
            </w:pPr>
            <w:r>
              <w:rPr>
                <w:rFonts w:ascii="宋体" w:hAnsi="宋体" w:cs="宋体" w:eastAsia="宋体"/>
                <w:sz w:val="21"/>
              </w:rPr>
              <w:t>2.1.10 梯度变化模式：预编不少于10种梯度曲线</w:t>
            </w:r>
          </w:p>
          <w:p>
            <w:pPr>
              <w:pStyle w:val="null3"/>
            </w:pPr>
            <w:r>
              <w:rPr>
                <w:rFonts w:ascii="宋体" w:hAnsi="宋体" w:cs="宋体" w:eastAsia="宋体"/>
                <w:sz w:val="21"/>
              </w:rPr>
              <w:t>2.1.11 内置自动缓冲盐配置功能：可实现自动配置缓冲盐浓度和pH值梯度变化：pH值配置准确度：＜0.2；pH值配置精度：&lt;2.5%RSD；内置缓冲盐配置体系数量：≥8；</w:t>
            </w:r>
          </w:p>
          <w:p>
            <w:pPr>
              <w:pStyle w:val="null3"/>
              <w:ind w:left="720"/>
            </w:pPr>
            <w:r>
              <w:rPr>
                <w:rFonts w:ascii="宋体" w:hAnsi="宋体" w:cs="宋体" w:eastAsia="宋体"/>
                <w:sz w:val="21"/>
              </w:rPr>
              <w:t>梯度种类：</w:t>
            </w:r>
            <w:r>
              <w:rPr>
                <w:rFonts w:ascii="宋体" w:hAnsi="宋体" w:cs="宋体" w:eastAsia="宋体"/>
                <w:sz w:val="21"/>
              </w:rPr>
              <w:t>≥3种</w:t>
            </w:r>
          </w:p>
          <w:p>
            <w:pPr>
              <w:pStyle w:val="null3"/>
            </w:pPr>
            <w:r>
              <w:rPr>
                <w:rFonts w:ascii="宋体" w:hAnsi="宋体" w:cs="宋体" w:eastAsia="宋体"/>
                <w:sz w:val="21"/>
              </w:rPr>
              <w:t>2.1.12 智能梯度起始模式：≥3种</w:t>
            </w:r>
          </w:p>
          <w:p>
            <w:pPr>
              <w:pStyle w:val="null3"/>
            </w:pPr>
            <w:r>
              <w:rPr>
                <w:rFonts w:ascii="宋体" w:hAnsi="宋体" w:cs="宋体" w:eastAsia="宋体"/>
                <w:b/>
                <w:sz w:val="21"/>
              </w:rPr>
              <w:t>2.2 自动进样器</w:t>
            </w:r>
          </w:p>
          <w:p>
            <w:pPr>
              <w:pStyle w:val="null3"/>
            </w:pPr>
            <w:r>
              <w:rPr>
                <w:rFonts w:ascii="宋体" w:hAnsi="宋体" w:cs="宋体" w:eastAsia="宋体"/>
                <w:sz w:val="21"/>
              </w:rPr>
              <w:t>2.2.1 样品容量：≥90位</w:t>
            </w:r>
          </w:p>
          <w:p>
            <w:pPr>
              <w:pStyle w:val="null3"/>
            </w:pPr>
            <w:r>
              <w:rPr>
                <w:rFonts w:ascii="宋体" w:hAnsi="宋体" w:cs="宋体" w:eastAsia="宋体"/>
                <w:sz w:val="21"/>
              </w:rPr>
              <w:t>2.2.2 进样准确度：≤0.2μL</w:t>
            </w:r>
          </w:p>
          <w:p>
            <w:pPr>
              <w:pStyle w:val="null3"/>
            </w:pPr>
            <w:r>
              <w:rPr>
                <w:rFonts w:ascii="宋体" w:hAnsi="宋体" w:cs="宋体" w:eastAsia="宋体"/>
                <w:sz w:val="21"/>
              </w:rPr>
              <w:t>2.2.3 样品残留：&lt;0.002%</w:t>
            </w:r>
          </w:p>
          <w:p>
            <w:pPr>
              <w:pStyle w:val="null3"/>
            </w:pPr>
            <w:r>
              <w:rPr>
                <w:rFonts w:ascii="宋体" w:hAnsi="宋体" w:cs="宋体" w:eastAsia="宋体"/>
                <w:sz w:val="21"/>
              </w:rPr>
              <w:t>2.2.4 最大进样体积：≥30μL</w:t>
            </w:r>
          </w:p>
          <w:p>
            <w:pPr>
              <w:pStyle w:val="null3"/>
            </w:pPr>
            <w:r>
              <w:rPr>
                <w:rFonts w:ascii="宋体" w:hAnsi="宋体" w:cs="宋体" w:eastAsia="宋体"/>
                <w:sz w:val="21"/>
              </w:rPr>
              <w:t>2.2.5 进样精度：&lt; 0.25% RSD</w:t>
            </w:r>
          </w:p>
          <w:p>
            <w:pPr>
              <w:pStyle w:val="null3"/>
            </w:pPr>
            <w:r>
              <w:rPr>
                <w:rFonts w:ascii="宋体" w:hAnsi="宋体" w:cs="宋体" w:eastAsia="宋体"/>
                <w:sz w:val="21"/>
              </w:rPr>
              <w:t>2.2.6 样品室温度范围：最低温度≤5℃，最高温度≥35℃，增量：0.1℃</w:t>
            </w:r>
          </w:p>
          <w:p>
            <w:pPr>
              <w:pStyle w:val="null3"/>
            </w:pPr>
            <w:r>
              <w:rPr>
                <w:rFonts w:ascii="宋体" w:hAnsi="宋体" w:cs="宋体" w:eastAsia="宋体"/>
                <w:sz w:val="21"/>
              </w:rPr>
              <w:t>2.2.7 最大耐压：≥9500 psi</w:t>
            </w:r>
          </w:p>
          <w:p>
            <w:pPr>
              <w:pStyle w:val="null3"/>
            </w:pPr>
            <w:r>
              <w:rPr>
                <w:rFonts w:ascii="宋体" w:hAnsi="宋体" w:cs="宋体" w:eastAsia="宋体"/>
                <w:b/>
                <w:sz w:val="21"/>
              </w:rPr>
              <w:t>2.3 柱温箱：</w:t>
            </w:r>
            <w:r>
              <w:rPr>
                <w:rFonts w:ascii="宋体" w:hAnsi="宋体" w:cs="宋体" w:eastAsia="宋体"/>
                <w:sz w:val="21"/>
              </w:rPr>
              <w:t>最低温度</w:t>
            </w:r>
            <w:r>
              <w:rPr>
                <w:rFonts w:ascii="宋体" w:hAnsi="宋体" w:cs="宋体" w:eastAsia="宋体"/>
                <w:sz w:val="21"/>
              </w:rPr>
              <w:t>≤5℃，最高温度≥60℃，增量：0.1℃</w:t>
            </w:r>
          </w:p>
          <w:p>
            <w:pPr>
              <w:pStyle w:val="null3"/>
            </w:pPr>
            <w:r>
              <w:rPr>
                <w:rFonts w:ascii="宋体" w:hAnsi="宋体" w:cs="宋体" w:eastAsia="宋体"/>
                <w:b/>
                <w:sz w:val="21"/>
              </w:rPr>
              <w:t>2.4 紫外检测器</w:t>
            </w:r>
          </w:p>
          <w:p>
            <w:pPr>
              <w:pStyle w:val="null3"/>
            </w:pPr>
            <w:r>
              <w:rPr>
                <w:rFonts w:ascii="宋体" w:hAnsi="宋体" w:cs="宋体" w:eastAsia="宋体"/>
                <w:sz w:val="21"/>
              </w:rPr>
              <w:t>2.4.1 波长范围：190</w:t>
            </w:r>
            <w:r>
              <w:rPr>
                <w:rFonts w:ascii="times new roman, times, serif" w:hAnsi="times new roman, times, serif" w:cs="times new roman, times, serif" w:eastAsia="times new roman, times, serif"/>
                <w:sz w:val="21"/>
              </w:rPr>
              <w:t>~</w:t>
            </w:r>
            <w:r>
              <w:rPr>
                <w:rFonts w:ascii="宋体" w:hAnsi="宋体" w:cs="宋体" w:eastAsia="宋体"/>
                <w:sz w:val="21"/>
              </w:rPr>
              <w:t>600nm</w:t>
            </w:r>
          </w:p>
          <w:p>
            <w:pPr>
              <w:pStyle w:val="null3"/>
            </w:pPr>
            <w:r>
              <w:rPr>
                <w:rFonts w:ascii="宋体" w:hAnsi="宋体" w:cs="宋体" w:eastAsia="宋体"/>
                <w:sz w:val="21"/>
              </w:rPr>
              <w:t>2.4.2 波长准确度：≤1nm</w:t>
            </w:r>
          </w:p>
          <w:p>
            <w:pPr>
              <w:pStyle w:val="null3"/>
            </w:pPr>
            <w:r>
              <w:rPr>
                <w:rFonts w:ascii="宋体" w:hAnsi="宋体" w:cs="宋体" w:eastAsia="宋体"/>
                <w:sz w:val="21"/>
              </w:rPr>
              <w:t>2.4.3 基线噪音：≤5.0×10</w:t>
            </w:r>
            <w:r>
              <w:rPr>
                <w:rFonts w:ascii="宋体" w:hAnsi="宋体" w:cs="宋体" w:eastAsia="宋体"/>
                <w:sz w:val="13"/>
                <w:vertAlign w:val="superscript"/>
              </w:rPr>
              <w:t xml:space="preserve">-6 </w:t>
            </w:r>
            <w:r>
              <w:rPr>
                <w:rFonts w:ascii="宋体" w:hAnsi="宋体" w:cs="宋体" w:eastAsia="宋体"/>
                <w:sz w:val="21"/>
              </w:rPr>
              <w:t>AU</w:t>
            </w:r>
          </w:p>
          <w:p>
            <w:pPr>
              <w:pStyle w:val="null3"/>
            </w:pPr>
            <w:r>
              <w:rPr>
                <w:rFonts w:ascii="宋体" w:hAnsi="宋体" w:cs="宋体" w:eastAsia="宋体"/>
                <w:sz w:val="21"/>
              </w:rPr>
              <w:t>2.4.4 漂移：≤1.0×10</w:t>
            </w:r>
            <w:r>
              <w:rPr>
                <w:rFonts w:ascii="宋体" w:hAnsi="宋体" w:cs="宋体" w:eastAsia="宋体"/>
                <w:sz w:val="13"/>
                <w:vertAlign w:val="superscript"/>
              </w:rPr>
              <w:t xml:space="preserve">-4 </w:t>
            </w:r>
            <w:r>
              <w:rPr>
                <w:rFonts w:ascii="宋体" w:hAnsi="宋体" w:cs="宋体" w:eastAsia="宋体"/>
                <w:sz w:val="21"/>
              </w:rPr>
              <w:t>AU/hr</w:t>
            </w:r>
          </w:p>
          <w:p>
            <w:pPr>
              <w:pStyle w:val="null3"/>
            </w:pPr>
            <w:r>
              <w:rPr>
                <w:rFonts w:ascii="宋体" w:hAnsi="宋体" w:cs="宋体" w:eastAsia="宋体"/>
                <w:sz w:val="21"/>
              </w:rPr>
              <w:t>2.4.5 流通池：梯形狭缝池，消除示差折光效应</w:t>
            </w:r>
          </w:p>
          <w:p>
            <w:pPr>
              <w:pStyle w:val="null3"/>
            </w:pPr>
            <w:r>
              <w:rPr>
                <w:rFonts w:ascii="宋体" w:hAnsi="宋体" w:cs="宋体" w:eastAsia="宋体"/>
                <w:b/>
                <w:sz w:val="21"/>
              </w:rPr>
              <w:t>2.5 荧光检测器</w:t>
            </w:r>
          </w:p>
          <w:p>
            <w:pPr>
              <w:pStyle w:val="null3"/>
            </w:pPr>
            <w:r>
              <w:rPr>
                <w:rFonts w:ascii="宋体" w:hAnsi="宋体" w:cs="宋体" w:eastAsia="宋体"/>
                <w:sz w:val="21"/>
              </w:rPr>
              <w:t>2.5.1 激发波长：200-850 nm</w:t>
            </w:r>
          </w:p>
          <w:p>
            <w:pPr>
              <w:pStyle w:val="null3"/>
            </w:pPr>
            <w:r>
              <w:rPr>
                <w:rFonts w:ascii="宋体" w:hAnsi="宋体" w:cs="宋体" w:eastAsia="宋体"/>
                <w:sz w:val="21"/>
              </w:rPr>
              <w:t>2.5.2 发射波长：210-850 nm</w:t>
            </w:r>
          </w:p>
          <w:p>
            <w:pPr>
              <w:pStyle w:val="null3"/>
            </w:pPr>
            <w:r>
              <w:rPr>
                <w:rFonts w:ascii="宋体" w:hAnsi="宋体" w:cs="宋体" w:eastAsia="宋体"/>
                <w:sz w:val="21"/>
              </w:rPr>
              <w:t>2.5.3 灵敏度：S/N &gt; 900</w:t>
            </w:r>
          </w:p>
          <w:p>
            <w:pPr>
              <w:pStyle w:val="null3"/>
            </w:pPr>
            <w:r>
              <w:rPr>
                <w:rFonts w:ascii="宋体" w:hAnsi="宋体" w:cs="宋体" w:eastAsia="宋体"/>
                <w:sz w:val="21"/>
              </w:rPr>
              <w:t>2.5.4 流通池：&lt; 12ul</w:t>
            </w:r>
          </w:p>
          <w:p>
            <w:pPr>
              <w:pStyle w:val="null3"/>
            </w:pPr>
            <w:r>
              <w:rPr>
                <w:rFonts w:ascii="宋体" w:hAnsi="宋体" w:cs="宋体" w:eastAsia="宋体"/>
                <w:sz w:val="21"/>
              </w:rPr>
              <w:t>2.5.5 光源：汞/弧氙灯</w:t>
            </w:r>
          </w:p>
          <w:p>
            <w:pPr>
              <w:pStyle w:val="null3"/>
            </w:pPr>
            <w:r>
              <w:rPr>
                <w:rFonts w:ascii="宋体" w:hAnsi="宋体" w:cs="宋体" w:eastAsia="宋体"/>
                <w:b/>
                <w:sz w:val="21"/>
              </w:rPr>
              <w:t>2.6 色谱软件</w:t>
            </w:r>
          </w:p>
          <w:p>
            <w:pPr>
              <w:pStyle w:val="null3"/>
            </w:pPr>
            <w:r>
              <w:rPr>
                <w:rFonts w:ascii="宋体" w:hAnsi="宋体" w:cs="宋体" w:eastAsia="宋体"/>
                <w:sz w:val="21"/>
              </w:rPr>
              <w:t>2.6.1符合cGMP/GLP和21 CFR Part 11法规的要求</w:t>
            </w:r>
          </w:p>
          <w:p>
            <w:pPr>
              <w:pStyle w:val="null3"/>
            </w:pPr>
            <w:r>
              <w:rPr>
                <w:rFonts w:ascii="宋体" w:hAnsi="宋体" w:cs="宋体" w:eastAsia="宋体"/>
                <w:sz w:val="21"/>
              </w:rPr>
              <w:t>2.6.2 ≥15种校正拟合定量计算方式</w:t>
            </w:r>
          </w:p>
          <w:p>
            <w:pPr>
              <w:pStyle w:val="null3"/>
            </w:pPr>
            <w:r>
              <w:rPr>
                <w:rFonts w:ascii="宋体" w:hAnsi="宋体" w:cs="宋体" w:eastAsia="宋体"/>
                <w:sz w:val="21"/>
              </w:rPr>
              <w:t>2.6.3 ≥8种数据检索模式</w:t>
            </w:r>
          </w:p>
          <w:p>
            <w:pPr>
              <w:pStyle w:val="null3"/>
            </w:pPr>
            <w:r>
              <w:rPr>
                <w:rFonts w:ascii="宋体" w:hAnsi="宋体" w:cs="宋体" w:eastAsia="宋体"/>
                <w:sz w:val="21"/>
              </w:rPr>
              <w:t>2.6.4 用户可自定义样品信息和编辑计算公式实现特殊的计算：样品信息类型≥5；数据类型≥5</w:t>
            </w:r>
          </w:p>
          <w:p>
            <w:pPr>
              <w:pStyle w:val="null3"/>
            </w:pPr>
            <w:r>
              <w:rPr>
                <w:rFonts w:ascii="宋体" w:hAnsi="宋体" w:cs="宋体" w:eastAsia="宋体"/>
                <w:sz w:val="21"/>
              </w:rPr>
              <w:t>2.6.5 报告格式可编辑和排版</w:t>
            </w:r>
          </w:p>
          <w:p>
            <w:pPr>
              <w:pStyle w:val="null3"/>
            </w:pPr>
            <w:r>
              <w:rPr>
                <w:rFonts w:ascii="宋体" w:hAnsi="宋体" w:cs="宋体" w:eastAsia="宋体"/>
                <w:sz w:val="21"/>
              </w:rPr>
              <w:t>2.6.6 原始数据和结果可通过多种方式输出到其它软件中（如Excel）</w:t>
            </w:r>
          </w:p>
          <w:p>
            <w:pPr>
              <w:pStyle w:val="null3"/>
            </w:pPr>
            <w:r>
              <w:rPr>
                <w:rFonts w:ascii="宋体" w:hAnsi="宋体" w:cs="宋体" w:eastAsia="宋体"/>
                <w:b/>
                <w:sz w:val="21"/>
              </w:rPr>
              <w:t>3. 基本配置：</w:t>
            </w:r>
          </w:p>
          <w:p>
            <w:pPr>
              <w:pStyle w:val="null3"/>
            </w:pPr>
            <w:r>
              <w:rPr>
                <w:rFonts w:ascii="宋体" w:hAnsi="宋体" w:cs="宋体" w:eastAsia="宋体"/>
                <w:sz w:val="21"/>
              </w:rPr>
              <w:t>3.1 四元梯度泵</w:t>
            </w:r>
          </w:p>
          <w:p>
            <w:pPr>
              <w:pStyle w:val="null3"/>
            </w:pPr>
            <w:r>
              <w:rPr>
                <w:rFonts w:ascii="宋体" w:hAnsi="宋体" w:cs="宋体" w:eastAsia="宋体"/>
                <w:sz w:val="21"/>
              </w:rPr>
              <w:t>3.2 自动进样器</w:t>
            </w:r>
          </w:p>
          <w:p>
            <w:pPr>
              <w:pStyle w:val="null3"/>
            </w:pPr>
            <w:r>
              <w:rPr>
                <w:rFonts w:ascii="宋体" w:hAnsi="宋体" w:cs="宋体" w:eastAsia="宋体"/>
                <w:sz w:val="21"/>
              </w:rPr>
              <w:t>3.3 柱温箱</w:t>
            </w:r>
          </w:p>
          <w:p>
            <w:pPr>
              <w:pStyle w:val="null3"/>
            </w:pPr>
            <w:r>
              <w:rPr>
                <w:rFonts w:ascii="宋体" w:hAnsi="宋体" w:cs="宋体" w:eastAsia="宋体"/>
                <w:sz w:val="21"/>
              </w:rPr>
              <w:t>3.4 3柱切换阀</w:t>
            </w:r>
          </w:p>
          <w:p>
            <w:pPr>
              <w:pStyle w:val="null3"/>
            </w:pPr>
            <w:r>
              <w:rPr>
                <w:rFonts w:ascii="宋体" w:hAnsi="宋体" w:cs="宋体" w:eastAsia="宋体"/>
                <w:sz w:val="21"/>
              </w:rPr>
              <w:t>3.5 紫外检测器</w:t>
            </w:r>
          </w:p>
          <w:p>
            <w:pPr>
              <w:pStyle w:val="null3"/>
            </w:pPr>
            <w:r>
              <w:rPr>
                <w:rFonts w:ascii="宋体" w:hAnsi="宋体" w:cs="宋体" w:eastAsia="宋体"/>
                <w:sz w:val="21"/>
              </w:rPr>
              <w:t>3.6 荧光检测器</w:t>
            </w:r>
          </w:p>
          <w:p>
            <w:pPr>
              <w:pStyle w:val="null3"/>
            </w:pPr>
            <w:r>
              <w:rPr>
                <w:rFonts w:ascii="宋体" w:hAnsi="宋体" w:cs="宋体" w:eastAsia="宋体"/>
                <w:sz w:val="21"/>
              </w:rPr>
              <w:t>3.7 色谱软件</w:t>
            </w:r>
          </w:p>
          <w:p>
            <w:pPr>
              <w:pStyle w:val="null3"/>
            </w:pPr>
            <w:r>
              <w:rPr>
                <w:rFonts w:ascii="宋体" w:hAnsi="宋体" w:cs="宋体" w:eastAsia="宋体"/>
                <w:sz w:val="21"/>
              </w:rPr>
              <w:t>3.8 ORACLE图文数据库</w:t>
            </w:r>
          </w:p>
          <w:p>
            <w:pPr>
              <w:pStyle w:val="null3"/>
            </w:pPr>
            <w:r>
              <w:rPr>
                <w:rFonts w:ascii="宋体" w:hAnsi="宋体" w:cs="宋体" w:eastAsia="宋体"/>
                <w:sz w:val="21"/>
              </w:rPr>
              <w:t>3.9 电脑</w:t>
            </w:r>
          </w:p>
          <w:p>
            <w:pPr>
              <w:pStyle w:val="null3"/>
            </w:pPr>
            <w:r>
              <w:rPr>
                <w:rFonts w:ascii="宋体" w:hAnsi="宋体" w:cs="宋体" w:eastAsia="宋体"/>
                <w:sz w:val="21"/>
              </w:rPr>
              <w:t>3.10 C18色谱柱 1根</w:t>
            </w:r>
          </w:p>
          <w:p>
            <w:pPr>
              <w:pStyle w:val="null3"/>
            </w:pPr>
            <w:r>
              <w:rPr>
                <w:rFonts w:ascii="宋体" w:hAnsi="宋体" w:cs="宋体" w:eastAsia="宋体"/>
                <w:sz w:val="21"/>
              </w:rPr>
              <w:t>3.11 样品瓶 100个</w:t>
            </w:r>
          </w:p>
          <w:p>
            <w:pPr>
              <w:pStyle w:val="null3"/>
            </w:pPr>
            <w:r>
              <w:rPr>
                <w:rFonts w:ascii="宋体" w:hAnsi="宋体" w:cs="宋体" w:eastAsia="宋体"/>
                <w:sz w:val="21"/>
              </w:rPr>
              <w:t>3.12 Peek接头 2个</w:t>
            </w:r>
          </w:p>
          <w:p>
            <w:pPr>
              <w:pStyle w:val="null3"/>
            </w:pPr>
            <w:r>
              <w:rPr>
                <w:rFonts w:ascii="宋体" w:hAnsi="宋体" w:cs="宋体" w:eastAsia="宋体"/>
                <w:sz w:val="21"/>
              </w:rPr>
              <w:t>3.13 两通 1个</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sz w:val="21"/>
              </w:rPr>
              <w:t>1. 驱动马达数量：≥2</w:t>
            </w:r>
          </w:p>
          <w:p>
            <w:pPr>
              <w:pStyle w:val="null3"/>
            </w:pPr>
            <w:r>
              <w:rPr>
                <w:rFonts w:ascii="宋体" w:hAnsi="宋体" w:cs="宋体" w:eastAsia="宋体"/>
                <w:sz w:val="21"/>
              </w:rPr>
              <w:t>2. 压力传感器数量：≥2</w:t>
            </w:r>
          </w:p>
          <w:p>
            <w:pPr>
              <w:pStyle w:val="null3"/>
            </w:pPr>
            <w:r>
              <w:rPr>
                <w:rFonts w:ascii="宋体" w:hAnsi="宋体" w:cs="宋体" w:eastAsia="宋体"/>
                <w:sz w:val="21"/>
              </w:rPr>
              <w:t>3. 数据采集模式：2维、3维</w:t>
            </w:r>
          </w:p>
          <w:p>
            <w:pPr>
              <w:pStyle w:val="null3"/>
            </w:pPr>
            <w:r>
              <w:rPr>
                <w:rFonts w:ascii="宋体" w:hAnsi="宋体" w:cs="宋体" w:eastAsia="宋体"/>
                <w:sz w:val="21"/>
              </w:rPr>
              <w:t>4. 配置ORACLE图文数据库</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自合同签订之日起30日历天</w:t>
      </w:r>
    </w:p>
    <w:p>
      <w:pPr>
        <w:pStyle w:val="null3"/>
        <w:outlineLvl w:val="3"/>
      </w:pPr>
      <w:r>
        <w:rPr>
          <w:b/>
          <w:sz w:val="24"/>
        </w:rPr>
        <w:t>3.4.2交货地点</w:t>
      </w:r>
    </w:p>
    <w:p>
      <w:pPr>
        <w:pStyle w:val="null3"/>
      </w:pPr>
      <w:r>
        <w:rPr/>
        <w:t>采购包1：</w:t>
      </w:r>
    </w:p>
    <w:p>
      <w:pPr>
        <w:pStyle w:val="null3"/>
      </w:pPr>
      <w:r>
        <w:rPr/>
        <w:t>咸阳市毕塬西路16号及西安市科技二路69号</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所有货物到达甲方指定地点，安装、调试、验收合格后</w:t>
      </w:r>
      <w:r>
        <w:rPr/>
        <w:t xml:space="preserve"> ，达到付款条件起 </w:t>
      </w:r>
      <w:r>
        <w:rPr/>
        <w:t>10</w:t>
      </w:r>
      <w:r>
        <w:rPr/>
        <w:t xml:space="preserve"> 日内，支付合同总金额的 </w:t>
      </w:r>
      <w:r>
        <w:rPr/>
        <w:t>50.00</w:t>
      </w:r>
      <w:r>
        <w:rPr/>
        <w:t>%。</w:t>
      </w:r>
    </w:p>
    <w:p>
      <w:pPr>
        <w:pStyle w:val="null3"/>
        <w:outlineLvl w:val="3"/>
      </w:pPr>
      <w:r>
        <w:rPr>
          <w:b/>
          <w:sz w:val="24"/>
        </w:rPr>
        <w:t>3.4.5验收标准和方法</w:t>
      </w:r>
    </w:p>
    <w:p>
      <w:pPr>
        <w:pStyle w:val="null3"/>
      </w:pPr>
      <w:r>
        <w:rPr/>
        <w:t>采购包1：</w:t>
      </w:r>
    </w:p>
    <w:p>
      <w:pPr>
        <w:pStyle w:val="null3"/>
      </w:pPr>
      <w:r>
        <w:rPr/>
        <w:t>达到合同约定要求，由采购人组织验收。</w:t>
      </w:r>
    </w:p>
    <w:p>
      <w:pPr>
        <w:pStyle w:val="null3"/>
        <w:outlineLvl w:val="3"/>
      </w:pPr>
      <w:r>
        <w:rPr>
          <w:b/>
          <w:sz w:val="24"/>
        </w:rPr>
        <w:t>3.4.6包装方式及运输</w:t>
      </w:r>
    </w:p>
    <w:p>
      <w:pPr>
        <w:pStyle w:val="null3"/>
      </w:pPr>
      <w:r>
        <w:rPr/>
        <w:t>采购包1：</w:t>
      </w:r>
    </w:p>
    <w:p>
      <w:pPr>
        <w:pStyle w:val="null3"/>
      </w:pPr>
      <w:r>
        <w:rPr/>
        <w:t>（一）运输由乙方负责，运杂费已包含在合同总价内，包括从货物供应地点所含的运输费、装卸费、仓储费、保险费等。（二）运输方式由乙方自行选择，但必须保证按期交货。（三）涉及的商品包装和快递包装，均应符合《商品包装政府采购需求标准（试行）》《快递包装政府采购需求标准（试行）》的要求，包装应适应于远距离运输、防潮、防震、防锈和防野蛮装卸，以确保货物安全无损运抵指定地点。在运输过程中货物、设备的全部风险由乙方承担。</w:t>
      </w:r>
    </w:p>
    <w:p>
      <w:pPr>
        <w:pStyle w:val="null3"/>
        <w:outlineLvl w:val="3"/>
      </w:pPr>
      <w:r>
        <w:rPr>
          <w:b/>
          <w:sz w:val="24"/>
        </w:rPr>
        <w:t>3.4.7质量保修范围和保修期</w:t>
      </w:r>
    </w:p>
    <w:p>
      <w:pPr>
        <w:pStyle w:val="null3"/>
      </w:pPr>
      <w:r>
        <w:rPr/>
        <w:t>采购包1：</w:t>
      </w:r>
    </w:p>
    <w:p>
      <w:pPr>
        <w:pStyle w:val="null3"/>
      </w:pPr>
      <w:r>
        <w:rPr/>
        <w:t>乙方所供货物必须执行下列条款：（一）设备到位后，工程师应立即进行安装、调试，同时对操作人员进行严格的规范化培训，使甲方人员能够熟练操作设备。（二）保证技术指标先进、质量性能可靠、进货渠道正常，配置合理，全面满足招标要求。（三）符合国家有关规范要求，确保达到最佳运行状态。（四）具有良好的外观，适合安装场所的使用。（五）自安装、调试正常运行并验收合格之日起：1、免费质保期为设备（产品）自安装调试验收合格之日起1年（供应商承诺超过1年的，按期承诺时间执行）。2、免费保修期内，同一主要部件出现质量问题经过一次维修后仍无法正常使用，可以更换同型号、同规格的产品，对问题较大短期内暂不能解决的，为不影响甲方正常使用，乙方在2日内免费提供替代产品，确保正常运行；3、30天内，如出现质量问题，可以选择换货或退货；4、30至60天内，如出现质量问题，可选择换货。（五）设备因产品质量或设计缺陷等问题，而发生的差错或纠纷乙方及生产厂商承担全部责任。如因此给甲方造成损失的，甲方有权向乙方追偿。</w:t>
      </w:r>
    </w:p>
    <w:p>
      <w:pPr>
        <w:pStyle w:val="null3"/>
        <w:outlineLvl w:val="3"/>
      </w:pPr>
      <w:r>
        <w:rPr>
          <w:b/>
          <w:sz w:val="24"/>
        </w:rPr>
        <w:t>3.4.8违约责任与解决争议的方法</w:t>
      </w:r>
    </w:p>
    <w:p>
      <w:pPr>
        <w:pStyle w:val="null3"/>
      </w:pPr>
      <w:r>
        <w:rPr/>
        <w:t>采购包1：</w:t>
      </w:r>
    </w:p>
    <w:p>
      <w:pPr>
        <w:pStyle w:val="null3"/>
      </w:pPr>
      <w:r>
        <w:rPr/>
        <w:t>违约责任：（一）依照《政府采购法》《民法典》中的相关条款执行。（二）未按合同要求提供货物或质量不能满足招标技术要求，乙方必须无条件更换，乙方拒绝更换或更换后仍不能满足招标技术要求或者甲方需求的，甲方有权终止合同，并对乙方的违约行为报监管机构进行相应的处罚，同时乙方应赔偿甲方全部损失。（三）交货期（含安装期）每超过一天，扣除乙方合同总价款的 1 ‰。合同争议解决的方式：本合同在履行过程中发生的争议，由甲、乙双方当事人协商解决，协商不成的按下列第（ 二 ）种方式解决：（一）提交 西安 仲裁委员会仲裁；（二）依法向 甲方 所在地人民法院起诉。</w:t>
      </w:r>
    </w:p>
    <w:p>
      <w:pPr>
        <w:pStyle w:val="null3"/>
        <w:jc w:val="left"/>
        <w:outlineLvl w:val="2"/>
      </w:pPr>
      <w:r>
        <w:rPr>
          <w:b/>
          <w:sz w:val="28"/>
        </w:rPr>
        <w:t>3.5其他要求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2021年度或2022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供应商未被列入《信用中国》（www.creditchina.gov.cn）“重大税收违法失信主体”名单和《中国执行信息公开网》（http：/zxgk.court.gov.cn/shixin/）“失信被执行人”名单及不处于《中国政府采购网》(www.ccgp.gov.cn)记录的“政府采购严重违法失信行为记录名单”中的禁止参加政府采购活动期间</w:t>
            </w:r>
          </w:p>
        </w:tc>
        <w:tc>
          <w:tcPr>
            <w:tcW w:type="dxa" w:w="1661"/>
          </w:tcPr>
          <w:p>
            <w:pPr>
              <w:pStyle w:val="null3"/>
            </w:pPr>
            <w:r>
              <w:rPr/>
              <w:t>承诺书 投标人应提交的相关资格证明材料</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若与其他供应商存在单位负责人为同一人或者存在直接控股、管理关系的，参加同一合同项下的政府采购活动，则投标无效</w:t>
            </w:r>
          </w:p>
        </w:tc>
        <w:tc>
          <w:tcPr>
            <w:tcW w:type="dxa" w:w="1661"/>
          </w:tcPr>
          <w:p>
            <w:pPr>
              <w:pStyle w:val="null3"/>
            </w:pPr>
            <w:r>
              <w:rPr/>
              <w:t>承诺书 投标人应提交的相关资格证明材料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提供书面声明，包括声明具有履行合同所必需的设备和专业技术能力；参加政府采购活动前三年内在经营活动中没有重大违法记录</w:t>
            </w:r>
          </w:p>
        </w:tc>
        <w:tc>
          <w:tcPr>
            <w:tcW w:type="dxa" w:w="1661"/>
          </w:tcPr>
          <w:p>
            <w:pPr>
              <w:pStyle w:val="null3"/>
            </w:pPr>
            <w:r>
              <w:rPr/>
              <w:t>承诺书 投标人应提交的相关资格证明材料</w:t>
            </w:r>
          </w:p>
        </w:tc>
      </w:tr>
      <w:tr>
        <w:tc>
          <w:tcPr>
            <w:tcW w:type="dxa" w:w="831"/>
          </w:tcPr>
          <w:p>
            <w:pPr>
              <w:pStyle w:val="null3"/>
            </w:pPr>
            <w:r>
              <w:rPr/>
              <w:t>8</w:t>
            </w:r>
          </w:p>
        </w:tc>
        <w:tc>
          <w:tcPr>
            <w:tcW w:type="dxa" w:w="2492"/>
          </w:tcPr>
          <w:p>
            <w:pPr>
              <w:pStyle w:val="null3"/>
            </w:pPr>
            <w:r>
              <w:rPr/>
              <w:t>法定代表人（单位负责人）授权委托书</w:t>
            </w:r>
          </w:p>
        </w:tc>
        <w:tc>
          <w:tcPr>
            <w:tcW w:type="dxa" w:w="3322"/>
          </w:tcPr>
          <w:p>
            <w:pPr>
              <w:pStyle w:val="null3"/>
            </w:pPr>
            <w:r>
              <w:rPr/>
              <w:t>法定代表人（单位负责人）授权书及被授权人身份证复印件或扫描件（法定代表人（单位负责人）参加只需提供法定代表人（单位负责人）身份证明）</w:t>
            </w:r>
          </w:p>
        </w:tc>
        <w:tc>
          <w:tcPr>
            <w:tcW w:type="dxa" w:w="1661"/>
          </w:tcPr>
          <w:p>
            <w:pPr>
              <w:pStyle w:val="null3"/>
            </w:pPr>
            <w:r>
              <w:rPr/>
              <w:t>法定代表人（单位负责人）授权委托书 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财政部农业农村部国家乡村振兴局关于运用政府采购政策支持乡村产业振兴的通知》（财库〔2021〕19号）、《财政部农业农村部国家乡村振兴局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盖章签字及其他情形</w:t>
            </w:r>
          </w:p>
        </w:tc>
        <w:tc>
          <w:tcPr>
            <w:tcW w:type="dxa" w:w="3322"/>
          </w:tcPr>
          <w:p>
            <w:pPr>
              <w:pStyle w:val="null3"/>
            </w:pPr>
            <w:r>
              <w:rPr/>
              <w:t>提交的投标文件有下列情况之一，其投标文件无效。(1)投标报价超过招标文件中规定的采购预算或最高限价的；(2)不满足招标文件中实质性条款要求的；(3)投标文件含有采购人不能接受的附加条件的或其他情形；（4）法律、规章、规范性文件和招标文件规定的其他无效情形。</w:t>
            </w:r>
          </w:p>
        </w:tc>
        <w:tc>
          <w:tcPr>
            <w:tcW w:type="dxa" w:w="1661"/>
          </w:tcPr>
          <w:p>
            <w:pPr>
              <w:pStyle w:val="null3"/>
            </w:pPr>
            <w:r>
              <w:rPr/>
              <w:t>开标一览表 中小企业声明函 商务应答表 承诺书 投标人应提交的相关资格证明材料 产品技术参数表 参考格式 投标函 残疾人福利性单位声明函 标的清单 投标文件封面 法定代表人（单位负责人）授权委托书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商务应答</w:t>
            </w:r>
          </w:p>
        </w:tc>
        <w:tc>
          <w:tcPr>
            <w:tcW w:type="dxa" w:w="2492"/>
          </w:tcPr>
          <w:p>
            <w:pPr>
              <w:pStyle w:val="null3"/>
            </w:pPr>
            <w:r>
              <w:rPr/>
              <w:t>供应商按要求对《商务应答表》进行响应说明，满足的计3分，满足且优于的计5分≥得分＞3分（优于的标准为交货期（含安装期）提前的或质保时间延长的）</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自2020年1月1日至今的同类型产品业绩（有效业绩以合同或协议书或中标（成交）通知书为准），每份有效业绩得2分，满分8分，未提供有效业绩的不得分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参考格式</w:t>
            </w:r>
          </w:p>
        </w:tc>
      </w:tr>
      <w:tr>
        <w:tc>
          <w:tcPr>
            <w:tcW w:type="dxa" w:w="831"/>
            <w:vMerge/>
          </w:tcPr>
          <w:p/>
        </w:tc>
        <w:tc>
          <w:tcPr>
            <w:tcW w:type="dxa" w:w="1661"/>
          </w:tcPr>
          <w:p>
            <w:pPr>
              <w:pStyle w:val="null3"/>
            </w:pPr>
            <w:r>
              <w:rPr/>
              <w:t>技术响应</w:t>
            </w:r>
          </w:p>
        </w:tc>
        <w:tc>
          <w:tcPr>
            <w:tcW w:type="dxa" w:w="2492"/>
          </w:tcPr>
          <w:p>
            <w:pPr>
              <w:pStyle w:val="null3"/>
            </w:pPr>
            <w:r>
              <w:rPr/>
              <w:t>所投设备（产品）各部分功能满足或优于招标文件要求，技术资料齐全计25分，每负偏离一项“▲”条款，扣1.05分，每负偏离一项非“▲”条款，扣0.4分，扣完为止。需附有支持招标文件《第三章 招标项目技术、服务、商务及其他要求》中“3.3技术要求”的证明资料，需提供生产厂家确认的、相应的功能证明材料（包括但不限于权威机构出具的检验报告或说明书或技术白皮书或官网和功能截图等），不计负分</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产品技术参数表</w:t>
            </w:r>
          </w:p>
          <w:p>
            <w:pPr>
              <w:pStyle w:val="null3"/>
            </w:pPr>
            <w:r>
              <w:rPr/>
              <w:t>参考格式</w:t>
            </w:r>
          </w:p>
        </w:tc>
      </w:tr>
      <w:tr>
        <w:tc>
          <w:tcPr>
            <w:tcW w:type="dxa" w:w="831"/>
            <w:vMerge/>
          </w:tcPr>
          <w:p/>
        </w:tc>
        <w:tc>
          <w:tcPr>
            <w:tcW w:type="dxa" w:w="1661"/>
          </w:tcPr>
          <w:p>
            <w:pPr>
              <w:pStyle w:val="null3"/>
            </w:pPr>
            <w:r>
              <w:rPr/>
              <w:t>所投设备（产品）配置</w:t>
            </w:r>
          </w:p>
        </w:tc>
        <w:tc>
          <w:tcPr>
            <w:tcW w:type="dxa" w:w="2492"/>
          </w:tcPr>
          <w:p>
            <w:pPr>
              <w:pStyle w:val="null3"/>
            </w:pPr>
            <w:r>
              <w:rPr/>
              <w:t>所投设备（产品）的配置情况（包括但不限于数量准确、型号明确），且功能满足招标文件要求进行描述，描述无缺漏详细具体的计5分≥得分＞4分，描述无缺漏但不完整详尽的计4分≥得分＞3分，描述有缺漏且不完整详尽的计3分≥得分≥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参考格式</w:t>
            </w:r>
          </w:p>
        </w:tc>
      </w:tr>
      <w:tr>
        <w:tc>
          <w:tcPr>
            <w:tcW w:type="dxa" w:w="831"/>
            <w:vMerge/>
          </w:tcPr>
          <w:p/>
        </w:tc>
        <w:tc>
          <w:tcPr>
            <w:tcW w:type="dxa" w:w="1661"/>
          </w:tcPr>
          <w:p>
            <w:pPr>
              <w:pStyle w:val="null3"/>
            </w:pPr>
            <w:r>
              <w:rPr/>
              <w:t>设备（产品）的供货、安装调试</w:t>
            </w:r>
          </w:p>
        </w:tc>
        <w:tc>
          <w:tcPr>
            <w:tcW w:type="dxa" w:w="2492"/>
          </w:tcPr>
          <w:p>
            <w:pPr>
              <w:pStyle w:val="null3"/>
            </w:pPr>
            <w:r>
              <w:rPr/>
              <w:t>设备（产品）的供货（响应产品的制造商家、规格型号、数量进行描述）、安装调试等方面做出合理计划及调配，由专业的技术人员提供设备（产品）安装服务，并帮助采购人将设备（产品）调试到最佳使用状态，能保证设备（产品）的顺利运行，描述无缺漏详细具体的计8分≥得分＞5分，描述无缺漏但不完整详尽的计5分≥得分＞3分，描述有缺漏且不完整详尽的计3分≥得分≥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参考格式</w:t>
            </w:r>
          </w:p>
        </w:tc>
      </w:tr>
      <w:tr>
        <w:tc>
          <w:tcPr>
            <w:tcW w:type="dxa" w:w="831"/>
            <w:vMerge/>
          </w:tcPr>
          <w:p/>
        </w:tc>
        <w:tc>
          <w:tcPr>
            <w:tcW w:type="dxa" w:w="1661"/>
          </w:tcPr>
          <w:p>
            <w:pPr>
              <w:pStyle w:val="null3"/>
            </w:pPr>
            <w:r>
              <w:rPr/>
              <w:t>培训方案</w:t>
            </w:r>
          </w:p>
        </w:tc>
        <w:tc>
          <w:tcPr>
            <w:tcW w:type="dxa" w:w="2492"/>
          </w:tcPr>
          <w:p>
            <w:pPr>
              <w:pStyle w:val="null3"/>
            </w:pPr>
            <w:r>
              <w:rPr/>
              <w:t>培训方案（包括但不限于培训人数、培训时间、预计培训结果），保证使用方能熟练操作和日常维护的情况说明，描述无缺漏详细具体的计6分≥得分＞4分，描述无缺漏但不完整详尽的计4分≥得分＞3分，描述有缺漏且不完整详尽的计3分≥得分≥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参考格式</w:t>
            </w:r>
          </w:p>
        </w:tc>
      </w:tr>
      <w:tr>
        <w:tc>
          <w:tcPr>
            <w:tcW w:type="dxa" w:w="831"/>
            <w:vMerge/>
          </w:tcPr>
          <w:p/>
        </w:tc>
        <w:tc>
          <w:tcPr>
            <w:tcW w:type="dxa" w:w="1661"/>
          </w:tcPr>
          <w:p>
            <w:pPr>
              <w:pStyle w:val="null3"/>
            </w:pPr>
            <w:r>
              <w:rPr/>
              <w:t>售后服务</w:t>
            </w:r>
          </w:p>
        </w:tc>
        <w:tc>
          <w:tcPr>
            <w:tcW w:type="dxa" w:w="2492"/>
          </w:tcPr>
          <w:p>
            <w:pPr>
              <w:pStyle w:val="null3"/>
            </w:pPr>
            <w:r>
              <w:rPr/>
              <w:t>提供详细具体可行的售后服务措施承诺，描述无缺漏详细具体的计5分≥得分＞4分，描述无缺漏但不完整详尽的计4分≥得分＞3分，描述有缺漏且不完整详尽的计3分≥得分≥0分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参考格式</w:t>
            </w:r>
          </w:p>
        </w:tc>
      </w:tr>
      <w:tr>
        <w:tc>
          <w:tcPr>
            <w:tcW w:type="dxa" w:w="831"/>
            <w:vMerge/>
          </w:tcPr>
          <w:p/>
        </w:tc>
        <w:tc>
          <w:tcPr>
            <w:tcW w:type="dxa" w:w="1661"/>
          </w:tcPr>
          <w:p>
            <w:pPr>
              <w:pStyle w:val="null3"/>
            </w:pPr>
            <w:r>
              <w:rPr/>
              <w:t>维护保养及应急方案</w:t>
            </w:r>
          </w:p>
        </w:tc>
        <w:tc>
          <w:tcPr>
            <w:tcW w:type="dxa" w:w="2492"/>
          </w:tcPr>
          <w:p>
            <w:pPr>
              <w:pStyle w:val="null3"/>
            </w:pPr>
            <w:r>
              <w:rPr/>
              <w:t>维护保养及应急方案，包括但不限于设备（产品）出现问题的及时处理，替换设备（产品）预案，不能影响及延误采购人的正常使用承诺，描述无缺漏详细具体的计8分≥得分＞5分，描述无缺漏但不完整详尽的计5分≥得分＞3分，描述有缺漏且不完整详尽的计3分≥得分≥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参考格式</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价格分统一采用低价优先法计算，即满足招标文件要求且投标价格最低的投标报价为评标基准价，其价格分为满分。其他供应商的价格分统一按照下列公式计算：投标报价得分=(评标基准价/评标价)×30。 计算分数时四舍五入取小数点后两位。执行政府采购优惠政策标准：1、享受价格优惠政策的：按照价格扣除计算2、不享受价格优惠政策的：评标价=投标报价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详见附件：产品技术参数表</w:t>
      </w:r>
    </w:p>
    <w:p>
      <w:pPr>
        <w:pStyle w:val="null3"/>
        <w:ind w:firstLine="960"/>
      </w:pPr>
      <w:r>
        <w:rPr/>
        <w:t>详见附件：法定代表人（单位负责人）授权委托书</w:t>
      </w:r>
    </w:p>
    <w:p>
      <w:pPr>
        <w:pStyle w:val="null3"/>
        <w:ind w:firstLine="960"/>
      </w:pPr>
      <w:r>
        <w:rPr/>
        <w:t>详见附件：承诺书</w:t>
      </w:r>
    </w:p>
    <w:p>
      <w:pPr>
        <w:pStyle w:val="null3"/>
        <w:ind w:firstLine="960"/>
      </w:pPr>
      <w:r>
        <w:rPr/>
        <w:t>详见附件：商务应答表</w:t>
      </w:r>
    </w:p>
    <w:p>
      <w:pPr>
        <w:pStyle w:val="null3"/>
        <w:ind w:firstLine="960"/>
      </w:pPr>
      <w:r>
        <w:rPr/>
        <w:t>详见附件：参考格式</w:t>
      </w:r>
    </w:p>
    <w:p>
      <w:pPr>
        <w:pStyle w:val="null3"/>
        <w:ind w:firstLine="960"/>
      </w:pPr>
      <w:r>
        <w:rPr/>
        <w:t>详见附件：投标人应提交的相关资格证明材料</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