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《三秦珍档·奋斗足迹》（第二季）微纪录片拍摄制作项目</w:t>
      </w:r>
    </w:p>
    <w:p>
      <w:pPr>
        <w:pStyle w:val="null3"/>
        <w:jc w:val="center"/>
        <w:outlineLvl w:val="2"/>
      </w:pPr>
      <w:r>
        <w:rPr>
          <w:b/>
          <w:sz w:val="28"/>
        </w:rPr>
        <w:t>采购项目编号：</w:t>
      </w:r>
      <w:r>
        <w:rPr>
          <w:b/>
          <w:sz w:val="28"/>
        </w:rPr>
        <w:t>ZBZB-2024-2384</w:t>
      </w:r>
      <w:r>
        <w:br/>
      </w:r>
      <w:r>
        <w:br/>
      </w:r>
      <w:r>
        <w:br/>
      </w:r>
    </w:p>
    <w:p>
      <w:pPr>
        <w:pStyle w:val="null3"/>
        <w:jc w:val="center"/>
        <w:outlineLvl w:val="2"/>
      </w:pPr>
      <w:r>
        <w:rPr>
          <w:b/>
          <w:sz w:val="28"/>
        </w:rPr>
        <w:t>陕西省档案馆</w:t>
      </w:r>
    </w:p>
    <w:p>
      <w:pPr>
        <w:pStyle w:val="null3"/>
        <w:jc w:val="center"/>
        <w:outlineLvl w:val="2"/>
      </w:pPr>
      <w:r>
        <w:rPr>
          <w:b/>
          <w:sz w:val="28"/>
        </w:rPr>
        <w:t>陕西正邦招标有限责任公司</w:t>
      </w:r>
      <w:r>
        <w:rPr>
          <w:b/>
          <w:sz w:val="28"/>
        </w:rPr>
        <w:t>共同编制</w:t>
      </w:r>
    </w:p>
    <w:p>
      <w:pPr>
        <w:pStyle w:val="null3"/>
        <w:jc w:val="center"/>
        <w:outlineLvl w:val="2"/>
      </w:pPr>
      <w:r>
        <w:rPr>
          <w:b/>
          <w:sz w:val="28"/>
        </w:rPr>
        <w:t>2024年05月11日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陕西正邦招标有限责任公司</w:t>
      </w:r>
      <w:r>
        <w:rPr/>
        <w:t>（以下简称“代理机构”）受</w:t>
      </w:r>
      <w:r>
        <w:rPr/>
        <w:t>陕西省档案馆</w:t>
      </w:r>
      <w:r>
        <w:rPr/>
        <w:t>委托，拟对</w:t>
      </w:r>
      <w:r>
        <w:rPr/>
        <w:t>《三秦珍档·奋斗足迹》（第二季）微纪录片拍摄制作项目</w:t>
      </w:r>
      <w:r>
        <w:rPr/>
        <w:t>采用竞争性磋商采购方式进行采购，兹邀请供应商参加本项目的竞争性磋商。</w:t>
      </w:r>
    </w:p>
    <w:p>
      <w:pPr>
        <w:pStyle w:val="null3"/>
        <w:outlineLvl w:val="2"/>
      </w:pPr>
      <w:r>
        <w:rPr>
          <w:b/>
          <w:sz w:val="28"/>
        </w:rPr>
        <w:t>一、项目编号：</w:t>
      </w:r>
      <w:r>
        <w:rPr>
          <w:b/>
          <w:sz w:val="28"/>
        </w:rPr>
        <w:t>ZBZB-2024-2384</w:t>
      </w:r>
    </w:p>
    <w:p>
      <w:pPr>
        <w:pStyle w:val="null3"/>
        <w:outlineLvl w:val="2"/>
      </w:pPr>
      <w:r>
        <w:rPr>
          <w:b/>
          <w:sz w:val="28"/>
        </w:rPr>
        <w:t>二、项目名称：</w:t>
      </w:r>
      <w:r>
        <w:rPr>
          <w:b/>
          <w:sz w:val="28"/>
        </w:rPr>
        <w:t>《三秦珍档·奋斗足迹》（第二季）微纪录片拍摄制作项目</w:t>
      </w:r>
    </w:p>
    <w:p>
      <w:pPr>
        <w:pStyle w:val="null3"/>
        <w:outlineLvl w:val="2"/>
      </w:pPr>
      <w:r>
        <w:rPr>
          <w:b/>
          <w:sz w:val="28"/>
        </w:rPr>
        <w:t>三、磋商项目简介</w:t>
      </w:r>
    </w:p>
    <w:p>
      <w:pPr>
        <w:pStyle w:val="null3"/>
        <w:ind w:firstLine="480"/>
      </w:pPr>
      <w:r>
        <w:rPr/>
        <w:t>本采购项目拟制作18集《三秦珍档·奋斗足迹》微纪录片（第二季），每集6-8分钟，将在陕西电视台一套播出，并通过互联网、微信、抖音等新媒体平台传播。《三秦珍档·奋斗足迹》立足“一五”时期苏联援建中国156个重点工程项目中落地陕西的24个项目，充分挖掘省市档案馆、相关企业单位档案馆室档案资源，以口述档案的形式进行拍摄，旨在以全面化、信息化、高科技手段切实切实有效发挥档案工作存史资政育人的重要作用，积极主动地利用红色档案讲述陕西在共和国创建初期可歌可泣的动人故事，展示那个火红的年代留给我们精神财富，树立正确的人生价值观，激发其爱国热情，弘扬社会主义核心价值观。</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t>3、财务状况报告：提供2022或2023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t>4、社会保障资金缴纳证明：提供2023年4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t>5、税收缴纳证明：提供2023年4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t>7、承诺书：提供具有履行合同所必需的设备和专业技术能力的承诺书；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陕西省档案馆</w:t>
      </w:r>
    </w:p>
    <w:p>
      <w:pPr>
        <w:pStyle w:val="null3"/>
      </w:pPr>
      <w:r>
        <w:rPr/>
        <w:t xml:space="preserve"> 地址： </w:t>
      </w:r>
      <w:r>
        <w:rPr/>
        <w:t>西安市长安区子午大道与学府大街十字东北角</w:t>
      </w:r>
    </w:p>
    <w:p>
      <w:pPr>
        <w:pStyle w:val="null3"/>
      </w:pPr>
      <w:r>
        <w:rPr/>
        <w:t xml:space="preserve"> 邮编： </w:t>
      </w:r>
      <w:r>
        <w:rPr/>
        <w:t>710100</w:t>
      </w:r>
    </w:p>
    <w:p>
      <w:pPr>
        <w:pStyle w:val="null3"/>
      </w:pPr>
      <w:r>
        <w:rPr/>
        <w:t xml:space="preserve"> 联系人： </w:t>
      </w:r>
      <w:r>
        <w:rPr/>
        <w:t>贺老师</w:t>
      </w:r>
    </w:p>
    <w:p>
      <w:pPr>
        <w:pStyle w:val="null3"/>
      </w:pPr>
      <w:r>
        <w:rPr/>
        <w:t xml:space="preserve"> 联系电话： </w:t>
      </w:r>
      <w:r>
        <w:rPr/>
        <w:t>029-89230869</w:t>
      </w:r>
    </w:p>
    <w:p>
      <w:pPr>
        <w:pStyle w:val="null3"/>
        <w:outlineLvl w:val="3"/>
      </w:pPr>
      <w:r>
        <w:rPr>
          <w:b/>
          <w:sz w:val="24"/>
        </w:rPr>
        <w:t>代理机构：</w:t>
      </w:r>
      <w:r>
        <w:rPr>
          <w:b/>
          <w:sz w:val="24"/>
        </w:rPr>
        <w:t>陕西正邦招标有限责任公司</w:t>
      </w:r>
    </w:p>
    <w:p>
      <w:pPr>
        <w:pStyle w:val="null3"/>
      </w:pPr>
      <w:r>
        <w:rPr/>
        <w:t xml:space="preserve"> 地址： </w:t>
      </w:r>
      <w:r>
        <w:rPr/>
        <w:t>西安市雁塔区朱雀大街南段69号长丰园三区5号楼9层</w:t>
      </w:r>
    </w:p>
    <w:p>
      <w:pPr>
        <w:pStyle w:val="null3"/>
      </w:pPr>
      <w:r>
        <w:rPr/>
        <w:t xml:space="preserve"> 邮编： </w:t>
      </w:r>
      <w:r>
        <w:rPr/>
        <w:t>710061</w:t>
      </w:r>
    </w:p>
    <w:p>
      <w:pPr>
        <w:pStyle w:val="null3"/>
      </w:pPr>
      <w:r>
        <w:rPr/>
        <w:t xml:space="preserve"> 联系人： </w:t>
      </w:r>
      <w:r>
        <w:rPr/>
        <w:t>黄工</w:t>
      </w:r>
    </w:p>
    <w:p>
      <w:pPr>
        <w:pStyle w:val="null3"/>
      </w:pPr>
      <w:r>
        <w:rPr/>
        <w:t xml:space="preserve"> 联系电话： </w:t>
      </w:r>
      <w:r>
        <w:rPr/>
        <w:t>029-85578186转832</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开户名称：陕西正邦招标有限责任公司</w:t>
            </w:r>
          </w:p>
          <w:p>
            <w:pPr>
              <w:pStyle w:val="null3"/>
            </w:pPr>
            <w:r>
              <w:rPr/>
              <w:t>开户银行：平安银行西安分行营业部/平安银行西安分行</w:t>
            </w:r>
          </w:p>
          <w:p>
            <w:pPr>
              <w:pStyle w:val="null3"/>
            </w:pPr>
            <w:r>
              <w:rPr/>
              <w:t>银行账号：30205380001683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办公厅发改办价格【2003】857号文的规定，经协商由成交供应商按国家发展和改革委员发改价格【2011】534号文规定取费，向采购代理机构支付招标代理服务费（包含“招标代理费、会务费（如有）”），如本项目各包服务费不足伍仟元则供应商按伍仟元支付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陕西省档案馆</w:t>
      </w:r>
      <w:r>
        <w:rPr/>
        <w:t>和</w:t>
      </w:r>
      <w:r>
        <w:rPr/>
        <w:t>陕西正邦招标有限责任公司</w:t>
      </w:r>
      <w:r>
        <w:rPr/>
        <w:t>享有。对磋商文件中供应商参加本次政府采购活动应当具备的条件，磋商项目技术、服务、商务及其他要求，评审细则及标准由</w:t>
      </w:r>
      <w:r>
        <w:rPr/>
        <w:t>陕西省档案馆</w:t>
      </w:r>
      <w:r>
        <w:rPr/>
        <w:t>负责解释。除上述磋商文件内容，其他内容由</w:t>
      </w:r>
      <w:r>
        <w:rPr/>
        <w:t>陕西正邦招标有限责任公司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陕西省档案馆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陕西正邦招标有限责任公司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 。</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陕西正邦招标有限责任公司</w:t>
      </w:r>
      <w:r>
        <w:rPr/>
        <w:t xml:space="preserve"> 负责答复；供应商对除采购需求外的采购文件的询问、质疑由</w:t>
      </w:r>
      <w:r>
        <w:rPr/>
        <w:t>陕西正邦招标有限责任公司</w:t>
      </w:r>
      <w:r>
        <w:rPr/>
        <w:t xml:space="preserve"> 负责答复；供应商对采购过程、采购结果的询问、质疑由 </w:t>
      </w:r>
      <w:r>
        <w:rPr/>
        <w:t>陕西正邦招标有限责任公司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联系人：黄工</w:t>
      </w:r>
    </w:p>
    <w:p>
      <w:pPr>
        <w:pStyle w:val="null3"/>
      </w:pPr>
      <w:r>
        <w:rPr/>
        <w:t>联系电话：029-85578186转832</w:t>
      </w:r>
    </w:p>
    <w:p>
      <w:pPr>
        <w:pStyle w:val="null3"/>
      </w:pPr>
      <w:r>
        <w:rPr/>
        <w:t>地址：西安市雁塔区朱雀大街南段69号长丰园三区5号楼9层</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采购项目拟制作18集《三秦珍档·奋斗足迹》微纪录片（第二季），每集6-8分钟，将在陕西电视台一套播出，并通过互联网、微信、抖音等新媒体平台传播。《三秦珍档·奋斗足迹》立足“一五”时期苏联援建中国156个重点工程项目中落地陕西的24个项目，充分挖掘省市档案馆、相关企业单位档案馆室档案资源，以口述档案的形式进行拍摄，旨在以全面化、信息化、高科技手段切实切实有效发挥档案工作存史资政育人的重要作用，积极主动地利用红色档案讲述陕西在共和国创建初期可歌可泣的动人故事，展示那个火红的年代留给我们精神财富，树立正确的人生价值观，激发其爱国热情，弘扬社会主义核心价值观。</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《三秦珍档·奋斗足迹》微纪录片（第二季）</w:t>
            </w:r>
          </w:p>
        </w:tc>
        <w:tc>
          <w:tcPr>
            <w:tcW w:type="dxa" w:w="831"/>
          </w:tcPr>
          <w:p>
            <w:pPr>
              <w:pStyle w:val="null3"/>
              <w:jc w:val="right"/>
            </w:pPr>
            <w:r>
              <w:rPr/>
              <w:t>18.00</w:t>
            </w:r>
          </w:p>
        </w:tc>
        <w:tc>
          <w:tcPr>
            <w:tcW w:type="dxa" w:w="831"/>
          </w:tcPr>
          <w:p>
            <w:pPr>
              <w:pStyle w:val="null3"/>
              <w:jc w:val="right"/>
            </w:pPr>
            <w:r>
              <w:rPr/>
              <w:t>800,000.00</w:t>
            </w:r>
          </w:p>
        </w:tc>
        <w:tc>
          <w:tcPr>
            <w:tcW w:type="dxa" w:w="831"/>
          </w:tcPr>
          <w:p>
            <w:pPr>
              <w:pStyle w:val="null3"/>
            </w:pPr>
            <w:r>
              <w:rPr/>
              <w:t>集</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标的名称：《三秦珍档·奋斗足迹》微纪录片（第二季）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一、项目简介</w:t>
            </w:r>
          </w:p>
          <w:p>
            <w:pPr>
              <w:pStyle w:val="null3"/>
              <w:jc w:val="both"/>
            </w:pPr>
            <w:r>
              <w:rPr>
                <w:rFonts w:ascii="宋体" w:hAnsi="宋体" w:cs="宋体" w:eastAsia="宋体"/>
                <w:sz w:val="21"/>
              </w:rPr>
              <w:t>本采购项目拟制作18集《三秦珍档·奋斗足迹》微纪录片（第二季），每集6-8分钟，将在陕西电视台一套播出，并通过互联网、微信、抖音等新媒体平台传播。《三秦珍档·奋斗足迹》立足“一五”时期苏联援建中国156个重点工程项目中落地陕西的24个项目，充分挖掘省市档案馆、相关企业单位档案馆室档案资源，以口述档案的形式进行拍摄，旨在以全面化、信息化、高科技手段切实切实有效发挥档案工作存史资政育人的重要作用，积极主动地利用红色档案讲述陕西在共和国创建初期可歌可泣的动人故事，展示那个火红的年代留给我们精神财富，树立正确的人生价值观，激发其爱国热情，弘扬社会主义核心价值观。</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二、服务要求</w:t>
            </w:r>
          </w:p>
          <w:p>
            <w:pPr>
              <w:pStyle w:val="null3"/>
              <w:jc w:val="both"/>
            </w:pPr>
            <w:r>
              <w:rPr>
                <w:rFonts w:ascii="calibri" w:hAnsi="calibri" w:cs="calibri" w:eastAsia="calibri"/>
                <w:sz w:val="21"/>
              </w:rPr>
              <w:t>1.</w:t>
            </w:r>
            <w:r>
              <w:rPr>
                <w:rFonts w:ascii="宋体" w:hAnsi="宋体" w:cs="宋体" w:eastAsia="宋体"/>
                <w:sz w:val="21"/>
              </w:rPr>
              <w:t>任务主题：</w:t>
            </w:r>
            <w:r>
              <w:rPr>
                <w:rFonts w:ascii="calibri" w:hAnsi="calibri" w:cs="calibri" w:eastAsia="calibri"/>
                <w:sz w:val="21"/>
              </w:rPr>
              <w:t>2K</w:t>
            </w:r>
            <w:r>
              <w:rPr>
                <w:rFonts w:ascii="宋体" w:hAnsi="宋体" w:cs="宋体" w:eastAsia="宋体"/>
                <w:sz w:val="21"/>
              </w:rPr>
              <w:t>及以上超高清微纪录《三秦珍档·奋斗足迹》</w:t>
            </w:r>
            <w:r>
              <w:rPr>
                <w:rFonts w:ascii="calibri" w:hAnsi="calibri" w:cs="calibri" w:eastAsia="calibri"/>
                <w:sz w:val="21"/>
              </w:rPr>
              <w:t>18</w:t>
            </w:r>
            <w:r>
              <w:rPr>
                <w:rFonts w:ascii="宋体" w:hAnsi="宋体" w:cs="宋体" w:eastAsia="宋体"/>
                <w:sz w:val="21"/>
              </w:rPr>
              <w:t>集。</w:t>
            </w:r>
          </w:p>
          <w:p>
            <w:pPr>
              <w:pStyle w:val="null3"/>
              <w:jc w:val="both"/>
            </w:pPr>
            <w:r>
              <w:rPr>
                <w:rFonts w:ascii="calibri" w:hAnsi="calibri" w:cs="calibri" w:eastAsia="calibri"/>
                <w:sz w:val="21"/>
              </w:rPr>
              <w:t>2.</w:t>
            </w:r>
            <w:r>
              <w:rPr>
                <w:rFonts w:ascii="宋体" w:hAnsi="宋体" w:cs="宋体" w:eastAsia="宋体"/>
                <w:sz w:val="21"/>
              </w:rPr>
              <w:t>成果形式：微纪录片。</w:t>
            </w:r>
          </w:p>
          <w:p>
            <w:pPr>
              <w:pStyle w:val="null3"/>
              <w:jc w:val="both"/>
            </w:pPr>
            <w:r>
              <w:rPr>
                <w:rFonts w:ascii="calibri" w:hAnsi="calibri" w:cs="calibri" w:eastAsia="calibri"/>
                <w:sz w:val="21"/>
              </w:rPr>
              <w:t>3.</w:t>
            </w:r>
            <w:r>
              <w:rPr>
                <w:rFonts w:ascii="宋体" w:hAnsi="宋体" w:cs="宋体" w:eastAsia="宋体"/>
                <w:sz w:val="21"/>
              </w:rPr>
              <w:t>每集时长：</w:t>
            </w:r>
            <w:r>
              <w:rPr>
                <w:rFonts w:ascii="calibri" w:hAnsi="calibri" w:cs="calibri" w:eastAsia="calibri"/>
                <w:sz w:val="21"/>
              </w:rPr>
              <w:t>6</w:t>
            </w:r>
            <w:r>
              <w:rPr>
                <w:rFonts w:ascii="宋体" w:hAnsi="宋体" w:cs="宋体" w:eastAsia="宋体"/>
                <w:sz w:val="21"/>
              </w:rPr>
              <w:t>—</w:t>
            </w:r>
            <w:r>
              <w:rPr>
                <w:rFonts w:ascii="calibri" w:hAnsi="calibri" w:cs="calibri" w:eastAsia="calibri"/>
                <w:sz w:val="21"/>
              </w:rPr>
              <w:t>8</w:t>
            </w:r>
            <w:r>
              <w:rPr>
                <w:rFonts w:ascii="宋体" w:hAnsi="宋体" w:cs="宋体" w:eastAsia="宋体"/>
                <w:sz w:val="21"/>
              </w:rPr>
              <w:t>分钟。</w:t>
            </w:r>
          </w:p>
          <w:p>
            <w:pPr>
              <w:pStyle w:val="null3"/>
              <w:jc w:val="both"/>
            </w:pPr>
            <w:r>
              <w:rPr>
                <w:rFonts w:ascii="calibri" w:hAnsi="calibri" w:cs="calibri" w:eastAsia="calibri"/>
                <w:sz w:val="21"/>
              </w:rPr>
              <w:t>4.</w:t>
            </w:r>
            <w:r>
              <w:rPr>
                <w:rFonts w:ascii="宋体" w:hAnsi="宋体" w:cs="宋体" w:eastAsia="宋体"/>
                <w:sz w:val="21"/>
              </w:rPr>
              <w:t>设计总纲：供应商需按照采购人意图，选取关于档案所反映的“一五”建设项目的相关档案背后的故事，提出整体实施方案并提交采购人审核，制作本项目系列微纪录片，展示档案存档、利用的重要意义，并利用红色档案讲述历史故事、奋斗故事。</w:t>
            </w:r>
          </w:p>
          <w:p>
            <w:pPr>
              <w:pStyle w:val="null3"/>
              <w:jc w:val="both"/>
            </w:pPr>
            <w:r>
              <w:rPr>
                <w:rFonts w:ascii="calibri" w:hAnsi="calibri" w:cs="calibri" w:eastAsia="calibri"/>
                <w:sz w:val="21"/>
              </w:rPr>
              <w:t>5.</w:t>
            </w:r>
            <w:r>
              <w:rPr>
                <w:rFonts w:ascii="宋体" w:hAnsi="宋体" w:cs="宋体" w:eastAsia="宋体"/>
                <w:sz w:val="21"/>
              </w:rPr>
              <w:t>制作参数要求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）成品技术规范：</w:t>
            </w:r>
            <w:r>
              <w:rPr>
                <w:rFonts w:ascii="calibri" w:hAnsi="calibri" w:cs="calibri" w:eastAsia="calibri"/>
                <w:sz w:val="21"/>
              </w:rPr>
              <w:t>2K</w:t>
            </w:r>
            <w:r>
              <w:rPr>
                <w:rFonts w:ascii="宋体" w:hAnsi="宋体" w:cs="宋体" w:eastAsia="宋体"/>
                <w:sz w:val="21"/>
              </w:rPr>
              <w:t>及以上的高清视频，画幅</w:t>
            </w:r>
            <w:r>
              <w:rPr>
                <w:rFonts w:ascii="calibri" w:hAnsi="calibri" w:cs="calibri" w:eastAsia="calibri"/>
                <w:sz w:val="21"/>
              </w:rPr>
              <w:t>16:9</w:t>
            </w:r>
            <w:r>
              <w:rPr>
                <w:rFonts w:ascii="宋体" w:hAnsi="宋体" w:cs="宋体" w:eastAsia="宋体"/>
                <w:sz w:val="21"/>
              </w:rPr>
              <w:t>，</w:t>
            </w:r>
            <w:r>
              <w:rPr>
                <w:rFonts w:ascii="calibri" w:hAnsi="calibri" w:cs="calibri" w:eastAsia="calibri"/>
                <w:sz w:val="21"/>
              </w:rPr>
              <w:t>1920</w:t>
            </w:r>
            <w:r>
              <w:rPr>
                <w:rFonts w:ascii="宋体" w:hAnsi="宋体" w:cs="宋体" w:eastAsia="宋体"/>
                <w:sz w:val="21"/>
              </w:rPr>
              <w:t>×</w:t>
            </w:r>
            <w:r>
              <w:rPr>
                <w:rFonts w:ascii="calibri" w:hAnsi="calibri" w:cs="calibri" w:eastAsia="calibri"/>
                <w:sz w:val="21"/>
              </w:rPr>
              <w:t>1080</w:t>
            </w:r>
            <w:r>
              <w:rPr>
                <w:rFonts w:ascii="宋体" w:hAnsi="宋体" w:cs="宋体" w:eastAsia="宋体"/>
                <w:sz w:val="21"/>
              </w:rPr>
              <w:t>。声音采用</w:t>
            </w:r>
            <w:r>
              <w:rPr>
                <w:rFonts w:ascii="calibri" w:hAnsi="calibri" w:cs="calibri" w:eastAsia="calibri"/>
                <w:sz w:val="21"/>
              </w:rPr>
              <w:t>48khz</w:t>
            </w:r>
            <w:r>
              <w:rPr>
                <w:rFonts w:ascii="宋体" w:hAnsi="宋体" w:cs="宋体" w:eastAsia="宋体"/>
                <w:sz w:val="21"/>
              </w:rPr>
              <w:t>。技术指标符合省级以上电视媒体平台播出标准。</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投标人应为本项目准备成熟的制作团队，包括撰稿、导演、策划、摄像、灯光、剪辑等，且项目执行期内该团队成员不得随意变更，因故必须进行调整的，中标人需提前书面向采购人做出说明并取得采购人同意后方可进行调整，否则视同中标人违约。</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应有视频制作的总体方案，方案需有导演阐述、拍摄思路、脚本以及发布传播规划。中标人须在中标合同签定之日起一个月内，提交本项目的详细脚本、拍摄大纲及拍摄计划供采购人的专家组审议，并根据专家评审意见进行修改，经审核通过后方可开始相关制作。</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）视频必须配有字幕且清晰准确，使用的语言、文字、符号、单位和公式等应符合国家（国际）标准。</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）旁白解说须达到普通话一级，应由语言类专业配音演员进行后期配音。</w:t>
            </w:r>
          </w:p>
          <w:p>
            <w:pPr>
              <w:pStyle w:val="null3"/>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）片中所使用的音乐应具有自主知识产权或得到相应授权。</w:t>
            </w:r>
          </w:p>
          <w:p>
            <w:pPr>
              <w:pStyle w:val="null3"/>
              <w:jc w:val="both"/>
            </w:pPr>
            <w:r>
              <w:rPr>
                <w:rFonts w:ascii="calibri" w:hAnsi="calibri" w:cs="calibri" w:eastAsia="calibri"/>
                <w:sz w:val="21"/>
              </w:rPr>
              <w:t>6.</w:t>
            </w:r>
            <w:r>
              <w:rPr>
                <w:rFonts w:ascii="宋体" w:hAnsi="宋体" w:cs="宋体" w:eastAsia="宋体"/>
                <w:sz w:val="21"/>
              </w:rPr>
              <w:t>成果要求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）数据成果</w:t>
            </w:r>
          </w:p>
          <w:p>
            <w:pPr>
              <w:pStyle w:val="null3"/>
              <w:jc w:val="both"/>
            </w:pPr>
            <w:r>
              <w:rPr>
                <w:rFonts w:ascii="calibri" w:hAnsi="calibri" w:cs="calibri" w:eastAsia="calibri"/>
                <w:sz w:val="21"/>
              </w:rPr>
              <w:t>U</w:t>
            </w:r>
            <w:r>
              <w:rPr>
                <w:rFonts w:ascii="宋体" w:hAnsi="宋体" w:cs="宋体" w:eastAsia="宋体"/>
                <w:sz w:val="21"/>
              </w:rPr>
              <w:t>盘为载体刻制全套定制微纪录片一套（</w:t>
            </w:r>
            <w:r>
              <w:rPr>
                <w:rFonts w:ascii="calibri" w:hAnsi="calibri" w:cs="calibri" w:eastAsia="calibri"/>
                <w:sz w:val="21"/>
              </w:rPr>
              <w:t>MP4</w:t>
            </w:r>
            <w:r>
              <w:rPr>
                <w:rFonts w:ascii="宋体" w:hAnsi="宋体" w:cs="宋体" w:eastAsia="宋体"/>
                <w:sz w:val="21"/>
              </w:rPr>
              <w:t>格式数据）。</w:t>
            </w:r>
          </w:p>
          <w:p>
            <w:pPr>
              <w:pStyle w:val="null3"/>
              <w:jc w:val="both"/>
            </w:pPr>
            <w:r>
              <w:rPr>
                <w:rFonts w:ascii="calibri" w:hAnsi="calibri" w:cs="calibri" w:eastAsia="calibri"/>
                <w:sz w:val="21"/>
              </w:rPr>
              <w:t>DVD</w:t>
            </w:r>
            <w:r>
              <w:rPr>
                <w:rFonts w:ascii="宋体" w:hAnsi="宋体" w:cs="宋体" w:eastAsia="宋体"/>
                <w:sz w:val="21"/>
              </w:rPr>
              <w:t>为载体刻制全套定制微纪录片五套，要求设计封面及包装（</w:t>
            </w:r>
            <w:r>
              <w:rPr>
                <w:rFonts w:ascii="calibri" w:hAnsi="calibri" w:cs="calibri" w:eastAsia="calibri"/>
                <w:sz w:val="21"/>
              </w:rPr>
              <w:t>MP4</w:t>
            </w:r>
            <w:r>
              <w:rPr>
                <w:rFonts w:ascii="宋体" w:hAnsi="宋体" w:cs="宋体" w:eastAsia="宋体"/>
                <w:sz w:val="21"/>
              </w:rPr>
              <w:t>格式数据）。</w:t>
            </w:r>
          </w:p>
          <w:p>
            <w:pPr>
              <w:pStyle w:val="null3"/>
              <w:jc w:val="both"/>
            </w:pPr>
            <w:r>
              <w:rPr/>
              <w:t>U盘或移动硬盘等存储设备刻制的拍摄中过审的所有视频素材。</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）发布平台</w:t>
            </w:r>
          </w:p>
          <w:p>
            <w:pPr>
              <w:pStyle w:val="null3"/>
              <w:jc w:val="both"/>
            </w:pPr>
            <w:r>
              <w:rPr>
                <w:rFonts w:ascii="宋体" w:hAnsi="宋体" w:cs="宋体" w:eastAsia="宋体"/>
                <w:sz w:val="21"/>
              </w:rPr>
              <w:t>陕西电视台一套和新媒体等平台播出证明（盖章）、用于佐证的照片、截图等文档资料。</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2024年09月20日前完成本部视频的制作和审核工作，形成可供各发布平台对外宣传的最终版本。</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按照政府采购合同约定的技术、服务、安全标准组织对供应商每一项技术、服务、安全标准的履约情况进行验收，并出具验收书。</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中标单位完成本项目的所有服务内容后办理支付（办理付款时，乙方须按照甲方要求提供相关办理付款的资料（如合同、成交通知书、乙方开具的发票），若因乙方无法提供资料而导致不能如期付款，其责任由乙方自行负责）</w:t>
      </w:r>
      <w:r>
        <w:rPr/>
        <w:t xml:space="preserve"> ，达到付款条件起 </w:t>
      </w:r>
      <w:r>
        <w:rPr/>
        <w:t>30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未尽事宜，协商解决;协商不成时,任何一方可向西安市仲裁委员会提出申请,由该会以现时有效的仲裁规则进行仲裁。</w:t>
      </w:r>
    </w:p>
    <w:p>
      <w:pPr>
        <w:pStyle w:val="null3"/>
        <w:outlineLvl w:val="2"/>
      </w:pPr>
      <w:r>
        <w:rPr>
          <w:b/>
          <w:sz w:val="28"/>
        </w:rPr>
        <w:t>3.4其他要求</w:t>
      </w:r>
    </w:p>
    <w:p>
      <w:pPr>
        <w:pStyle w:val="null3"/>
      </w:pPr>
      <w:r>
        <w:rPr/>
        <w:t>版权属于陕西省档案馆，同时该项目参评各类奖项“陕西省档案馆”享有署名权。</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残疾人福利性单位声明函 中小企业声明函 商务应答表 服务方案 标的清单 供应商应提交的相关资格证明材料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4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4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提供具有履行合同所必需的设备和专业技术能力的承诺书；</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服务内容及服务邀请应答表 服务方案 响应函</w:t>
            </w:r>
          </w:p>
        </w:tc>
      </w:tr>
      <w:tr>
        <w:tc>
          <w:tcPr>
            <w:tcW w:type="dxa" w:w="831"/>
          </w:tcPr>
          <w:p>
            <w:pPr>
              <w:pStyle w:val="null3"/>
            </w:pPr>
            <w:r>
              <w:rPr/>
              <w:t>6</w:t>
            </w:r>
          </w:p>
        </w:tc>
        <w:tc>
          <w:tcPr>
            <w:tcW w:type="dxa" w:w="2492"/>
          </w:tcPr>
          <w:p>
            <w:pPr>
              <w:pStyle w:val="null3"/>
            </w:pPr>
            <w:r>
              <w:rPr/>
              <w:t>商务要求是否满足实质性要求</w:t>
            </w:r>
          </w:p>
        </w:tc>
        <w:tc>
          <w:tcPr>
            <w:tcW w:type="dxa" w:w="3322"/>
          </w:tcPr>
          <w:p>
            <w:pPr>
              <w:pStyle w:val="null3"/>
            </w:pPr>
            <w:r>
              <w:rPr/>
              <w:t>商务要求是否满足实质性要求的（服务期限不响应采购要求、付款方式不满足采购要求）</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对本项目需求理解</w:t>
            </w:r>
          </w:p>
        </w:tc>
        <w:tc>
          <w:tcPr>
            <w:tcW w:type="dxa" w:w="2492"/>
          </w:tcPr>
          <w:p>
            <w:pPr>
              <w:pStyle w:val="null3"/>
            </w:pPr>
            <w:r>
              <w:rPr/>
              <w:t>对本项目的实施背景、实施目的、实施意义等具备充分的认识。对本项目的总体认识定位准确，理解深刻，表述清晰，对项目实施的重点、难点把握精准得（7.1-10）分； 对本项目的总体认识定位基本准确，基本理解项目，表述较清晰，对项目实施的重点、难点具有一定的认识得（4.1-7）分；对本项目的总体认识定位不准确，理解不深刻，表述不清晰，对项目实施的重点、难点把握较差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策划方案</w:t>
            </w:r>
          </w:p>
        </w:tc>
        <w:tc>
          <w:tcPr>
            <w:tcW w:type="dxa" w:w="2492"/>
          </w:tcPr>
          <w:p>
            <w:pPr>
              <w:pStyle w:val="null3"/>
            </w:pPr>
            <w:r>
              <w:rPr/>
              <w:t>策划方案内容明了清晰，结构完整，符合项目实施主题，策划脚本合理可行，能够充分展现项目的特点，具有良好的宣传效果，优质的实现项目实施目标；所提供的的制作内容文本草案贴合主题，内容详实，特点明显，文字流畅，得（10.1-15）分；策划方案内容基本完整，基本符合项目实施主题，达到宣传目的，能够满足项目基本需要，基本达到实施目标，得（5.1-10）分； 策划方案内容不够完整，无法满足项目需要，不能有效达到实施目标，得（0-5）分。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软、硬件设施</w:t>
            </w:r>
          </w:p>
        </w:tc>
        <w:tc>
          <w:tcPr>
            <w:tcW w:type="dxa" w:w="2492"/>
          </w:tcPr>
          <w:p>
            <w:pPr>
              <w:pStyle w:val="null3"/>
            </w:pPr>
            <w:r>
              <w:rPr/>
              <w:t>针对本项目提供详细的硬件设施，包括拍摄现场设备和后期制作软件的专业程度等内容（至少提供设备的实物图片及购买发票和软件的详细介绍等内容）赋分： 根据本项目实际需求提供的设备充足，并提供设备资料达到70%以上的得8.1-12分； 根据本项目实际需求提供的设备基本满足，并提供设备资料达到40%以上的得4.1-8分； 提供的设备与项目需求存在不足，并提供设备资料未达到40%以下的得0-4分。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项目进度</w:t>
            </w:r>
          </w:p>
        </w:tc>
        <w:tc>
          <w:tcPr>
            <w:tcW w:type="dxa" w:w="2492"/>
          </w:tcPr>
          <w:p>
            <w:pPr>
              <w:pStyle w:val="null3"/>
            </w:pPr>
            <w:r>
              <w:rPr/>
              <w:t>根据供应商针对本项目实施的进度安排情况进行评审赋分： 进度安排合理，完全满足项目需求，得4.1-7分； 提供了项目进度，基本满足项目需求，得0-4分。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针对本项目的理解，在项目实施中存在的重大问题而提出的应急解决方案赋分： 应急解决方案具有针对性，可操作性强，得3.1-5分； 提供了方案，无针对性，存在瑕疵，得0-3分。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导演</w:t>
            </w:r>
          </w:p>
        </w:tc>
        <w:tc>
          <w:tcPr>
            <w:tcW w:type="dxa" w:w="2492"/>
          </w:tcPr>
          <w:p>
            <w:pPr>
              <w:pStyle w:val="null3"/>
            </w:pPr>
            <w:r>
              <w:rPr/>
              <w:t>根据总导演的从业履历、工作经验、获奖情况、资质情况进行打分： 相关工作经验丰富，按照证明材料及获奖证书得7.1-10分；有良好工作经验，按照证明材料及获奖证书得4.1-7分；有工作经验，提供的证明材料不全得0-4分。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总撰稿人</w:t>
            </w:r>
          </w:p>
        </w:tc>
        <w:tc>
          <w:tcPr>
            <w:tcW w:type="dxa" w:w="2492"/>
          </w:tcPr>
          <w:p>
            <w:pPr>
              <w:pStyle w:val="null3"/>
            </w:pPr>
            <w:r>
              <w:rPr/>
              <w:t>对总撰稿人的从业履历、工作经验、获奖情况、资质情况进行打分： 相关工作经验丰富，按照证明材料及获奖证书得7.1-10分；有良好工作经验，按照证明材料及获奖证书得4.1-7分；有工作经验，提供的证明材料不全得0-4分。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对摄影团队主要人员的配置情况、从业履历、工作经验、获奖情况、资质情况进行打分： 人员结构合理， 配备齐全，具有同行业履历，获得相关资质和奖项，完全满足项目需求，得10.1-15分； 人员结构基本合理， 配备基本齐全，基本满足项目需求，得5.1-10分； 人员结构不合理， 配备不齐全，得0-5分。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供应商提供2021年1月1日（以签订合同时间为准）同类项目业绩合同，每提供1个得2分，最高得6分。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