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ascii="宋体" w:hAnsi="宋体"/>
          <w:b/>
          <w:sz w:val="32"/>
          <w:szCs w:val="32"/>
        </w:rPr>
      </w:pPr>
      <w:r>
        <w:rPr>
          <w:rFonts w:hint="eastAsia" w:ascii="宋体" w:hAnsi="宋体"/>
          <w:b/>
          <w:sz w:val="32"/>
          <w:szCs w:val="32"/>
        </w:rPr>
        <w:t>供应商资格条件证明文件</w:t>
      </w:r>
    </w:p>
    <w:p>
      <w:pPr>
        <w:widowControl/>
        <w:spacing w:line="510" w:lineRule="atLeast"/>
        <w:ind w:firstLine="480"/>
        <w:jc w:val="left"/>
        <w:rPr>
          <w:rFonts w:ascii="宋体" w:hAnsi="宋体" w:cs="Helvetica"/>
          <w:kern w:val="0"/>
          <w:sz w:val="24"/>
        </w:rPr>
      </w:pPr>
      <w:r>
        <w:rPr>
          <w:rFonts w:hint="eastAsia" w:ascii="宋体" w:hAnsi="宋体" w:cs="Helvetica"/>
          <w:kern w:val="0"/>
          <w:sz w:val="24"/>
        </w:rPr>
        <w:t>1、具有独立承担民事责任能力的法人、其他组织或自然人，并出具合法有效的营业执照或事业单位法人证书等国家规定的相关证明，自然人参与的提供其身份证明。</w:t>
      </w:r>
    </w:p>
    <w:p>
      <w:pPr>
        <w:widowControl/>
        <w:spacing w:line="510" w:lineRule="atLeast"/>
        <w:ind w:firstLine="480"/>
        <w:jc w:val="left"/>
        <w:rPr>
          <w:rFonts w:ascii="宋体" w:hAnsi="宋体" w:cs="Helvetica"/>
          <w:kern w:val="0"/>
          <w:sz w:val="24"/>
        </w:rPr>
      </w:pPr>
      <w:r>
        <w:rPr>
          <w:rFonts w:hint="eastAsia" w:ascii="宋体" w:hAnsi="宋体" w:cs="Helvetica"/>
          <w:kern w:val="0"/>
          <w:sz w:val="24"/>
        </w:rPr>
        <w:t>2、财务状况报告：提供2022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widowControl/>
        <w:spacing w:line="510" w:lineRule="atLeast"/>
        <w:ind w:firstLine="480"/>
        <w:jc w:val="left"/>
        <w:rPr>
          <w:rFonts w:ascii="宋体" w:hAnsi="宋体" w:cs="Helvetica"/>
          <w:kern w:val="0"/>
          <w:sz w:val="24"/>
        </w:rPr>
      </w:pPr>
      <w:r>
        <w:rPr>
          <w:rFonts w:hint="eastAsia" w:ascii="宋体" w:hAnsi="宋体" w:cs="Helvetica"/>
          <w:kern w:val="0"/>
          <w:sz w:val="24"/>
        </w:rPr>
        <w:t>3、税收缴纳证明：提供上一年度至今任意一个月的依法缴纳税收的相关凭据（时间以税款所属日期为准、税种须包含增值税或企业所得税），凭据应有税务机关或代收机关的公章或业务专用章。依法免税或无须缴纳税收的供应商，应提供相应证明文件。</w:t>
      </w:r>
    </w:p>
    <w:p>
      <w:pPr>
        <w:widowControl/>
        <w:spacing w:line="510" w:lineRule="atLeast"/>
        <w:ind w:firstLine="480"/>
        <w:jc w:val="left"/>
        <w:rPr>
          <w:rFonts w:ascii="宋体" w:hAnsi="宋体" w:cs="Helvetica"/>
          <w:kern w:val="0"/>
          <w:sz w:val="24"/>
        </w:rPr>
      </w:pPr>
      <w:r>
        <w:rPr>
          <w:rFonts w:hint="eastAsia" w:ascii="宋体" w:hAnsi="宋体" w:cs="Helvetica"/>
          <w:kern w:val="0"/>
          <w:sz w:val="24"/>
        </w:rPr>
        <w:t>4、社会保障资金缴纳证明：提供上一年度至今已缴存的至少一个月的社会保障资金缴存单据或社保机构开具的社会保险参保缴费情况证明，依法不需要缴纳社会保障资金的单位应提供相关证明材料。</w:t>
      </w:r>
    </w:p>
    <w:p>
      <w:pPr>
        <w:widowControl/>
        <w:spacing w:line="510" w:lineRule="atLeast"/>
        <w:ind w:firstLine="480"/>
        <w:jc w:val="left"/>
        <w:rPr>
          <w:rFonts w:ascii="宋体" w:hAnsi="宋体" w:cs="Helvetica"/>
          <w:kern w:val="0"/>
          <w:sz w:val="24"/>
        </w:rPr>
      </w:pPr>
      <w:r>
        <w:rPr>
          <w:rFonts w:hint="eastAsia" w:ascii="宋体" w:hAnsi="宋体" w:cs="Helvetica"/>
          <w:kern w:val="0"/>
          <w:sz w:val="24"/>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r>
        <w:rPr>
          <w:rFonts w:hint="eastAsia" w:ascii="宋体" w:hAnsi="宋体" w:cs="Helvetica"/>
          <w:b/>
          <w:bCs/>
          <w:kern w:val="0"/>
          <w:sz w:val="24"/>
        </w:rPr>
        <w:t>（格式后附）</w:t>
      </w:r>
    </w:p>
    <w:p>
      <w:pPr>
        <w:widowControl/>
        <w:spacing w:line="510" w:lineRule="atLeast"/>
        <w:ind w:firstLine="480"/>
        <w:jc w:val="left"/>
        <w:rPr>
          <w:rFonts w:ascii="宋体" w:hAnsi="宋体" w:cs="Helvetica"/>
          <w:kern w:val="0"/>
          <w:sz w:val="24"/>
        </w:rPr>
      </w:pPr>
      <w:r>
        <w:rPr>
          <w:rFonts w:hint="eastAsia" w:ascii="宋体" w:hAnsi="宋体" w:cs="Helvetica"/>
          <w:kern w:val="0"/>
          <w:sz w:val="24"/>
        </w:rPr>
        <w:t>6、控股管理关系：提供直接控股和管理关系清单。若与其他供应商存在单位负责人为同一人或者存在直接控股、管理关系的，则投标无效。</w:t>
      </w:r>
      <w:r>
        <w:rPr>
          <w:rFonts w:hint="eastAsia" w:ascii="宋体" w:hAnsi="宋体" w:cs="Helvetica"/>
          <w:b/>
          <w:bCs/>
          <w:kern w:val="0"/>
          <w:sz w:val="24"/>
        </w:rPr>
        <w:t>（格式后附）</w:t>
      </w:r>
    </w:p>
    <w:p>
      <w:pPr>
        <w:widowControl/>
        <w:spacing w:line="510" w:lineRule="atLeast"/>
        <w:ind w:firstLine="480"/>
        <w:jc w:val="left"/>
        <w:rPr>
          <w:rFonts w:ascii="宋体" w:hAnsi="宋体" w:cs="Helvetica"/>
          <w:kern w:val="0"/>
          <w:sz w:val="24"/>
        </w:rPr>
      </w:pPr>
      <w:r>
        <w:rPr>
          <w:rFonts w:hint="eastAsia" w:ascii="宋体" w:hAnsi="宋体" w:cs="Helvetica"/>
          <w:kern w:val="0"/>
          <w:sz w:val="24"/>
        </w:rPr>
        <w:t>7、提供具有履行合同所必需的设备和专业技术能力的承诺函。</w:t>
      </w:r>
      <w:r>
        <w:rPr>
          <w:rFonts w:hint="eastAsia" w:ascii="宋体" w:hAnsi="宋体" w:cs="Helvetica"/>
          <w:b/>
          <w:bCs/>
          <w:kern w:val="0"/>
          <w:sz w:val="24"/>
        </w:rPr>
        <w:t>（格式后附）</w:t>
      </w:r>
    </w:p>
    <w:p>
      <w:pPr>
        <w:widowControl/>
        <w:spacing w:line="510" w:lineRule="atLeast"/>
        <w:ind w:firstLine="480"/>
        <w:jc w:val="left"/>
        <w:rPr>
          <w:rFonts w:ascii="宋体" w:hAnsi="宋体" w:cs="Helvetica"/>
          <w:kern w:val="0"/>
          <w:sz w:val="24"/>
        </w:rPr>
      </w:pPr>
      <w:r>
        <w:rPr>
          <w:rFonts w:hint="eastAsia" w:ascii="宋体" w:hAnsi="宋体" w:cs="Helvetica"/>
          <w:kern w:val="0"/>
          <w:sz w:val="24"/>
        </w:rPr>
        <w:t>8、法定代表人授权书及被授权人身份证复印件。（法定代表人直接投标只须提交其身份证复印件）。</w:t>
      </w:r>
      <w:r>
        <w:rPr>
          <w:rFonts w:hint="eastAsia" w:ascii="宋体" w:hAnsi="宋体" w:cs="Helvetica"/>
          <w:b/>
          <w:bCs/>
          <w:kern w:val="0"/>
          <w:sz w:val="24"/>
        </w:rPr>
        <w:t>（格式后附）</w:t>
      </w:r>
    </w:p>
    <w:p>
      <w:pPr>
        <w:widowControl/>
        <w:spacing w:line="510" w:lineRule="atLeast"/>
        <w:ind w:firstLine="480"/>
        <w:jc w:val="left"/>
        <w:rPr>
          <w:rFonts w:hint="eastAsia" w:ascii="宋体" w:hAnsi="宋体" w:cs="Helvetica"/>
          <w:kern w:val="0"/>
          <w:sz w:val="24"/>
          <w:lang w:val="en-US" w:eastAsia="zh-CN"/>
        </w:rPr>
      </w:pPr>
      <w:r>
        <w:rPr>
          <w:rFonts w:hint="eastAsia" w:ascii="宋体" w:hAnsi="宋体" w:cs="Helvetica"/>
          <w:kern w:val="0"/>
          <w:sz w:val="24"/>
          <w:lang w:val="en-US" w:eastAsia="zh-CN"/>
        </w:rPr>
        <w:t>9、投标人需为国家密码管理局发布的国家密码管理局公告（第 42 号）中的商用密码应用安全性评估试点机构目录中的测评机构。</w:t>
      </w:r>
    </w:p>
    <w:p>
      <w:pPr>
        <w:spacing w:line="360" w:lineRule="atLeast"/>
        <w:jc w:val="center"/>
        <w:rPr>
          <w:rFonts w:ascii="宋体" w:hAnsi="宋体"/>
          <w:b/>
          <w:sz w:val="32"/>
          <w:szCs w:val="32"/>
        </w:rPr>
      </w:pPr>
      <w:bookmarkStart w:id="0" w:name="_GoBack"/>
      <w:bookmarkEnd w:id="0"/>
      <w:r>
        <w:rPr>
          <w:rFonts w:ascii="宋体" w:hAnsi="宋体"/>
          <w:b/>
          <w:sz w:val="32"/>
          <w:szCs w:val="32"/>
        </w:rPr>
        <w:br w:type="page"/>
      </w:r>
      <w:r>
        <w:rPr>
          <w:rFonts w:hint="eastAsia" w:ascii="宋体" w:hAnsi="宋体"/>
          <w:b/>
          <w:sz w:val="32"/>
          <w:szCs w:val="32"/>
        </w:rPr>
        <w:t>法定代表人证明书与法定代表人授权书</w:t>
      </w:r>
    </w:p>
    <w:p>
      <w:pPr>
        <w:tabs>
          <w:tab w:val="left" w:pos="210"/>
        </w:tabs>
        <w:spacing w:line="320" w:lineRule="exact"/>
        <w:rPr>
          <w:rFonts w:ascii="宋体" w:hAnsi="宋体" w:cs="Arial"/>
          <w:b/>
          <w:kern w:val="0"/>
          <w:sz w:val="32"/>
          <w:szCs w:val="32"/>
        </w:rPr>
      </w:pPr>
    </w:p>
    <w:p>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pPr>
              <w:tabs>
                <w:tab w:val="left" w:pos="210"/>
              </w:tabs>
              <w:spacing w:line="320" w:lineRule="exact"/>
              <w:jc w:val="center"/>
              <w:rPr>
                <w:rFonts w:ascii="宋体" w:hAnsi="宋体" w:cs="Arial"/>
                <w:kern w:val="0"/>
                <w:sz w:val="24"/>
              </w:rPr>
            </w:pPr>
          </w:p>
        </w:tc>
        <w:tc>
          <w:tcPr>
            <w:tcW w:w="2061"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pPr>
              <w:tabs>
                <w:tab w:val="left" w:pos="210"/>
              </w:tabs>
              <w:spacing w:line="320" w:lineRule="exact"/>
              <w:jc w:val="center"/>
              <w:rPr>
                <w:rFonts w:ascii="宋体" w:hAnsi="宋体" w:cs="Arial"/>
                <w:kern w:val="0"/>
                <w:sz w:val="24"/>
              </w:rPr>
            </w:pPr>
          </w:p>
        </w:tc>
        <w:tc>
          <w:tcPr>
            <w:tcW w:w="2061"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4125" w:type="dxa"/>
            <w:gridSpan w:val="2"/>
            <w:vMerge w:val="continue"/>
            <w:vAlign w:val="center"/>
          </w:tcPr>
          <w:p>
            <w:pPr>
              <w:tabs>
                <w:tab w:val="left" w:pos="210"/>
              </w:tabs>
              <w:spacing w:line="320" w:lineRule="exact"/>
              <w:jc w:val="center"/>
              <w:rPr>
                <w:rFonts w:ascii="宋体" w:hAnsi="宋体" w:cs="Arial"/>
                <w:kern w:val="0"/>
                <w:sz w:val="24"/>
              </w:rPr>
            </w:pPr>
          </w:p>
        </w:tc>
        <w:tc>
          <w:tcPr>
            <w:tcW w:w="4297" w:type="dxa"/>
            <w:gridSpan w:val="3"/>
            <w:vAlign w:val="bottom"/>
          </w:tcPr>
          <w:p>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p>
          <w:p>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pPr>
        <w:tabs>
          <w:tab w:val="left" w:pos="210"/>
        </w:tabs>
        <w:spacing w:line="320" w:lineRule="exact"/>
        <w:jc w:val="left"/>
        <w:rPr>
          <w:rFonts w:ascii="宋体" w:hAnsi="宋体" w:cs="Arial"/>
          <w:b/>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（法定代表人直接磋商，只须提供法定代表人证明书及身份证原件）</w:t>
      </w:r>
    </w:p>
    <w:p>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pPr>
        <w:pStyle w:val="4"/>
        <w:spacing w:line="500" w:lineRule="exact"/>
        <w:rPr>
          <w:rFonts w:hAnsi="宋体"/>
          <w:b/>
          <w:bCs/>
          <w:sz w:val="24"/>
          <w:szCs w:val="24"/>
        </w:rPr>
      </w:pPr>
      <w:r>
        <w:rPr>
          <w:rFonts w:hint="eastAsia" w:hAnsi="宋体"/>
          <w:sz w:val="24"/>
          <w:szCs w:val="24"/>
        </w:rPr>
        <w:t>陕西开源招标有限公司：</w:t>
      </w:r>
    </w:p>
    <w:p>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授权本公司的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pPr>
        <w:pStyle w:val="4"/>
        <w:spacing w:line="500" w:lineRule="exact"/>
        <w:ind w:firstLine="480" w:firstLineChars="200"/>
        <w:rPr>
          <w:rFonts w:hAnsi="宋体"/>
          <w:sz w:val="24"/>
          <w:szCs w:val="24"/>
        </w:rPr>
      </w:pPr>
      <w:r>
        <w:rPr>
          <w:rFonts w:hint="eastAsia" w:hAnsi="宋体"/>
          <w:sz w:val="24"/>
          <w:szCs w:val="24"/>
        </w:rPr>
        <w:t>说明：</w:t>
      </w:r>
    </w:p>
    <w:p>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pPr>
        <w:spacing w:line="360" w:lineRule="auto"/>
        <w:jc w:val="left"/>
        <w:rPr>
          <w:rFonts w:ascii="宋体" w:hAnsi="宋体"/>
          <w:b/>
          <w:sz w:val="32"/>
          <w:szCs w:val="32"/>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360" w:lineRule="atLeast"/>
        <w:jc w:val="center"/>
        <w:rPr>
          <w:rFonts w:ascii="宋体" w:hAnsi="宋体"/>
          <w:b/>
          <w:sz w:val="32"/>
          <w:szCs w:val="32"/>
        </w:rPr>
      </w:pPr>
      <w:r>
        <w:rPr>
          <w:rFonts w:ascii="宋体" w:hAnsi="宋体"/>
          <w:sz w:val="24"/>
        </w:rPr>
        <w:br w:type="page"/>
      </w:r>
      <w:r>
        <w:rPr>
          <w:rFonts w:hint="eastAsia" w:ascii="宋体" w:hAnsi="宋体"/>
          <w:b/>
          <w:sz w:val="32"/>
          <w:szCs w:val="32"/>
        </w:rPr>
        <w:t>供应商直接控股和管理关系清单</w:t>
      </w:r>
    </w:p>
    <w:p>
      <w:pPr>
        <w:pStyle w:val="3"/>
        <w:rPr>
          <w:color w:val="auto"/>
        </w:rPr>
      </w:pPr>
    </w:p>
    <w:tbl>
      <w:tblPr>
        <w:tblStyle w:val="7"/>
        <w:tblW w:w="4999" w:type="pct"/>
        <w:tblInd w:w="0" w:type="dxa"/>
        <w:tblLayout w:type="autofit"/>
        <w:tblCellMar>
          <w:top w:w="0" w:type="dxa"/>
          <w:left w:w="108" w:type="dxa"/>
          <w:bottom w:w="0" w:type="dxa"/>
          <w:right w:w="108" w:type="dxa"/>
        </w:tblCellMar>
      </w:tblPr>
      <w:tblGrid>
        <w:gridCol w:w="1724"/>
        <w:gridCol w:w="1724"/>
        <w:gridCol w:w="1546"/>
        <w:gridCol w:w="1717"/>
        <w:gridCol w:w="1811"/>
      </w:tblGrid>
      <w:tr>
        <w:tblPrEx>
          <w:tblCellMar>
            <w:top w:w="0" w:type="dxa"/>
            <w:left w:w="108" w:type="dxa"/>
            <w:bottom w:w="0" w:type="dxa"/>
            <w:right w:w="108" w:type="dxa"/>
          </w:tblCellMar>
        </w:tblPrEx>
        <w:trPr>
          <w:trHeight w:val="783" w:hRule="atLeast"/>
        </w:trPr>
        <w:tc>
          <w:tcPr>
            <w:tcW w:w="1012" w:type="pct"/>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rPr>
              <w:t>供应商名称</w:t>
            </w:r>
          </w:p>
        </w:tc>
        <w:tc>
          <w:tcPr>
            <w:tcW w:w="1012" w:type="pct"/>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rPr>
              <w:t>性质</w:t>
            </w:r>
          </w:p>
        </w:tc>
        <w:tc>
          <w:tcPr>
            <w:tcW w:w="1912" w:type="pct"/>
            <w:gridSpan w:val="2"/>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rPr>
              <w:t>国家企业信用信息公示系统</w:t>
            </w:r>
          </w:p>
        </w:tc>
        <w:tc>
          <w:tcPr>
            <w:tcW w:w="1061" w:type="pct"/>
            <w:tcBorders>
              <w:top w:val="single" w:color="000000" w:sz="8" w:space="0"/>
              <w:left w:val="nil"/>
              <w:bottom w:val="single" w:color="000000" w:sz="8" w:space="0"/>
              <w:right w:val="single" w:color="000000" w:sz="8" w:space="0"/>
            </w:tcBorders>
            <w:vAlign w:val="center"/>
          </w:tcPr>
          <w:p>
            <w:pPr>
              <w:jc w:val="center"/>
              <w:rPr>
                <w:sz w:val="24"/>
              </w:rPr>
            </w:pPr>
            <w:r>
              <w:rPr>
                <w:rFonts w:hint="eastAsia"/>
                <w:sz w:val="24"/>
              </w:rPr>
              <w:t>股权比例</w:t>
            </w:r>
          </w:p>
        </w:tc>
      </w:tr>
      <w:tr>
        <w:tblPrEx>
          <w:tblCellMar>
            <w:top w:w="0" w:type="dxa"/>
            <w:left w:w="108" w:type="dxa"/>
            <w:bottom w:w="0" w:type="dxa"/>
            <w:right w:w="108" w:type="dxa"/>
          </w:tblCellMar>
        </w:tblPrEx>
        <w:trPr>
          <w:trHeight w:val="1081" w:hRule="atLeast"/>
        </w:trPr>
        <w:tc>
          <w:tcPr>
            <w:tcW w:w="1012" w:type="pct"/>
            <w:vMerge w:val="restart"/>
            <w:tcBorders>
              <w:top w:val="nil"/>
              <w:left w:val="single" w:color="000000" w:sz="8" w:space="0"/>
              <w:bottom w:val="nil"/>
              <w:right w:val="single" w:color="000000" w:sz="8" w:space="0"/>
            </w:tcBorders>
            <w:vAlign w:val="center"/>
          </w:tcPr>
          <w:p>
            <w:pPr>
              <w:rPr>
                <w:sz w:val="24"/>
              </w:rPr>
            </w:pPr>
          </w:p>
        </w:tc>
        <w:tc>
          <w:tcPr>
            <w:tcW w:w="1012" w:type="pct"/>
            <w:vMerge w:val="restart"/>
            <w:tcBorders>
              <w:top w:val="nil"/>
              <w:left w:val="single" w:color="000000" w:sz="8" w:space="0"/>
              <w:bottom w:val="nil"/>
              <w:right w:val="single" w:color="000000" w:sz="8" w:space="0"/>
            </w:tcBorders>
            <w:vAlign w:val="center"/>
          </w:tcPr>
          <w:p>
            <w:pPr>
              <w:rPr>
                <w:sz w:val="24"/>
              </w:rPr>
            </w:pPr>
            <w:r>
              <w:rPr>
                <w:rFonts w:hint="eastAsia"/>
                <w:sz w:val="24"/>
              </w:rPr>
              <w:t>企业/事业/个人/其他</w:t>
            </w:r>
          </w:p>
        </w:tc>
        <w:tc>
          <w:tcPr>
            <w:tcW w:w="904" w:type="pct"/>
            <w:tcBorders>
              <w:top w:val="nil"/>
              <w:left w:val="single" w:color="000000" w:sz="8" w:space="0"/>
              <w:bottom w:val="single" w:color="000000" w:sz="8" w:space="0"/>
              <w:right w:val="single" w:color="000000" w:sz="8" w:space="0"/>
            </w:tcBorders>
            <w:vAlign w:val="center"/>
          </w:tcPr>
          <w:p>
            <w:pPr>
              <w:jc w:val="center"/>
              <w:rPr>
                <w:sz w:val="24"/>
              </w:rPr>
            </w:pPr>
            <w:r>
              <w:rPr>
                <w:rFonts w:hint="eastAsia"/>
                <w:sz w:val="24"/>
              </w:rPr>
              <w:t>法定代表人/负责人</w:t>
            </w:r>
          </w:p>
        </w:tc>
        <w:tc>
          <w:tcPr>
            <w:tcW w:w="1008" w:type="pct"/>
            <w:tcBorders>
              <w:top w:val="nil"/>
              <w:left w:val="nil"/>
              <w:bottom w:val="single" w:color="000000" w:sz="8" w:space="0"/>
              <w:right w:val="single" w:color="000000" w:sz="8" w:space="0"/>
            </w:tcBorders>
            <w:vAlign w:val="center"/>
          </w:tcPr>
          <w:p>
            <w:pPr>
              <w:jc w:val="center"/>
              <w:rPr>
                <w:sz w:val="24"/>
              </w:rPr>
            </w:pPr>
            <w:r>
              <w:rPr>
                <w:rFonts w:hint="eastAsia"/>
                <w:sz w:val="24"/>
              </w:rPr>
              <w:t>股东</w:t>
            </w:r>
          </w:p>
        </w:tc>
        <w:tc>
          <w:tcPr>
            <w:tcW w:w="1061" w:type="pct"/>
            <w:tcBorders>
              <w:top w:val="single" w:color="000000" w:sz="8" w:space="0"/>
              <w:left w:val="nil"/>
              <w:bottom w:val="single" w:color="000000" w:sz="8" w:space="0"/>
              <w:right w:val="single" w:color="000000" w:sz="8" w:space="0"/>
            </w:tcBorders>
          </w:tcPr>
          <w:p>
            <w:pPr>
              <w:rPr>
                <w:sz w:val="24"/>
              </w:rPr>
            </w:pPr>
          </w:p>
        </w:tc>
      </w:tr>
      <w:tr>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pPr>
              <w:rPr>
                <w:sz w:val="24"/>
              </w:rPr>
            </w:pPr>
          </w:p>
        </w:tc>
        <w:tc>
          <w:tcPr>
            <w:tcW w:w="1012" w:type="pct"/>
            <w:vMerge w:val="continue"/>
            <w:tcBorders>
              <w:top w:val="nil"/>
              <w:left w:val="single" w:color="000000" w:sz="8" w:space="0"/>
              <w:bottom w:val="nil"/>
              <w:right w:val="single" w:color="000000" w:sz="8" w:space="0"/>
            </w:tcBorders>
            <w:vAlign w:val="center"/>
          </w:tcPr>
          <w:p>
            <w:pPr>
              <w:rPr>
                <w:sz w:val="24"/>
              </w:rPr>
            </w:pPr>
          </w:p>
        </w:tc>
        <w:tc>
          <w:tcPr>
            <w:tcW w:w="904" w:type="pct"/>
            <w:tcBorders>
              <w:top w:val="nil"/>
              <w:left w:val="single" w:color="000000" w:sz="8" w:space="0"/>
              <w:bottom w:val="single" w:color="000000" w:sz="8" w:space="0"/>
              <w:right w:val="single" w:color="000000" w:sz="8" w:space="0"/>
            </w:tcBorders>
            <w:vAlign w:val="center"/>
          </w:tcPr>
          <w:p>
            <w:pPr>
              <w:rPr>
                <w:sz w:val="24"/>
              </w:rPr>
            </w:pPr>
          </w:p>
        </w:tc>
        <w:tc>
          <w:tcPr>
            <w:tcW w:w="1008" w:type="pct"/>
            <w:tcBorders>
              <w:top w:val="nil"/>
              <w:left w:val="nil"/>
              <w:bottom w:val="single" w:color="000000" w:sz="8" w:space="0"/>
              <w:right w:val="single" w:color="000000" w:sz="8" w:space="0"/>
            </w:tcBorders>
            <w:vAlign w:val="center"/>
          </w:tcPr>
          <w:p>
            <w:pPr>
              <w:rPr>
                <w:sz w:val="24"/>
              </w:rPr>
            </w:pPr>
          </w:p>
        </w:tc>
        <w:tc>
          <w:tcPr>
            <w:tcW w:w="1061" w:type="pct"/>
            <w:tcBorders>
              <w:top w:val="nil"/>
              <w:left w:val="nil"/>
              <w:bottom w:val="single" w:color="000000" w:sz="8" w:space="0"/>
              <w:right w:val="single" w:color="000000" w:sz="8" w:space="0"/>
            </w:tcBorders>
            <w:vAlign w:val="center"/>
          </w:tcPr>
          <w:p>
            <w:pPr>
              <w:rPr>
                <w:sz w:val="24"/>
              </w:rPr>
            </w:pPr>
          </w:p>
        </w:tc>
      </w:tr>
      <w:tr>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pPr>
              <w:rPr>
                <w:sz w:val="24"/>
              </w:rPr>
            </w:pPr>
          </w:p>
        </w:tc>
        <w:tc>
          <w:tcPr>
            <w:tcW w:w="1012" w:type="pct"/>
            <w:vMerge w:val="continue"/>
            <w:tcBorders>
              <w:top w:val="nil"/>
              <w:left w:val="single" w:color="000000" w:sz="8" w:space="0"/>
              <w:bottom w:val="nil"/>
              <w:right w:val="single" w:color="000000" w:sz="8" w:space="0"/>
            </w:tcBorders>
            <w:vAlign w:val="center"/>
          </w:tcPr>
          <w:p>
            <w:pPr>
              <w:rPr>
                <w:sz w:val="24"/>
              </w:rPr>
            </w:pPr>
          </w:p>
        </w:tc>
        <w:tc>
          <w:tcPr>
            <w:tcW w:w="904" w:type="pct"/>
            <w:tcBorders>
              <w:top w:val="nil"/>
              <w:left w:val="single" w:color="000000" w:sz="8" w:space="0"/>
              <w:bottom w:val="single" w:color="000000" w:sz="8" w:space="0"/>
              <w:right w:val="single" w:color="000000" w:sz="8" w:space="0"/>
            </w:tcBorders>
            <w:vAlign w:val="center"/>
          </w:tcPr>
          <w:p>
            <w:pPr>
              <w:rPr>
                <w:sz w:val="24"/>
              </w:rPr>
            </w:pPr>
          </w:p>
        </w:tc>
        <w:tc>
          <w:tcPr>
            <w:tcW w:w="1008" w:type="pct"/>
            <w:tcBorders>
              <w:top w:val="nil"/>
              <w:left w:val="nil"/>
              <w:bottom w:val="single" w:color="000000" w:sz="8" w:space="0"/>
              <w:right w:val="single" w:color="000000" w:sz="8" w:space="0"/>
            </w:tcBorders>
            <w:vAlign w:val="center"/>
          </w:tcPr>
          <w:p>
            <w:pPr>
              <w:rPr>
                <w:sz w:val="24"/>
              </w:rPr>
            </w:pPr>
          </w:p>
        </w:tc>
        <w:tc>
          <w:tcPr>
            <w:tcW w:w="1061" w:type="pct"/>
            <w:tcBorders>
              <w:top w:val="nil"/>
              <w:left w:val="nil"/>
              <w:bottom w:val="single" w:color="000000" w:sz="8" w:space="0"/>
              <w:right w:val="single" w:color="000000" w:sz="8" w:space="0"/>
            </w:tcBorders>
            <w:vAlign w:val="center"/>
          </w:tcPr>
          <w:p>
            <w:pPr>
              <w:rPr>
                <w:sz w:val="24"/>
              </w:rPr>
            </w:pPr>
          </w:p>
        </w:tc>
      </w:tr>
      <w:tr>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pPr>
              <w:rPr>
                <w:sz w:val="24"/>
              </w:rPr>
            </w:pPr>
          </w:p>
        </w:tc>
        <w:tc>
          <w:tcPr>
            <w:tcW w:w="1012" w:type="pct"/>
            <w:vMerge w:val="continue"/>
            <w:tcBorders>
              <w:top w:val="nil"/>
              <w:left w:val="single" w:color="000000" w:sz="8" w:space="0"/>
              <w:bottom w:val="nil"/>
              <w:right w:val="single" w:color="000000" w:sz="8" w:space="0"/>
            </w:tcBorders>
            <w:vAlign w:val="center"/>
          </w:tcPr>
          <w:p>
            <w:pPr>
              <w:rPr>
                <w:sz w:val="24"/>
              </w:rPr>
            </w:pPr>
          </w:p>
        </w:tc>
        <w:tc>
          <w:tcPr>
            <w:tcW w:w="904" w:type="pct"/>
            <w:tcBorders>
              <w:top w:val="nil"/>
              <w:left w:val="single" w:color="000000" w:sz="8" w:space="0"/>
              <w:bottom w:val="nil"/>
              <w:right w:val="single" w:color="000000" w:sz="8" w:space="0"/>
            </w:tcBorders>
            <w:vAlign w:val="center"/>
          </w:tcPr>
          <w:p>
            <w:pPr>
              <w:rPr>
                <w:sz w:val="24"/>
              </w:rPr>
            </w:pPr>
            <w:r>
              <w:rPr>
                <w:rFonts w:hint="eastAsia"/>
                <w:sz w:val="24"/>
              </w:rPr>
              <w:t>…</w:t>
            </w:r>
          </w:p>
        </w:tc>
        <w:tc>
          <w:tcPr>
            <w:tcW w:w="1008" w:type="pct"/>
            <w:tcBorders>
              <w:top w:val="nil"/>
              <w:left w:val="nil"/>
              <w:bottom w:val="nil"/>
              <w:right w:val="single" w:color="000000" w:sz="8" w:space="0"/>
            </w:tcBorders>
            <w:vAlign w:val="center"/>
          </w:tcPr>
          <w:p>
            <w:pPr>
              <w:rPr>
                <w:sz w:val="24"/>
              </w:rPr>
            </w:pPr>
            <w:r>
              <w:rPr>
                <w:rFonts w:hint="eastAsia"/>
                <w:sz w:val="24"/>
              </w:rPr>
              <w:t>…</w:t>
            </w:r>
          </w:p>
        </w:tc>
        <w:tc>
          <w:tcPr>
            <w:tcW w:w="1061" w:type="pct"/>
            <w:tcBorders>
              <w:top w:val="nil"/>
              <w:left w:val="nil"/>
              <w:bottom w:val="nil"/>
              <w:right w:val="single" w:color="000000" w:sz="8" w:space="0"/>
            </w:tcBorders>
            <w:noWrap/>
            <w:vAlign w:val="center"/>
          </w:tcPr>
          <w:p>
            <w:pPr>
              <w:rPr>
                <w:sz w:val="24"/>
              </w:rPr>
            </w:pPr>
            <w:r>
              <w:rPr>
                <w:rFonts w:hint="eastAsia"/>
                <w:sz w:val="24"/>
              </w:rPr>
              <w:t>…</w:t>
            </w:r>
          </w:p>
        </w:tc>
      </w:tr>
      <w:tr>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pPr>
              <w:rPr>
                <w:sz w:val="24"/>
              </w:rPr>
            </w:pPr>
            <w:r>
              <w:rPr>
                <w:rFonts w:hint="eastAsia"/>
                <w:sz w:val="24"/>
              </w:rPr>
              <w:t>备注：本表内容须根据供应商性质如实填写，表内“/”为选择内容，请删除与供应商性质无关的选项。</w:t>
            </w:r>
          </w:p>
        </w:tc>
      </w:tr>
    </w:tbl>
    <w:p>
      <w:pPr>
        <w:pStyle w:val="3"/>
        <w:rPr>
          <w:color w:val="auto"/>
        </w:rPr>
      </w:pPr>
    </w:p>
    <w:p>
      <w:pPr>
        <w:rPr>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
      <w:pPr>
        <w:spacing w:line="360" w:lineRule="atLeast"/>
      </w:pPr>
    </w:p>
    <w:p>
      <w:pPr>
        <w:spacing w:line="360" w:lineRule="atLeast"/>
        <w:jc w:val="center"/>
      </w:pPr>
      <w:r>
        <w:br w:type="page"/>
      </w:r>
    </w:p>
    <w:p>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jc w:val="left"/>
        <w:rPr>
          <w:rFonts w:ascii="宋体" w:hAnsi="宋体"/>
          <w:sz w:val="24"/>
        </w:rPr>
      </w:pPr>
      <w:r>
        <w:rPr>
          <w:rFonts w:hint="eastAsia" w:ascii="宋体" w:hAnsi="宋体"/>
          <w:sz w:val="24"/>
        </w:rPr>
        <w:t xml:space="preserve">      </w:t>
      </w:r>
    </w:p>
    <w:p>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pPr>
        <w:pStyle w:val="3"/>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pStyle w:val="3"/>
      </w:pPr>
    </w:p>
    <w:p>
      <w:pPr>
        <w:widowControl/>
        <w:spacing w:line="240" w:lineRule="auto"/>
        <w:jc w:val="left"/>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Helvetica">
    <w:altName w:val="Arial"/>
    <w:panose1 w:val="020B0604020202020204"/>
    <w:charset w:val="00"/>
    <w:family w:val="swiss"/>
    <w:pitch w:val="default"/>
    <w:sig w:usb0="00000000" w:usb1="00000000" w:usb2="00000009" w:usb3="00000000" w:csb0="000001FF"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2ZDI5YTk4ZWVkODkxZTcxZjA5MDdlNjc3ZjMzMzAifQ=="/>
  </w:docVars>
  <w:rsids>
    <w:rsidRoot w:val="3DAE17FE"/>
    <w:rsid w:val="000F29F4"/>
    <w:rsid w:val="00347CE2"/>
    <w:rsid w:val="005214F3"/>
    <w:rsid w:val="00724C6F"/>
    <w:rsid w:val="007C70C5"/>
    <w:rsid w:val="0099099F"/>
    <w:rsid w:val="00B813EA"/>
    <w:rsid w:val="3DAE17FE"/>
    <w:rsid w:val="5E9E0D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autoRedefine/>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uiPriority w:val="0"/>
    <w:pPr>
      <w:tabs>
        <w:tab w:val="center" w:pos="4153"/>
        <w:tab w:val="right" w:pos="8306"/>
      </w:tabs>
      <w:snapToGrid w:val="0"/>
      <w:spacing w:line="240" w:lineRule="auto"/>
      <w:jc w:val="left"/>
    </w:pPr>
    <w:rPr>
      <w:sz w:val="18"/>
      <w:szCs w:val="18"/>
    </w:rPr>
  </w:style>
  <w:style w:type="paragraph" w:styleId="6">
    <w:name w:val="header"/>
    <w:basedOn w:val="1"/>
    <w:link w:val="9"/>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autoRedefine/>
    <w:qFormat/>
    <w:uiPriority w:val="0"/>
    <w:rPr>
      <w:rFonts w:ascii="Times New Roman" w:hAnsi="Times New Roman" w:eastAsia="宋体" w:cs="Times New Roman"/>
      <w:kern w:val="2"/>
      <w:sz w:val="18"/>
      <w:szCs w:val="18"/>
    </w:rPr>
  </w:style>
  <w:style w:type="character" w:customStyle="1" w:styleId="10">
    <w:name w:val="页脚 Char"/>
    <w:basedOn w:val="8"/>
    <w:link w:val="5"/>
    <w:autoRedefine/>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364</Words>
  <Characters>2078</Characters>
  <Lines>17</Lines>
  <Paragraphs>4</Paragraphs>
  <TotalTime>6</TotalTime>
  <ScaleCrop>false</ScaleCrop>
  <LinksUpToDate>false</LinksUpToDate>
  <CharactersWithSpaces>2438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Vow</cp:lastModifiedBy>
  <dcterms:modified xsi:type="dcterms:W3CDTF">2024-05-01T07:54:52Z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54B67335D90147DB8EE9DC5C8BF71E0A_11</vt:lpwstr>
  </property>
</Properties>
</file>