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ind w:firstLine="2409" w:firstLineChars="750"/>
        <w:jc w:val="both"/>
        <w:rPr>
          <w:rFonts w:ascii="宋体" w:hAnsi="宋体"/>
          <w:color w:val="000000"/>
        </w:rPr>
      </w:pPr>
      <w:r>
        <w:rPr>
          <w:rFonts w:hint="eastAsia" w:ascii="宋体" w:hAnsi="宋体"/>
          <w:sz w:val="32"/>
          <w:szCs w:val="32"/>
        </w:rPr>
        <w:t>合同范本（仅供参考）</w:t>
      </w:r>
    </w:p>
    <w:p>
      <w:pPr>
        <w:ind w:firstLine="480" w:firstLineChars="150"/>
        <w:jc w:val="center"/>
        <w:rPr>
          <w:rFonts w:ascii="宋体" w:cs="宋体"/>
          <w:color w:val="000000"/>
          <w:sz w:val="32"/>
          <w:szCs w:val="32"/>
        </w:rPr>
      </w:pPr>
      <w:bookmarkStart w:id="0" w:name="_Hlk501352165"/>
      <w:r>
        <w:rPr>
          <w:rFonts w:hint="eastAsia" w:ascii="宋体" w:hAnsi="宋体" w:cs="宋体"/>
          <w:color w:val="000000"/>
          <w:sz w:val="32"/>
          <w:szCs w:val="32"/>
        </w:rPr>
        <w:t>××合同</w:t>
      </w:r>
    </w:p>
    <w:p>
      <w:pPr>
        <w:ind w:firstLine="420" w:firstLineChars="150"/>
        <w:rPr>
          <w:rFonts w:ascii="宋体" w:cs="宋体"/>
          <w:color w:val="000000"/>
          <w:sz w:val="28"/>
          <w:szCs w:val="28"/>
        </w:rPr>
      </w:pPr>
      <w:r>
        <w:rPr>
          <w:rFonts w:hint="eastAsia" w:ascii="宋体" w:hAnsi="宋体" w:cs="宋体"/>
          <w:color w:val="000000"/>
          <w:sz w:val="28"/>
          <w:szCs w:val="28"/>
        </w:rPr>
        <w:t>甲方：西安石油大学</w:t>
      </w:r>
      <w:r>
        <w:rPr>
          <w:rFonts w:ascii="宋体" w:hAnsi="宋体" w:cs="宋体"/>
          <w:color w:val="000000"/>
          <w:sz w:val="28"/>
          <w:szCs w:val="28"/>
        </w:rPr>
        <w:t xml:space="preserve">                            </w:t>
      </w:r>
      <w:r>
        <w:rPr>
          <w:rFonts w:hint="eastAsia" w:ascii="宋体" w:hAnsi="宋体" w:cs="宋体"/>
          <w:color w:val="000000"/>
          <w:sz w:val="28"/>
          <w:szCs w:val="28"/>
        </w:rPr>
        <w:t>合同编号：</w:t>
      </w:r>
    </w:p>
    <w:p>
      <w:pPr>
        <w:ind w:firstLine="420" w:firstLineChars="150"/>
        <w:rPr>
          <w:rFonts w:eastAsia="仿宋_GB2312"/>
          <w:sz w:val="22"/>
          <w:szCs w:val="28"/>
        </w:rPr>
      </w:pPr>
      <w:r>
        <w:rPr>
          <w:rFonts w:hint="eastAsia" w:ascii="宋体" w:hAnsi="宋体" w:cs="宋体"/>
          <w:color w:val="000000"/>
          <w:sz w:val="28"/>
          <w:szCs w:val="28"/>
        </w:rPr>
        <w:t>乙方：××公司</w:t>
      </w:r>
      <w:r>
        <w:rPr>
          <w:rFonts w:ascii="宋体" w:hAnsi="宋体" w:cs="宋体"/>
          <w:color w:val="000000"/>
          <w:sz w:val="28"/>
          <w:szCs w:val="28"/>
        </w:rPr>
        <w:t xml:space="preserve">                                </w:t>
      </w:r>
      <w:r>
        <w:rPr>
          <w:rFonts w:hint="eastAsia" w:ascii="宋体" w:hAnsi="宋体" w:cs="宋体"/>
          <w:color w:val="000000"/>
          <w:sz w:val="28"/>
          <w:szCs w:val="28"/>
        </w:rPr>
        <w:t>签订地点：西安市</w:t>
      </w:r>
      <w:bookmarkEnd w:id="0"/>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依据《中华人民共和国民法典》等相关规定，甲乙双方在平等自愿的基础上，经协商一致就西安石油大学学位论文送审平台项目达成合作协议，以明确双方的责权并保证共同遵守以下协议内容。</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第一条 服务内容</w:t>
      </w:r>
    </w:p>
    <w:p>
      <w:pPr>
        <w:spacing w:line="360" w:lineRule="auto"/>
        <w:ind w:firstLine="480" w:firstLineChars="200"/>
        <w:rPr>
          <w:rFonts w:hint="eastAsia" w:ascii="宋体" w:hAnsi="宋体" w:eastAsia="宋体" w:cs="宋体"/>
          <w:sz w:val="24"/>
          <w:szCs w:val="24"/>
        </w:rPr>
      </w:pPr>
      <w:bookmarkStart w:id="1" w:name="_Hlk499735660"/>
      <w:r>
        <w:rPr>
          <w:rFonts w:hint="eastAsia" w:ascii="宋体" w:hAnsi="宋体" w:eastAsia="宋体" w:cs="宋体"/>
          <w:sz w:val="24"/>
          <w:szCs w:val="24"/>
        </w:rPr>
        <w:t>经协商，甲乙双方就西安石油大学学位论文送审平台项目开展合作：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乙方作为专业评价机构，为甲方提供西安石油大学学位论文送审平台项目（以下简称平台）、同行评议专家资源和评议过程技术服务。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甲方作为西安石油大学学位论文送审平台项目责任主体，依托乙方上述服务自主组织开展：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1.博士学位论文答辩前评议</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2.硕士学位论文答辩前评议</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sym w:font="Wingdings 2" w:char="00A3"/>
      </w:r>
      <w:r>
        <w:rPr>
          <w:rFonts w:hint="eastAsia" w:ascii="宋体" w:hAnsi="宋体" w:eastAsia="宋体" w:cs="宋体"/>
          <w:sz w:val="24"/>
          <w:szCs w:val="24"/>
        </w:rPr>
        <w:t xml:space="preserve"> 3.博士学位论文答辩后抽检评议</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sym w:font="Wingdings 2" w:char="00A3"/>
      </w:r>
      <w:r>
        <w:rPr>
          <w:rFonts w:hint="eastAsia" w:ascii="宋体" w:hAnsi="宋体" w:eastAsia="宋体" w:cs="宋体"/>
          <w:sz w:val="24"/>
          <w:szCs w:val="24"/>
        </w:rPr>
        <w:t xml:space="preserve"> 4.硕士学位论文答辩后抽检评议</w:t>
      </w:r>
    </w:p>
    <w:bookmarkEnd w:id="1"/>
    <w:p>
      <w:pPr>
        <w:numPr>
          <w:ilvl w:val="0"/>
          <w:numId w:val="1"/>
        </w:num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甲方权利</w:t>
      </w:r>
    </w:p>
    <w:p>
      <w:pPr>
        <w:numPr>
          <w:ilvl w:val="0"/>
          <w:numId w:val="2"/>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甲方有权依据国家及本单位研究生学位论文质量管理有关规定，自主制定学位论文评议要素及要求，在平台中自主设置博士、硕士学位论文相应评审项目评阅书模板。</w:t>
      </w:r>
    </w:p>
    <w:p>
      <w:pPr>
        <w:numPr>
          <w:ilvl w:val="0"/>
          <w:numId w:val="2"/>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甲方有权决定是否对待评审学位论文材料中的学位论文作者、导师等信息进行隐匿处理，如未做处理，有关专家在评议过程中将可查看相关信息。</w:t>
      </w:r>
    </w:p>
    <w:p>
      <w:pPr>
        <w:numPr>
          <w:ilvl w:val="0"/>
          <w:numId w:val="2"/>
        </w:num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甲方有权按如下条件“自动遴选”学位论文评议专家：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1.学术学位论文和专业学位论文分别在学位论文所属《研究生教育学科专业目录》的一级学科和专业学位类别范围内遴选专家。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2.遴选专家所在单位类型：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sym w:font="Wingdings 2" w:char="00A3"/>
      </w:r>
      <w:r>
        <w:rPr>
          <w:rFonts w:hint="eastAsia" w:ascii="宋体" w:hAnsi="宋体" w:eastAsia="宋体" w:cs="宋体"/>
          <w:sz w:val="24"/>
          <w:szCs w:val="24"/>
        </w:rPr>
        <w:t xml:space="preserve">优先一流大学建设高校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sym w:font="Wingdings 2" w:char="00A3"/>
      </w:r>
      <w:r>
        <w:rPr>
          <w:rFonts w:hint="eastAsia" w:ascii="宋体" w:hAnsi="宋体" w:eastAsia="宋体" w:cs="宋体"/>
          <w:sz w:val="24"/>
          <w:szCs w:val="24"/>
        </w:rPr>
        <w:t xml:space="preserve">优先“双一流”建设高校和科研院所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■优先一流学科建设高校、科研院所和非“双一流”建设高校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sym w:font="Wingdings 2" w:char="00A3"/>
      </w:r>
      <w:r>
        <w:rPr>
          <w:rFonts w:hint="eastAsia" w:ascii="宋体" w:hAnsi="宋体" w:eastAsia="宋体" w:cs="宋体"/>
          <w:sz w:val="24"/>
          <w:szCs w:val="24"/>
        </w:rPr>
        <w:t>全部高校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注：以上选项为单选，且所选选项需包含甲方所在单位类型，当所选单位类型的专家无法满足遴选需求时，平台自动在其他类型单位的专家中遴选。</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3.按照学位论文的研究方向、关键词、题目、摘要与专家研究方向进行匹配，如甲方在送评过程中对学位论文的研究方向进行修正，平台自动依据修正后的研究方向进行匹配。</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4.回避甲方专家（含兼职）。</w:t>
      </w:r>
    </w:p>
    <w:p>
      <w:pPr>
        <w:widowControl/>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5.博士学位论文遴选：■博士生导师 </w:t>
      </w:r>
      <w:r>
        <w:rPr>
          <w:rFonts w:hint="eastAsia" w:ascii="宋体" w:hAnsi="宋体" w:eastAsia="宋体" w:cs="宋体"/>
          <w:sz w:val="24"/>
          <w:szCs w:val="24"/>
        </w:rPr>
        <w:sym w:font="Wingdings 2" w:char="00A3"/>
      </w:r>
      <w:r>
        <w:rPr>
          <w:rFonts w:hint="eastAsia" w:ascii="宋体" w:hAnsi="宋体" w:eastAsia="宋体" w:cs="宋体"/>
          <w:sz w:val="24"/>
          <w:szCs w:val="24"/>
        </w:rPr>
        <w:t>硕士生导师（教授）；硕士学位论文优先遴选硕士生导师，当硕士生导师不足时，遴选博士生导师。</w:t>
      </w:r>
    </w:p>
    <w:p>
      <w:pPr>
        <w:widowControl/>
        <w:spacing w:line="360" w:lineRule="auto"/>
        <w:ind w:firstLine="480" w:firstLineChars="200"/>
        <w:rPr>
          <w:rFonts w:hint="eastAsia" w:ascii="宋体" w:hAnsi="宋体" w:eastAsia="宋体" w:cs="宋体"/>
          <w:sz w:val="24"/>
          <w:szCs w:val="24"/>
          <w:highlight w:val="green"/>
        </w:rPr>
      </w:pPr>
      <w:r>
        <w:rPr>
          <w:rFonts w:hint="eastAsia" w:ascii="宋体" w:hAnsi="宋体" w:eastAsia="宋体" w:cs="宋体"/>
          <w:sz w:val="24"/>
          <w:szCs w:val="24"/>
        </w:rPr>
        <w:t xml:space="preserve">6.学术学位论文遴选学术学位导师；专业学位论文遴选专业学位导师。 </w:t>
      </w:r>
    </w:p>
    <w:p>
      <w:pPr>
        <w:widowControl/>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7.在符合1-6条件的专家中随机遴选学位论文评议专家。</w:t>
      </w:r>
    </w:p>
    <w:p>
      <w:pPr>
        <w:numPr>
          <w:ilvl w:val="0"/>
          <w:numId w:val="2"/>
        </w:num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甲方有权</w:t>
      </w:r>
      <w:r>
        <w:rPr>
          <w:rFonts w:hint="eastAsia" w:ascii="宋体" w:hAnsi="宋体" w:eastAsia="宋体" w:cs="宋体"/>
          <w:sz w:val="24"/>
          <w:szCs w:val="24"/>
        </w:rPr>
        <w:t>按如下条件“补充遴选”</w:t>
      </w:r>
      <w:r>
        <w:rPr>
          <w:rFonts w:hint="eastAsia" w:ascii="宋体" w:hAnsi="宋体" w:eastAsia="宋体" w:cs="宋体"/>
          <w:bCs/>
          <w:sz w:val="24"/>
          <w:szCs w:val="24"/>
        </w:rPr>
        <w:t>学位论文评议专家</w:t>
      </w:r>
      <w:r>
        <w:rPr>
          <w:rFonts w:hint="eastAsia" w:ascii="宋体" w:hAnsi="宋体" w:eastAsia="宋体" w:cs="宋体"/>
          <w:sz w:val="24"/>
          <w:szCs w:val="24"/>
        </w:rPr>
        <w:t>：</w:t>
      </w:r>
    </w:p>
    <w:p>
      <w:pPr>
        <w:widowControl/>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1.在满足第二条第（三）款必选项和条件7的前提下，在平台内对专家遴选规则进行删减或补充，形成甲方个性化专家补充遴选方案；</w:t>
      </w:r>
    </w:p>
    <w:p>
      <w:pPr>
        <w:widowControl/>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2.可申请跨一级学科进行专家遴选，经申请并在平台中完成备案后，在“补充遴选”方案中“忽略”或“指定”一级学科进行专家遴选。</w:t>
      </w:r>
    </w:p>
    <w:p>
      <w:pPr>
        <w:numPr>
          <w:ilvl w:val="0"/>
          <w:numId w:val="2"/>
        </w:num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甲方可自行选择评议专家遴选方式。</w:t>
      </w:r>
    </w:p>
    <w:p>
      <w:pPr>
        <w:widowControl/>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1.如甲方选择“自动遴选”，即认可第二条第（三）款，平台将按此规则自动遴选专家，并自动发出评议邀请。</w:t>
      </w:r>
    </w:p>
    <w:p>
      <w:pPr>
        <w:widowControl/>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2.如甲方选择“补充遴选”，即认可按第二条第（四）款，平台将按甲方制定的个性化遴选方案遴选专家，并自动发出评议邀请。</w:t>
      </w:r>
    </w:p>
    <w:p>
      <w:pPr>
        <w:widowControl/>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3.可在平台内随时转换</w:t>
      </w:r>
      <w:r>
        <w:rPr>
          <w:rFonts w:hint="eastAsia" w:ascii="宋体" w:hAnsi="宋体" w:eastAsia="宋体" w:cs="宋体"/>
          <w:bCs/>
          <w:sz w:val="24"/>
          <w:szCs w:val="24"/>
        </w:rPr>
        <w:t>评议专家</w:t>
      </w:r>
      <w:r>
        <w:rPr>
          <w:rFonts w:hint="eastAsia" w:ascii="宋体" w:hAnsi="宋体" w:eastAsia="宋体" w:cs="宋体"/>
          <w:sz w:val="24"/>
          <w:szCs w:val="24"/>
        </w:rPr>
        <w:t>遴选方式，即将“自动遴选”下的学位论文转换至“补充遴选”中，或将“补充遴选”下的学位论文转换至“自动遴选”中；对于在“补充遴选”中修正“研究方向”后的学位论文，可继续进入“自动遴选”，也可在甲方自设遴选方案下“补充遴选”出的专家中进行自主选取。</w:t>
      </w:r>
    </w:p>
    <w:p>
      <w:pPr>
        <w:numPr>
          <w:ilvl w:val="0"/>
          <w:numId w:val="2"/>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甲方有权按照本单位学位论文评议需求自主组织学位论文评议工作，把控送评流程，进行学位论文复评、增评、减评等。</w:t>
      </w:r>
    </w:p>
    <w:p>
      <w:pPr>
        <w:numPr>
          <w:ilvl w:val="0"/>
          <w:numId w:val="2"/>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甲方有权决定如何使用专家评议意见。如对专家提交的评议意见存在异议，可在评议意见提交后30天内通过平台向乙方提出，并由双方协商解决。</w:t>
      </w:r>
    </w:p>
    <w:p>
      <w:pPr>
        <w:numPr>
          <w:ilvl w:val="0"/>
          <w:numId w:val="2"/>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甲方可开通一个平台一级账户，该账户仅限本单位（部门）负责学位论文质量监测工作且在平台完成实名信息登记认证的管理人员使用。</w:t>
      </w:r>
    </w:p>
    <w:p>
      <w:pPr>
        <w:numPr>
          <w:ilvl w:val="0"/>
          <w:numId w:val="2"/>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甲方可在一级账户下自主进行二级账户管理。包括：</w:t>
      </w:r>
    </w:p>
    <w:p>
      <w:pPr>
        <w:widowControl/>
        <w:numPr>
          <w:ilvl w:val="0"/>
          <w:numId w:val="3"/>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开通、冻结二级账户，二级账户数量不多于甲方二级学院（系）总数</w:t>
      </w:r>
      <w:r>
        <w:rPr>
          <w:rFonts w:hint="eastAsia" w:ascii="宋体" w:hAnsi="宋体" w:eastAsia="宋体" w:cs="宋体"/>
          <w:sz w:val="24"/>
          <w:szCs w:val="24"/>
          <w:u w:val="single"/>
        </w:rPr>
        <w:t xml:space="preserve"> 20 </w:t>
      </w:r>
      <w:r>
        <w:rPr>
          <w:rFonts w:hint="eastAsia" w:ascii="宋体" w:hAnsi="宋体" w:eastAsia="宋体" w:cs="宋体"/>
          <w:sz w:val="24"/>
          <w:szCs w:val="24"/>
        </w:rPr>
        <w:t>个。</w:t>
      </w:r>
    </w:p>
    <w:p>
      <w:pPr>
        <w:widowControl/>
        <w:numPr>
          <w:ilvl w:val="0"/>
          <w:numId w:val="3"/>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管理二级账户的功能权限，包括学位论文信息及材料上传、指定评阅书送评、专家遴选及评议结果下载等。</w:t>
      </w:r>
    </w:p>
    <w:p>
      <w:pPr>
        <w:widowControl/>
        <w:numPr>
          <w:ilvl w:val="0"/>
          <w:numId w:val="2"/>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与学位论文质量监测服务相关的其他权利。</w:t>
      </w:r>
    </w:p>
    <w:p>
      <w:pPr>
        <w:widowControl/>
        <w:numPr>
          <w:ilvl w:val="0"/>
          <w:numId w:val="1"/>
        </w:num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甲方义务</w:t>
      </w:r>
    </w:p>
    <w:p>
      <w:pPr>
        <w:widowControl/>
        <w:numPr>
          <w:ilvl w:val="0"/>
          <w:numId w:val="4"/>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甲方为本单位学位论文质量监测行为的责任主体，须正确理解乙方的第三方服务性质，在校内准确宣传本协议条款约定内容，引导导师、学生准确认识乙方第三方服务模式。</w:t>
      </w:r>
    </w:p>
    <w:p>
      <w:pPr>
        <w:widowControl/>
        <w:numPr>
          <w:ilvl w:val="0"/>
          <w:numId w:val="4"/>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确保本单位评阅书模板的规范性和合理性，确保上传平台学位论文信息及材料的真实性、准确性和完整性，严禁上传加密或涉密学位论文及相关评议材料。对于论文中涉及科研项目及学术成果等敏感信息，甲方需在上传论文前自行完成脱敏处理。</w:t>
      </w:r>
    </w:p>
    <w:p>
      <w:pPr>
        <w:widowControl/>
        <w:numPr>
          <w:ilvl w:val="0"/>
          <w:numId w:val="4"/>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甲方应及时跟进、自主完成学位论文送评流程。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1.对上传平台的学位论文、以及对“已确认参评专家”数量小于论文所需评议专家数量的学位论文及时进行专家遴选；</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2.对因专家个人原因超过评议时限未提交评议意见、在平台自动解除专家评议关系后仍缺少评议专家的学位论文，及时进行专家遴选；</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3.对</w:t>
      </w:r>
      <w:r>
        <w:rPr>
          <w:rFonts w:hint="eastAsia" w:ascii="宋体" w:hAnsi="宋体" w:eastAsia="宋体" w:cs="宋体"/>
          <w:bCs/>
          <w:sz w:val="24"/>
          <w:szCs w:val="24"/>
        </w:rPr>
        <w:t>需个性化送评或小语种、小学科等存在特殊情况的</w:t>
      </w:r>
      <w:r>
        <w:rPr>
          <w:rFonts w:hint="eastAsia" w:ascii="宋体" w:hAnsi="宋体" w:eastAsia="宋体" w:cs="宋体"/>
          <w:sz w:val="24"/>
          <w:szCs w:val="24"/>
        </w:rPr>
        <w:t>学位</w:t>
      </w:r>
      <w:r>
        <w:rPr>
          <w:rFonts w:hint="eastAsia" w:ascii="宋体" w:hAnsi="宋体" w:eastAsia="宋体" w:cs="宋体"/>
          <w:bCs/>
          <w:sz w:val="24"/>
          <w:szCs w:val="24"/>
        </w:rPr>
        <w:t>论文，当甲方在平台进行</w:t>
      </w:r>
      <w:r>
        <w:rPr>
          <w:rFonts w:hint="eastAsia" w:ascii="宋体" w:hAnsi="宋体" w:eastAsia="宋体" w:cs="宋体"/>
          <w:sz w:val="24"/>
          <w:szCs w:val="24"/>
        </w:rPr>
        <w:t>10次以上专家遴选操作（包括自动遴选和补充遴选）或遴选专家周期超</w:t>
      </w:r>
      <w:r>
        <w:rPr>
          <w:rFonts w:hint="eastAsia" w:ascii="宋体" w:hAnsi="宋体" w:eastAsia="宋体" w:cs="宋体"/>
          <w:color w:val="000000"/>
          <w:sz w:val="24"/>
          <w:szCs w:val="24"/>
        </w:rPr>
        <w:t>过30天</w:t>
      </w:r>
      <w:r>
        <w:rPr>
          <w:rFonts w:hint="eastAsia" w:ascii="宋体" w:hAnsi="宋体" w:eastAsia="宋体" w:cs="宋体"/>
          <w:sz w:val="24"/>
          <w:szCs w:val="24"/>
        </w:rPr>
        <w:t>仍缺少评议专家时，甲方可终止平台评议并自行线下处理</w:t>
      </w:r>
      <w:r>
        <w:rPr>
          <w:rFonts w:hint="eastAsia" w:ascii="宋体" w:hAnsi="宋体" w:eastAsia="宋体" w:cs="宋体"/>
          <w:bCs/>
          <w:sz w:val="24"/>
          <w:szCs w:val="24"/>
        </w:rPr>
        <w:t>。</w:t>
      </w:r>
    </w:p>
    <w:p>
      <w:pPr>
        <w:widowControl/>
        <w:numPr>
          <w:ilvl w:val="0"/>
          <w:numId w:val="4"/>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应保证本单位一级和二级账户管理员、相关工作人员等知悉本协议约定内容，甲方一级账户管理员每年须至少参加一次乙方组织的平台操作培训，并负责本单位二级账户管理员的平台操作培训，对二级账户管理员的平台操作行为进行管控。</w:t>
      </w:r>
    </w:p>
    <w:p>
      <w:pPr>
        <w:widowControl/>
        <w:numPr>
          <w:ilvl w:val="0"/>
          <w:numId w:val="4"/>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任何情况下，甲方不得私自与评议专家就甲方学位论文评议工作进行直接联系和沟通。</w:t>
      </w:r>
    </w:p>
    <w:p>
      <w:pPr>
        <w:widowControl/>
        <w:numPr>
          <w:ilvl w:val="0"/>
          <w:numId w:val="4"/>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不得向被评议学位论文作者和导师透露任何乙方有关信息，包括但不限于平台使用规则、评议专家信息及乙方联系方式等；不得向其他第三方机构或他人提供乙方平台操作指南、相关培训材料，展示平台，包括但不限于信息拷贝、录制视频、页面截图、操作规则、送评数据、专家信息以及乙方信息。</w:t>
      </w:r>
    </w:p>
    <w:p>
      <w:pPr>
        <w:widowControl/>
        <w:numPr>
          <w:ilvl w:val="0"/>
          <w:numId w:val="4"/>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甲方每年定期向乙方提供本单位专业技术职务为副高级及以上职称的博士生导师、硕士生导师及专业学位校外行业兼职导师作为学位论文评议专家，协助乙方对上述专家信息进行及时更新和维护。</w:t>
      </w:r>
    </w:p>
    <w:p>
      <w:pPr>
        <w:widowControl/>
        <w:numPr>
          <w:ilvl w:val="0"/>
          <w:numId w:val="4"/>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与学位论文质量监测服务相关的其他义务。</w:t>
      </w:r>
    </w:p>
    <w:p>
      <w:pPr>
        <w:widowControl/>
        <w:numPr>
          <w:ilvl w:val="0"/>
          <w:numId w:val="1"/>
        </w:num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乙方权利</w:t>
      </w:r>
    </w:p>
    <w:p>
      <w:pPr>
        <w:numPr>
          <w:ilvl w:val="0"/>
          <w:numId w:val="5"/>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在甲方（一级和二级账户）出现下列行为时，乙方有权暂停甲方一级或二级账户使用权限。甲方一级或二级账户管理员经重新参加培训后，以正式公函形式（加盖法人公章）申请恢复相应账户使用权限。</w:t>
      </w:r>
    </w:p>
    <w:p>
      <w:pPr>
        <w:numPr>
          <w:ilvl w:val="0"/>
          <w:numId w:val="6"/>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违背协议约定内容误导导师、学位论文作者等，曲解、转移甲方学位论文送评的主体责任，造成不良后果；</w:t>
      </w:r>
    </w:p>
    <w:p>
      <w:pPr>
        <w:numPr>
          <w:ilvl w:val="0"/>
          <w:numId w:val="6"/>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向平台登记管理员以外的个人及单位转借平台账户；</w:t>
      </w:r>
    </w:p>
    <w:p>
      <w:pPr>
        <w:numPr>
          <w:ilvl w:val="0"/>
          <w:numId w:val="6"/>
        </w:num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出现两次（含）评阅书模板设置错误、评阅书模板与学位论文信息材料匹配错误、单批次送评20篇（含）以上学位论文信息及其附件材料错误等重大操作失误，严重影响专家评议工作。</w:t>
      </w:r>
    </w:p>
    <w:p>
      <w:pPr>
        <w:numPr>
          <w:ilvl w:val="0"/>
          <w:numId w:val="5"/>
        </w:num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与学位论文质量监测服务相关的其他权利。</w:t>
      </w:r>
    </w:p>
    <w:p>
      <w:pPr>
        <w:widowControl/>
        <w:numPr>
          <w:ilvl w:val="0"/>
          <w:numId w:val="1"/>
        </w:num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乙方义务</w:t>
      </w:r>
    </w:p>
    <w:p>
      <w:pPr>
        <w:numPr>
          <w:ilvl w:val="0"/>
          <w:numId w:val="7"/>
        </w:numPr>
        <w:spacing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乙方负责提供智能、精准、高效、安全的学位论文质量监测服务平台，满足甲方学位论文评议功能需求，包括学位论文信息及其附件材料上传、评阅书设置、专家自动遴选或补充遴选、评议结果下载等。</w:t>
      </w:r>
    </w:p>
    <w:p>
      <w:pPr>
        <w:numPr>
          <w:ilvl w:val="0"/>
          <w:numId w:val="7"/>
        </w:numPr>
        <w:spacing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乙方须及时响应和解决甲方提出的平台技术问题，定期收集研判甲方的功能需求和建议，对平台功能及时升级优化，为甲方自主开展学位论文评议工作提供技术保障。</w:t>
      </w:r>
    </w:p>
    <w:p>
      <w:pPr>
        <w:numPr>
          <w:ilvl w:val="0"/>
          <w:numId w:val="7"/>
        </w:numPr>
        <w:spacing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乙方负责提供覆盖全国的、类型丰富、层次多样的高水平博士、硕士学位论文评议专家资源，并定期补充专家资源，对专家信息进行更新，保证专家资源充沛，专家信息准确。</w:t>
      </w:r>
    </w:p>
    <w:p>
      <w:pPr>
        <w:numPr>
          <w:ilvl w:val="0"/>
          <w:numId w:val="7"/>
        </w:numPr>
        <w:spacing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乙方负责通过平台保障甲方学位论文评议过程中与评议专家间的信息交互，通过平台向专家发送相应消息通知或提醒等；协助甲方与参评专家沟通解决学术意见以外的问题，如：评议意见文字表述或格式错误、平台操作等问题。</w:t>
      </w:r>
    </w:p>
    <w:p>
      <w:pPr>
        <w:numPr>
          <w:ilvl w:val="0"/>
          <w:numId w:val="7"/>
        </w:numPr>
        <w:spacing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乙方负责通过平台向经甲方遴选后的学位论文评议专家提供参评确认、评议材料阅读、评阅意见填写、评议结果提交等功能。</w:t>
      </w:r>
    </w:p>
    <w:p>
      <w:pPr>
        <w:numPr>
          <w:ilvl w:val="0"/>
          <w:numId w:val="7"/>
        </w:numPr>
        <w:spacing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乙方为甲方学位论文自主评议工作提供辅助服务，协助甲方一级账户管理员解决在送评过程中遇到的平台操作等技术问题，关注甲方学位论文评议进度，及时提醒甲方完成开始专家遴选操作25天以上的博士学位论文及20天以上的硕士学位论文的送评流程（甲方间隔5天以上未进行遴选专家操作的学位论文除外）。</w:t>
      </w:r>
    </w:p>
    <w:p>
      <w:pPr>
        <w:numPr>
          <w:ilvl w:val="0"/>
          <w:numId w:val="7"/>
        </w:numPr>
        <w:spacing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乙方负责及时审核甲方通过平台提出的有关申请，包括：</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1.审核甲方提出的已送评学位论文的评议材料修改或替换申请，但由甲方自行决定是否采用在修改或替换材料前已提交的专家评议意见，已产生的质量监测服务费由甲方支付；</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2.审核甲方提出的已送评学位论文终止评议申请，对已确认评议的专家不能解除评议关系，但由甲方自行决定是否采用此类专家评议意见，已产生的质量监测服务费由甲方支付。</w:t>
      </w:r>
    </w:p>
    <w:p>
      <w:pPr>
        <w:numPr>
          <w:ilvl w:val="0"/>
          <w:numId w:val="7"/>
        </w:numPr>
        <w:spacing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乙方负责在本协议期满后，对协议期内已收回全部专家评议意见的学位论文进行数据归档，归档后甲方仍可查看、下载学位论文及专家评议意见。</w:t>
      </w:r>
    </w:p>
    <w:p>
      <w:pPr>
        <w:numPr>
          <w:ilvl w:val="0"/>
          <w:numId w:val="7"/>
        </w:numPr>
        <w:spacing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乙方为甲方提供年度学位论文评议情况统计报告，内容包括学位论文送评情况、学位论文评议结果、专家使用情况及服务费使用情况，以及对甲方学位论文质量监测工作的建议等。</w:t>
      </w:r>
    </w:p>
    <w:p>
      <w:pPr>
        <w:numPr>
          <w:ilvl w:val="0"/>
          <w:numId w:val="7"/>
        </w:numPr>
        <w:spacing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乙方负责每年免费对甲方一级账户管理员进行至少一次平台操作培训，为甲方提供和更新平台操作规程说明等；如甲方需要，乙方每年可为甲方提供一次个性化培训或二级账户管理员专项培训服务。</w:t>
      </w:r>
    </w:p>
    <w:p>
      <w:pPr>
        <w:numPr>
          <w:ilvl w:val="0"/>
          <w:numId w:val="7"/>
        </w:numPr>
        <w:spacing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任何情况下，乙方不得干扰甲方专家遴选工作，不得透露甲方学位论文评议专家个人信息，不得篡改甲方学位论文专家评议结果。</w:t>
      </w:r>
    </w:p>
    <w:p>
      <w:pPr>
        <w:numPr>
          <w:ilvl w:val="0"/>
          <w:numId w:val="7"/>
        </w:numPr>
        <w:spacing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乙方为甲方提供学位论文质量监测服务，不接受甲方学位论文作者、导师等个人对评议结果提出的异议。</w:t>
      </w:r>
    </w:p>
    <w:p>
      <w:pPr>
        <w:numPr>
          <w:ilvl w:val="0"/>
          <w:numId w:val="7"/>
        </w:numPr>
        <w:spacing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乙方不得向除甲方评议专家外的其他个人或机构提供甲方任何学位论文评议材料和相关信息，包括但不限于评阅书内容、评议规则、学位论文信息、评议意见等。</w:t>
      </w:r>
    </w:p>
    <w:p>
      <w:pPr>
        <w:numPr>
          <w:ilvl w:val="0"/>
          <w:numId w:val="7"/>
        </w:numPr>
        <w:spacing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乙方负责及时向本协议有效期内实际参与甲方学位论文评议的专家支付劳务费。</w:t>
      </w:r>
    </w:p>
    <w:p>
      <w:pPr>
        <w:numPr>
          <w:ilvl w:val="0"/>
          <w:numId w:val="7"/>
        </w:numPr>
        <w:spacing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与学位论文质量监测服务相关的其他义务。</w:t>
      </w:r>
    </w:p>
    <w:p>
      <w:pPr>
        <w:widowControl/>
        <w:numPr>
          <w:ilvl w:val="0"/>
          <w:numId w:val="1"/>
        </w:num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服务费标准与金额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yellow"/>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w:t>
      </w:r>
      <w:r>
        <w:rPr>
          <w:rFonts w:hint="eastAsia" w:ascii="宋体" w:hAnsi="宋体" w:eastAsia="宋体" w:cs="宋体"/>
          <w:sz w:val="24"/>
          <w:szCs w:val="24"/>
        </w:rPr>
        <w:t>博</w:t>
      </w:r>
      <w:r>
        <w:rPr>
          <w:rFonts w:hint="eastAsia" w:ascii="宋体" w:hAnsi="宋体" w:eastAsia="宋体" w:cs="宋体"/>
          <w:sz w:val="24"/>
          <w:szCs w:val="24"/>
          <w:highlight w:val="none"/>
        </w:rPr>
        <w:t>士学位论文质量监测服务费（含初评、复评、增评）为￥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元/篇次，</w:t>
      </w:r>
      <w:r>
        <w:rPr>
          <w:rFonts w:hint="eastAsia" w:ascii="宋体" w:hAnsi="宋体" w:eastAsia="宋体" w:cs="宋体"/>
          <w:b/>
          <w:bCs/>
          <w:sz w:val="24"/>
          <w:szCs w:val="24"/>
          <w:highlight w:val="none"/>
        </w:rPr>
        <w:t>其中</w:t>
      </w:r>
      <w:r>
        <w:rPr>
          <w:rFonts w:hint="eastAsia" w:ascii="宋体" w:hAnsi="宋体" w:eastAsia="宋体" w:cs="宋体"/>
          <w:sz w:val="24"/>
          <w:szCs w:val="24"/>
          <w:highlight w:val="none"/>
        </w:rPr>
        <w:t>使用外国语言文字撰写的博士学位论文（不包括文学学科门类）质量监测服务费（含初评、复评、增评）为￥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元/篇次；硕士学位论文质量监测服务费（含初评、复评、增评）为￥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元/篇次，</w:t>
      </w:r>
      <w:r>
        <w:rPr>
          <w:rFonts w:hint="eastAsia" w:ascii="宋体" w:hAnsi="宋体" w:eastAsia="宋体" w:cs="宋体"/>
          <w:b/>
          <w:bCs/>
          <w:sz w:val="24"/>
          <w:szCs w:val="24"/>
          <w:highlight w:val="none"/>
        </w:rPr>
        <w:t>其中</w:t>
      </w:r>
      <w:r>
        <w:rPr>
          <w:rFonts w:hint="eastAsia" w:ascii="宋体" w:hAnsi="宋体" w:eastAsia="宋体" w:cs="宋体"/>
          <w:sz w:val="24"/>
          <w:szCs w:val="24"/>
          <w:highlight w:val="none"/>
        </w:rPr>
        <w:t>使用外国语言文字撰写的硕士学位论文（不包括文学学科门类）质量监测服务费（含初评、复评、增评）为￥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元/篇次。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lang w:eastAsia="zh-CN"/>
        </w:rPr>
        <w:t>）</w:t>
      </w:r>
      <w:r>
        <w:rPr>
          <w:rFonts w:hint="eastAsia" w:ascii="宋体" w:hAnsi="宋体" w:eastAsia="宋体" w:cs="宋体"/>
          <w:sz w:val="24"/>
          <w:szCs w:val="24"/>
        </w:rPr>
        <w:t>本协议服务费总额依据服务费标准与甲方预估送评学位论文篇次数量进行计算。甲方须如实填写上传平台的论文层次、撰写语种等学位论文信息，以确定适用的服务费标准。如出现信息与实际送评学位论文原文不一致的情况，将以学位论文原文为准计费。</w:t>
      </w:r>
    </w:p>
    <w:p>
      <w:pPr>
        <w:numPr>
          <w:ilvl w:val="0"/>
          <w:numId w:val="0"/>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本协议有效期内甲方预计送评博士学位</w:t>
      </w:r>
      <w:r>
        <w:rPr>
          <w:rFonts w:hint="eastAsia" w:ascii="宋体" w:hAnsi="宋体" w:eastAsia="宋体" w:cs="宋体"/>
          <w:color w:val="auto"/>
          <w:sz w:val="24"/>
          <w:szCs w:val="24"/>
          <w:highlight w:val="none"/>
        </w:rPr>
        <w:t>论文</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31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篇次、硕士学位论文</w:t>
      </w:r>
      <w:r>
        <w:rPr>
          <w:rFonts w:hint="eastAsia" w:ascii="宋体" w:hAnsi="宋体" w:eastAsia="宋体" w:cs="宋体"/>
          <w:color w:val="auto"/>
          <w:sz w:val="24"/>
          <w:szCs w:val="24"/>
          <w:highlight w:val="none"/>
          <w:u w:val="single"/>
          <w:lang w:val="en-US" w:eastAsia="zh-CN"/>
        </w:rPr>
        <w:t>32</w:t>
      </w:r>
      <w:r>
        <w:rPr>
          <w:rFonts w:hint="eastAsia" w:ascii="宋体" w:hAnsi="宋体" w:cs="宋体"/>
          <w:color w:val="auto"/>
          <w:sz w:val="24"/>
          <w:szCs w:val="24"/>
          <w:highlight w:val="none"/>
          <w:u w:val="single"/>
          <w:lang w:val="en-US" w:eastAsia="zh-CN"/>
        </w:rPr>
        <w:t>01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篇次，</w:t>
      </w:r>
      <w:bookmarkStart w:id="2" w:name="_GoBack"/>
      <w:bookmarkEnd w:id="2"/>
      <w:r>
        <w:rPr>
          <w:rFonts w:hint="eastAsia" w:ascii="宋体" w:hAnsi="宋体" w:eastAsia="宋体" w:cs="宋体"/>
          <w:b/>
          <w:bCs/>
          <w:color w:val="auto"/>
          <w:sz w:val="24"/>
          <w:szCs w:val="24"/>
          <w:highlight w:val="none"/>
        </w:rPr>
        <w:t>其中</w:t>
      </w:r>
      <w:r>
        <w:rPr>
          <w:rFonts w:hint="eastAsia" w:ascii="宋体" w:hAnsi="宋体" w:eastAsia="宋体" w:cs="宋体"/>
          <w:color w:val="auto"/>
          <w:sz w:val="24"/>
          <w:szCs w:val="24"/>
          <w:highlight w:val="none"/>
        </w:rPr>
        <w:t>使用外国语言文字撰写（不包括文学学科门类）的硕士学位论文</w:t>
      </w:r>
      <w:r>
        <w:rPr>
          <w:rFonts w:hint="eastAsia" w:ascii="宋体" w:hAnsi="宋体" w:cs="宋体"/>
          <w:color w:val="auto"/>
          <w:sz w:val="24"/>
          <w:szCs w:val="24"/>
          <w:highlight w:val="none"/>
          <w:u w:val="single"/>
          <w:lang w:val="en-US" w:eastAsia="zh-CN"/>
        </w:rPr>
        <w:t>30</w:t>
      </w:r>
      <w:r>
        <w:rPr>
          <w:rFonts w:hint="eastAsia" w:ascii="宋体" w:hAnsi="宋体" w:eastAsia="宋体" w:cs="宋体"/>
          <w:color w:val="auto"/>
          <w:sz w:val="24"/>
          <w:szCs w:val="24"/>
          <w:highlight w:val="none"/>
        </w:rPr>
        <w:t>篇次</w:t>
      </w:r>
      <w:r>
        <w:rPr>
          <w:rFonts w:hint="eastAsia" w:ascii="宋体" w:hAnsi="宋体" w:eastAsia="宋体" w:cs="宋体"/>
          <w:sz w:val="24"/>
          <w:szCs w:val="24"/>
          <w:highlight w:val="none"/>
        </w:rPr>
        <w:t>；预估甲方支付服务费总额为￥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元（大写：人民币</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元整）。</w:t>
      </w:r>
    </w:p>
    <w:p>
      <w:pPr>
        <w:widowControl/>
        <w:numPr>
          <w:ilvl w:val="0"/>
          <w:numId w:val="1"/>
        </w:num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服务费支付与结算</w:t>
      </w:r>
    </w:p>
    <w:p>
      <w:pPr>
        <w:numPr>
          <w:ilvl w:val="0"/>
          <w:numId w:val="8"/>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甲方可采取服务费一次性支付或分期支付方式。若甲方采取一次性支付方式，须于协议签署后，开始上传学位论文前，支付全部服务费。若甲方采取分期支付方式，本协议有效期内支付次数为两次。第一次支付金额不低于甲方预估服务费总额的60%，即￥</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元（大写：人民币元整），须于协议签署后，开始上传学位论文前完成支付；第二次根据实际送审篇次支付剩余全部服务费，须于202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年12月20日前完成支付。</w:t>
      </w:r>
    </w:p>
    <w:p>
      <w:pPr>
        <w:numPr>
          <w:ilvl w:val="0"/>
          <w:numId w:val="8"/>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服务费金额以实际返回评议意见的学位论文篇次数量（即专家实际提交评议意见数量）计算，平台根据甲方学位论文送评进度自动计算服务费并在预付款中扣除，甲方可在平台实时查看服务费使用情况。完成阶段性送评后，甲方可在线申请下载《学位论文质量监测服务费用结算说明》（以下简称《结算说明》），乙方根据《结算说明》开具增值税专用发票。</w:t>
      </w:r>
    </w:p>
    <w:p>
      <w:pPr>
        <w:numPr>
          <w:ilvl w:val="0"/>
          <w:numId w:val="8"/>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可通过网银或支票汇款，汇款时须在“附言”处填入“院系（可选）+论文质量监测”字样，并在平台“缴费管理”中填写汇款信息、上传汇款凭证扫描件，经乙方确认款项到达乙方指定银行账户后，视为完成汇款；若平台收到甲方汇款凭证扫描件但乙方未查询到款项，甲方有义务配合乙方完成汇款情况确认。</w:t>
      </w:r>
    </w:p>
    <w:p>
      <w:pPr>
        <w:numPr>
          <w:ilvl w:val="0"/>
          <w:numId w:val="8"/>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本协议有效期满，扣除实际发生的服务费后，若存在结余，按第</w:t>
      </w:r>
      <w:r>
        <w:rPr>
          <w:rFonts w:hint="eastAsia" w:ascii="宋体" w:hAnsi="宋体" w:eastAsia="宋体" w:cs="宋体"/>
          <w:sz w:val="24"/>
          <w:szCs w:val="24"/>
          <w:u w:val="single"/>
        </w:rPr>
        <w:t xml:space="preserve"> 1 </w:t>
      </w:r>
      <w:r>
        <w:rPr>
          <w:rFonts w:hint="eastAsia" w:ascii="宋体" w:hAnsi="宋体" w:eastAsia="宋体" w:cs="宋体"/>
          <w:sz w:val="24"/>
          <w:szCs w:val="24"/>
        </w:rPr>
        <w:t>种方式进行处理。</w:t>
      </w:r>
    </w:p>
    <w:p>
      <w:pPr>
        <w:numPr>
          <w:ilvl w:val="0"/>
          <w:numId w:val="9"/>
        </w:num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如需继续开展合作，待签署协议后转为甲方下期协议预付服务费。</w:t>
      </w:r>
    </w:p>
    <w:p>
      <w:pPr>
        <w:numPr>
          <w:ilvl w:val="0"/>
          <w:numId w:val="9"/>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甲方提交退款申请，乙方确认后将结余退回至甲方指定银行账户。</w:t>
      </w:r>
    </w:p>
    <w:p>
      <w:pPr>
        <w:widowControl/>
        <w:numPr>
          <w:ilvl w:val="0"/>
          <w:numId w:val="1"/>
        </w:num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协议的有效期及变更与终止</w:t>
      </w:r>
    </w:p>
    <w:p>
      <w:pPr>
        <w:numPr>
          <w:ilvl w:val="0"/>
          <w:numId w:val="1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本协议有效期为协议签署之日起</w:t>
      </w:r>
      <w:r>
        <w:rPr>
          <w:rFonts w:hint="eastAsia" w:ascii="宋体" w:hAnsi="宋体" w:eastAsia="宋体" w:cs="宋体"/>
          <w:color w:val="auto"/>
          <w:sz w:val="24"/>
          <w:szCs w:val="24"/>
        </w:rPr>
        <w:t>至202</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u w:val="single"/>
        </w:rPr>
        <w:t xml:space="preserve">年 </w:t>
      </w:r>
      <w:r>
        <w:rPr>
          <w:rFonts w:hint="eastAsia" w:ascii="宋体" w:hAnsi="宋体" w:eastAsia="宋体" w:cs="宋体"/>
          <w:color w:val="auto"/>
          <w:sz w:val="24"/>
          <w:szCs w:val="24"/>
          <w:u w:val="single"/>
          <w:lang w:val="en-US" w:eastAsia="zh-CN"/>
        </w:rPr>
        <w:t>12</w:t>
      </w:r>
      <w:r>
        <w:rPr>
          <w:rFonts w:hint="eastAsia" w:ascii="宋体" w:hAnsi="宋体" w:eastAsia="宋体" w:cs="宋体"/>
          <w:color w:val="auto"/>
          <w:sz w:val="24"/>
          <w:szCs w:val="24"/>
          <w:u w:val="single"/>
        </w:rPr>
        <w:t xml:space="preserve"> 月 </w:t>
      </w:r>
      <w:r>
        <w:rPr>
          <w:rFonts w:hint="eastAsia" w:ascii="宋体" w:hAnsi="宋体" w:eastAsia="宋体" w:cs="宋体"/>
          <w:color w:val="auto"/>
          <w:sz w:val="24"/>
          <w:szCs w:val="24"/>
          <w:u w:val="single"/>
          <w:lang w:val="en-US" w:eastAsia="zh-CN"/>
        </w:rPr>
        <w:t>31</w:t>
      </w:r>
      <w:r>
        <w:rPr>
          <w:rFonts w:hint="eastAsia" w:ascii="宋体" w:hAnsi="宋体" w:eastAsia="宋体" w:cs="宋体"/>
          <w:color w:val="auto"/>
          <w:sz w:val="24"/>
          <w:szCs w:val="24"/>
          <w:u w:val="single"/>
        </w:rPr>
        <w:t xml:space="preserve"> 日</w:t>
      </w:r>
      <w:r>
        <w:rPr>
          <w:rFonts w:hint="eastAsia" w:ascii="宋体" w:hAnsi="宋体" w:eastAsia="宋体" w:cs="宋体"/>
          <w:color w:val="auto"/>
          <w:sz w:val="24"/>
          <w:szCs w:val="24"/>
        </w:rPr>
        <w:t>，</w:t>
      </w:r>
      <w:r>
        <w:rPr>
          <w:rFonts w:hint="eastAsia" w:ascii="宋体" w:hAnsi="宋体" w:eastAsia="宋体" w:cs="宋体"/>
          <w:sz w:val="24"/>
          <w:szCs w:val="24"/>
        </w:rPr>
        <w:t>协议有效期满后自动终止，如需继续开展服务合作须另行签订协议。</w:t>
      </w:r>
    </w:p>
    <w:p>
      <w:pPr>
        <w:numPr>
          <w:ilvl w:val="0"/>
          <w:numId w:val="1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本协议条款不得随意变更或删除，如确须变更协议内容，须经双方协商同意后，另行签订补充服务协议。</w:t>
      </w:r>
    </w:p>
    <w:p>
      <w:pPr>
        <w:numPr>
          <w:ilvl w:val="0"/>
          <w:numId w:val="1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因自然灾害、战争、政策调整等不可抗力等原因导致本协议无法履行，本协议将自动终止。协议终止后乙方应于一个月内将扣除实际发生服务费后的结余退回甲方。</w:t>
      </w:r>
    </w:p>
    <w:p>
      <w:pPr>
        <w:widowControl/>
        <w:numPr>
          <w:ilvl w:val="0"/>
          <w:numId w:val="1"/>
        </w:num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违约责任</w:t>
      </w:r>
    </w:p>
    <w:p>
      <w:pPr>
        <w:numPr>
          <w:ilvl w:val="0"/>
          <w:numId w:val="1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若因甲方人为因素导致送评工作无法顺利进行，影响学位论文送评工作进度以及专家评议结果的，甲方按过错承担责任，因此产生的质量监测服务费由甲方在责任范围内承担，乙方有权暂停甲方平台使用权限或与甲方终止合作。</w:t>
      </w:r>
    </w:p>
    <w:p>
      <w:pPr>
        <w:numPr>
          <w:ilvl w:val="0"/>
          <w:numId w:val="1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若因甲方未按约定及时支付质量监测服务费，导致平台送评服务中断，责任由甲方承担。</w:t>
      </w:r>
    </w:p>
    <w:p>
      <w:pPr>
        <w:numPr>
          <w:ilvl w:val="0"/>
          <w:numId w:val="1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若因乙方人为因素导致送评工作无法顺利进行，影响学位论文送评工作进度以及专家评议结果的，乙方按过错承担责任，因此产生的质量监测服务费由乙方在责任范围内承担，甲方有权终止合作。</w:t>
      </w:r>
    </w:p>
    <w:p>
      <w:pPr>
        <w:numPr>
          <w:ilvl w:val="0"/>
          <w:numId w:val="1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若因人为因素以外的客观原因导致送评工作无法顺利进行，则双方互不承担责任，所产生的费用由双方按照平等原则分担。</w:t>
      </w:r>
    </w:p>
    <w:p>
      <w:pPr>
        <w:widowControl/>
        <w:numPr>
          <w:ilvl w:val="0"/>
          <w:numId w:val="1"/>
        </w:num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争议解决办法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若双方就本协议内容或在执行过程中发生任何争议，由双方协商或请有关部门调解解决；如协商或调解不成，向乙方所在地的法院提出诉讼。</w:t>
      </w:r>
    </w:p>
    <w:p>
      <w:pPr>
        <w:widowControl/>
        <w:numPr>
          <w:ilvl w:val="0"/>
          <w:numId w:val="1"/>
        </w:num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其他</w:t>
      </w:r>
    </w:p>
    <w:p>
      <w:pPr>
        <w:numPr>
          <w:ilvl w:val="0"/>
          <w:numId w:val="12"/>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本协议一式肆份，甲、乙双方各执贰份。公章须为双方法人公章或合同专用章，签字须为双方法定代表人或委托代理人，由委托代理人签字的须提供本单位法定代表人授权的书面证明。</w:t>
      </w:r>
    </w:p>
    <w:p>
      <w:pPr>
        <w:numPr>
          <w:ilvl w:val="0"/>
          <w:numId w:val="12"/>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本协议最终解释权归乙方所有，自双方法定代表人或委托代理人签字并加盖公章之日起生效。</w:t>
      </w:r>
    </w:p>
    <w:p>
      <w:pPr>
        <w:numPr>
          <w:ilvl w:val="0"/>
          <w:numId w:val="0"/>
        </w:numPr>
        <w:spacing w:line="360" w:lineRule="auto"/>
        <w:rPr>
          <w:rFonts w:hint="eastAsia" w:ascii="宋体" w:hAnsi="宋体" w:eastAsia="宋体" w:cs="宋体"/>
          <w:sz w:val="24"/>
          <w:szCs w:val="24"/>
        </w:rPr>
      </w:pPr>
    </w:p>
    <w:tbl>
      <w:tblPr>
        <w:tblStyle w:val="3"/>
        <w:tblW w:w="9363" w:type="dxa"/>
        <w:jc w:val="center"/>
        <w:tblLayout w:type="fixed"/>
        <w:tblCellMar>
          <w:top w:w="0" w:type="dxa"/>
          <w:left w:w="108" w:type="dxa"/>
          <w:bottom w:w="0" w:type="dxa"/>
          <w:right w:w="108" w:type="dxa"/>
        </w:tblCellMar>
      </w:tblPr>
      <w:tblGrid>
        <w:gridCol w:w="3780"/>
        <w:gridCol w:w="3228"/>
        <w:gridCol w:w="2355"/>
      </w:tblGrid>
      <w:tr>
        <w:tblPrEx>
          <w:tblCellMar>
            <w:top w:w="0" w:type="dxa"/>
            <w:left w:w="108" w:type="dxa"/>
            <w:bottom w:w="0" w:type="dxa"/>
            <w:right w:w="108" w:type="dxa"/>
          </w:tblCellMar>
        </w:tblPrEx>
        <w:trPr>
          <w:jc w:val="center"/>
        </w:trPr>
        <w:tc>
          <w:tcPr>
            <w:tcW w:w="3780" w:type="dxa"/>
            <w:noWrap w:val="0"/>
            <w:vAlign w:val="center"/>
          </w:tcPr>
          <w:p>
            <w:pPr>
              <w:spacing w:line="480" w:lineRule="auto"/>
              <w:rPr>
                <w:rFonts w:ascii="宋体" w:cs="宋体"/>
                <w:color w:val="000000"/>
                <w:sz w:val="24"/>
                <w:szCs w:val="24"/>
              </w:rPr>
            </w:pPr>
            <w:r>
              <w:rPr>
                <w:rFonts w:hint="eastAsia" w:ascii="宋体" w:hAnsi="宋体" w:cs="宋体"/>
                <w:color w:val="000000"/>
                <w:sz w:val="24"/>
                <w:szCs w:val="24"/>
              </w:rPr>
              <w:t>甲方：西安石油大学（盖章）</w:t>
            </w:r>
          </w:p>
        </w:tc>
        <w:tc>
          <w:tcPr>
            <w:tcW w:w="3228" w:type="dxa"/>
            <w:noWrap w:val="0"/>
            <w:vAlign w:val="center"/>
          </w:tcPr>
          <w:p>
            <w:pPr>
              <w:spacing w:line="480" w:lineRule="auto"/>
              <w:rPr>
                <w:rFonts w:ascii="宋体" w:cs="宋体"/>
                <w:color w:val="000000"/>
                <w:sz w:val="24"/>
                <w:szCs w:val="24"/>
              </w:rPr>
            </w:pPr>
            <w:r>
              <w:rPr>
                <w:rFonts w:hint="eastAsia" w:ascii="宋体" w:hAnsi="宋体" w:cs="宋体"/>
                <w:color w:val="000000"/>
                <w:sz w:val="24"/>
                <w:szCs w:val="24"/>
              </w:rPr>
              <w:t>乙方：××公司（盖章）</w:t>
            </w:r>
          </w:p>
        </w:tc>
        <w:tc>
          <w:tcPr>
            <w:tcW w:w="2355" w:type="dxa"/>
            <w:vMerge w:val="restart"/>
            <w:noWrap w:val="0"/>
            <w:vAlign w:val="top"/>
          </w:tcPr>
          <w:p>
            <w:pPr>
              <w:spacing w:line="480" w:lineRule="auto"/>
              <w:rPr>
                <w:rFonts w:ascii="宋体" w:cs="宋体"/>
                <w:color w:val="000000"/>
                <w:sz w:val="24"/>
                <w:szCs w:val="24"/>
              </w:rPr>
            </w:pPr>
            <w:r>
              <w:rPr>
                <w:rFonts w:hint="eastAsia" w:ascii="宋体" w:hAnsi="宋体" w:cs="宋体"/>
                <w:color w:val="000000"/>
                <w:sz w:val="24"/>
                <w:szCs w:val="24"/>
              </w:rPr>
              <w:t>见证方：××（盖章）</w:t>
            </w:r>
          </w:p>
        </w:tc>
      </w:tr>
      <w:tr>
        <w:tblPrEx>
          <w:tblCellMar>
            <w:top w:w="0" w:type="dxa"/>
            <w:left w:w="108" w:type="dxa"/>
            <w:bottom w:w="0" w:type="dxa"/>
            <w:right w:w="108" w:type="dxa"/>
          </w:tblCellMar>
        </w:tblPrEx>
        <w:trPr>
          <w:jc w:val="center"/>
        </w:trPr>
        <w:tc>
          <w:tcPr>
            <w:tcW w:w="3780" w:type="dxa"/>
            <w:noWrap w:val="0"/>
            <w:vAlign w:val="center"/>
          </w:tcPr>
          <w:p>
            <w:pPr>
              <w:spacing w:line="480" w:lineRule="auto"/>
              <w:rPr>
                <w:rFonts w:ascii="宋体" w:cs="宋体"/>
                <w:color w:val="000000"/>
                <w:sz w:val="24"/>
                <w:szCs w:val="24"/>
              </w:rPr>
            </w:pPr>
            <w:r>
              <w:rPr>
                <w:rFonts w:hint="eastAsia" w:ascii="宋体" w:hAnsi="宋体" w:cs="宋体"/>
                <w:color w:val="000000"/>
                <w:sz w:val="24"/>
                <w:szCs w:val="24"/>
              </w:rPr>
              <w:t>法人或委托代理人：</w:t>
            </w:r>
          </w:p>
        </w:tc>
        <w:tc>
          <w:tcPr>
            <w:tcW w:w="3228" w:type="dxa"/>
            <w:noWrap w:val="0"/>
            <w:vAlign w:val="center"/>
          </w:tcPr>
          <w:p>
            <w:pPr>
              <w:spacing w:line="480" w:lineRule="auto"/>
              <w:rPr>
                <w:rFonts w:ascii="宋体" w:cs="宋体"/>
                <w:color w:val="000000"/>
                <w:sz w:val="24"/>
                <w:szCs w:val="24"/>
              </w:rPr>
            </w:pPr>
            <w:r>
              <w:rPr>
                <w:rFonts w:hint="eastAsia" w:ascii="宋体" w:hAnsi="宋体" w:cs="宋体"/>
                <w:color w:val="000000"/>
                <w:sz w:val="24"/>
                <w:szCs w:val="24"/>
              </w:rPr>
              <w:t>法人或委托代理人：</w:t>
            </w:r>
          </w:p>
        </w:tc>
        <w:tc>
          <w:tcPr>
            <w:tcW w:w="2355" w:type="dxa"/>
            <w:vMerge w:val="continue"/>
            <w:noWrap w:val="0"/>
            <w:vAlign w:val="center"/>
          </w:tcPr>
          <w:p>
            <w:pPr>
              <w:spacing w:line="480" w:lineRule="auto"/>
              <w:ind w:firstLine="360" w:firstLineChars="150"/>
              <w:rPr>
                <w:rFonts w:ascii="宋体" w:cs="宋体"/>
                <w:color w:val="000000"/>
                <w:sz w:val="24"/>
                <w:szCs w:val="24"/>
              </w:rPr>
            </w:pPr>
          </w:p>
        </w:tc>
      </w:tr>
      <w:tr>
        <w:tblPrEx>
          <w:tblCellMar>
            <w:top w:w="0" w:type="dxa"/>
            <w:left w:w="108" w:type="dxa"/>
            <w:bottom w:w="0" w:type="dxa"/>
            <w:right w:w="108" w:type="dxa"/>
          </w:tblCellMar>
        </w:tblPrEx>
        <w:trPr>
          <w:jc w:val="center"/>
        </w:trPr>
        <w:tc>
          <w:tcPr>
            <w:tcW w:w="3780" w:type="dxa"/>
            <w:noWrap w:val="0"/>
            <w:vAlign w:val="center"/>
          </w:tcPr>
          <w:p>
            <w:pPr>
              <w:spacing w:line="480" w:lineRule="auto"/>
              <w:rPr>
                <w:rFonts w:ascii="宋体" w:cs="宋体"/>
                <w:color w:val="000000"/>
                <w:sz w:val="24"/>
                <w:szCs w:val="24"/>
              </w:rPr>
            </w:pPr>
            <w:r>
              <w:rPr>
                <w:rFonts w:hint="eastAsia" w:ascii="宋体" w:hAnsi="宋体" w:cs="宋体"/>
                <w:color w:val="000000"/>
                <w:sz w:val="24"/>
                <w:szCs w:val="24"/>
              </w:rPr>
              <w:t>户名：西安石油大学</w:t>
            </w:r>
          </w:p>
        </w:tc>
        <w:tc>
          <w:tcPr>
            <w:tcW w:w="3228" w:type="dxa"/>
            <w:noWrap w:val="0"/>
            <w:vAlign w:val="center"/>
          </w:tcPr>
          <w:p>
            <w:pPr>
              <w:spacing w:line="480" w:lineRule="auto"/>
              <w:rPr>
                <w:rFonts w:ascii="宋体" w:cs="宋体"/>
                <w:color w:val="000000"/>
                <w:sz w:val="24"/>
                <w:szCs w:val="24"/>
              </w:rPr>
            </w:pPr>
            <w:r>
              <w:rPr>
                <w:rFonts w:hint="eastAsia" w:ascii="宋体" w:hAnsi="宋体" w:cs="宋体"/>
                <w:color w:val="000000"/>
                <w:sz w:val="24"/>
                <w:szCs w:val="24"/>
              </w:rPr>
              <w:t>户名：</w:t>
            </w:r>
          </w:p>
        </w:tc>
        <w:tc>
          <w:tcPr>
            <w:tcW w:w="2355" w:type="dxa"/>
            <w:vMerge w:val="continue"/>
            <w:noWrap w:val="0"/>
            <w:vAlign w:val="center"/>
          </w:tcPr>
          <w:p>
            <w:pPr>
              <w:spacing w:line="480" w:lineRule="auto"/>
              <w:ind w:firstLine="360" w:firstLineChars="150"/>
              <w:rPr>
                <w:rFonts w:ascii="宋体" w:cs="宋体"/>
                <w:color w:val="000000"/>
                <w:sz w:val="24"/>
                <w:szCs w:val="24"/>
              </w:rPr>
            </w:pPr>
          </w:p>
        </w:tc>
      </w:tr>
      <w:tr>
        <w:tblPrEx>
          <w:tblCellMar>
            <w:top w:w="0" w:type="dxa"/>
            <w:left w:w="108" w:type="dxa"/>
            <w:bottom w:w="0" w:type="dxa"/>
            <w:right w:w="108" w:type="dxa"/>
          </w:tblCellMar>
        </w:tblPrEx>
        <w:trPr>
          <w:jc w:val="center"/>
        </w:trPr>
        <w:tc>
          <w:tcPr>
            <w:tcW w:w="3780" w:type="dxa"/>
            <w:noWrap w:val="0"/>
            <w:vAlign w:val="center"/>
          </w:tcPr>
          <w:p>
            <w:pPr>
              <w:spacing w:line="480" w:lineRule="auto"/>
              <w:rPr>
                <w:rFonts w:ascii="宋体" w:cs="宋体"/>
                <w:color w:val="000000"/>
                <w:sz w:val="24"/>
                <w:szCs w:val="24"/>
              </w:rPr>
            </w:pPr>
            <w:r>
              <w:rPr>
                <w:rFonts w:hint="eastAsia" w:ascii="宋体" w:hAnsi="宋体" w:cs="宋体"/>
                <w:color w:val="000000"/>
                <w:sz w:val="24"/>
                <w:szCs w:val="24"/>
              </w:rPr>
              <w:t>开户行：工行西安电子工业区支行</w:t>
            </w:r>
          </w:p>
        </w:tc>
        <w:tc>
          <w:tcPr>
            <w:tcW w:w="3228" w:type="dxa"/>
            <w:noWrap w:val="0"/>
            <w:vAlign w:val="center"/>
          </w:tcPr>
          <w:p>
            <w:pPr>
              <w:spacing w:line="480" w:lineRule="auto"/>
              <w:rPr>
                <w:rFonts w:ascii="宋体" w:cs="宋体"/>
                <w:color w:val="000000"/>
                <w:sz w:val="24"/>
                <w:szCs w:val="24"/>
              </w:rPr>
            </w:pPr>
            <w:r>
              <w:rPr>
                <w:rFonts w:hint="eastAsia" w:ascii="宋体" w:hAnsi="宋体" w:cs="宋体"/>
                <w:color w:val="000000"/>
                <w:sz w:val="24"/>
                <w:szCs w:val="24"/>
              </w:rPr>
              <w:t>开户行：</w:t>
            </w:r>
          </w:p>
        </w:tc>
        <w:tc>
          <w:tcPr>
            <w:tcW w:w="2355" w:type="dxa"/>
            <w:noWrap w:val="0"/>
            <w:vAlign w:val="center"/>
          </w:tcPr>
          <w:p>
            <w:pPr>
              <w:spacing w:line="480" w:lineRule="auto"/>
              <w:rPr>
                <w:rFonts w:ascii="宋体" w:cs="宋体"/>
                <w:color w:val="000000"/>
                <w:sz w:val="24"/>
                <w:szCs w:val="24"/>
              </w:rPr>
            </w:pPr>
            <w:r>
              <w:rPr>
                <w:rFonts w:hint="eastAsia" w:ascii="宋体" w:hAnsi="宋体" w:cs="宋体"/>
                <w:color w:val="000000"/>
                <w:sz w:val="24"/>
                <w:szCs w:val="24"/>
              </w:rPr>
              <w:t>代表签字：</w:t>
            </w:r>
          </w:p>
        </w:tc>
      </w:tr>
      <w:tr>
        <w:tblPrEx>
          <w:tblCellMar>
            <w:top w:w="0" w:type="dxa"/>
            <w:left w:w="108" w:type="dxa"/>
            <w:bottom w:w="0" w:type="dxa"/>
            <w:right w:w="108" w:type="dxa"/>
          </w:tblCellMar>
        </w:tblPrEx>
        <w:trPr>
          <w:jc w:val="center"/>
        </w:trPr>
        <w:tc>
          <w:tcPr>
            <w:tcW w:w="3780" w:type="dxa"/>
            <w:noWrap w:val="0"/>
            <w:vAlign w:val="center"/>
          </w:tcPr>
          <w:p>
            <w:pPr>
              <w:spacing w:line="480" w:lineRule="auto"/>
              <w:rPr>
                <w:rFonts w:ascii="宋体" w:hAnsi="宋体" w:cs="宋体"/>
                <w:color w:val="000000"/>
                <w:sz w:val="24"/>
                <w:szCs w:val="24"/>
              </w:rPr>
            </w:pPr>
            <w:r>
              <w:rPr>
                <w:rFonts w:hint="eastAsia" w:ascii="宋体" w:hAnsi="宋体" w:cs="宋体"/>
                <w:color w:val="000000"/>
                <w:sz w:val="24"/>
                <w:szCs w:val="24"/>
              </w:rPr>
              <w:t>帐号：</w:t>
            </w:r>
            <w:r>
              <w:rPr>
                <w:rFonts w:ascii="宋体" w:hAnsi="宋体" w:cs="宋体"/>
                <w:color w:val="000000"/>
                <w:sz w:val="24"/>
                <w:szCs w:val="24"/>
              </w:rPr>
              <w:t>3700023209014488850</w:t>
            </w:r>
          </w:p>
        </w:tc>
        <w:tc>
          <w:tcPr>
            <w:tcW w:w="3228" w:type="dxa"/>
            <w:noWrap w:val="0"/>
            <w:vAlign w:val="center"/>
          </w:tcPr>
          <w:p>
            <w:pPr>
              <w:spacing w:line="480" w:lineRule="auto"/>
              <w:rPr>
                <w:rFonts w:ascii="宋体" w:cs="宋体"/>
                <w:color w:val="000000"/>
                <w:sz w:val="24"/>
                <w:szCs w:val="24"/>
              </w:rPr>
            </w:pPr>
            <w:r>
              <w:rPr>
                <w:rFonts w:hint="eastAsia" w:ascii="宋体" w:hAnsi="宋体" w:cs="宋体"/>
                <w:color w:val="000000"/>
                <w:sz w:val="24"/>
                <w:szCs w:val="24"/>
              </w:rPr>
              <w:t>帐号：</w:t>
            </w:r>
          </w:p>
        </w:tc>
        <w:tc>
          <w:tcPr>
            <w:tcW w:w="2355" w:type="dxa"/>
            <w:noWrap w:val="0"/>
            <w:vAlign w:val="center"/>
          </w:tcPr>
          <w:p>
            <w:pPr>
              <w:spacing w:line="480" w:lineRule="auto"/>
              <w:ind w:firstLine="360" w:firstLineChars="150"/>
              <w:rPr>
                <w:rFonts w:ascii="宋体" w:cs="宋体"/>
                <w:color w:val="000000"/>
                <w:sz w:val="24"/>
                <w:szCs w:val="24"/>
              </w:rPr>
            </w:pPr>
          </w:p>
        </w:tc>
      </w:tr>
      <w:tr>
        <w:tblPrEx>
          <w:tblCellMar>
            <w:top w:w="0" w:type="dxa"/>
            <w:left w:w="108" w:type="dxa"/>
            <w:bottom w:w="0" w:type="dxa"/>
            <w:right w:w="108" w:type="dxa"/>
          </w:tblCellMar>
        </w:tblPrEx>
        <w:trPr>
          <w:jc w:val="center"/>
        </w:trPr>
        <w:tc>
          <w:tcPr>
            <w:tcW w:w="3780" w:type="dxa"/>
            <w:noWrap w:val="0"/>
            <w:vAlign w:val="center"/>
          </w:tcPr>
          <w:p>
            <w:pPr>
              <w:spacing w:line="480" w:lineRule="auto"/>
              <w:rPr>
                <w:rFonts w:ascii="宋体" w:hAnsi="宋体" w:cs="宋体"/>
                <w:color w:val="000000"/>
                <w:sz w:val="24"/>
                <w:szCs w:val="24"/>
              </w:rPr>
            </w:pPr>
            <w:r>
              <w:rPr>
                <w:rFonts w:hint="eastAsia" w:ascii="宋体" w:hAnsi="宋体" w:cs="宋体"/>
                <w:color w:val="000000"/>
                <w:sz w:val="24"/>
                <w:szCs w:val="24"/>
              </w:rPr>
              <w:t>电话：</w:t>
            </w:r>
            <w:r>
              <w:rPr>
                <w:rFonts w:ascii="宋体" w:hAnsi="宋体" w:cs="宋体"/>
                <w:color w:val="000000"/>
                <w:sz w:val="24"/>
                <w:szCs w:val="24"/>
              </w:rPr>
              <w:t>029—88382337</w:t>
            </w:r>
          </w:p>
        </w:tc>
        <w:tc>
          <w:tcPr>
            <w:tcW w:w="3228" w:type="dxa"/>
            <w:noWrap w:val="0"/>
            <w:vAlign w:val="center"/>
          </w:tcPr>
          <w:p>
            <w:pPr>
              <w:spacing w:line="480" w:lineRule="auto"/>
              <w:rPr>
                <w:rFonts w:ascii="宋体" w:hAnsi="宋体" w:cs="宋体"/>
                <w:color w:val="000000"/>
                <w:sz w:val="24"/>
                <w:szCs w:val="24"/>
              </w:rPr>
            </w:pPr>
            <w:r>
              <w:rPr>
                <w:rFonts w:hint="eastAsia" w:ascii="宋体" w:hAnsi="宋体" w:cs="宋体"/>
                <w:color w:val="000000"/>
                <w:sz w:val="24"/>
                <w:szCs w:val="24"/>
              </w:rPr>
              <w:t>电话</w:t>
            </w:r>
            <w:r>
              <w:rPr>
                <w:rFonts w:ascii="宋体" w:hAnsi="宋体" w:cs="宋体"/>
                <w:color w:val="000000"/>
                <w:sz w:val="24"/>
                <w:szCs w:val="24"/>
              </w:rPr>
              <w:t xml:space="preserve">: </w:t>
            </w:r>
          </w:p>
        </w:tc>
        <w:tc>
          <w:tcPr>
            <w:tcW w:w="2355" w:type="dxa"/>
            <w:noWrap w:val="0"/>
            <w:vAlign w:val="center"/>
          </w:tcPr>
          <w:p>
            <w:pPr>
              <w:spacing w:line="480" w:lineRule="auto"/>
              <w:rPr>
                <w:rFonts w:ascii="宋体" w:cs="宋体"/>
                <w:color w:val="000000"/>
                <w:sz w:val="24"/>
                <w:szCs w:val="24"/>
              </w:rPr>
            </w:pPr>
            <w:r>
              <w:rPr>
                <w:rFonts w:hint="eastAsia" w:ascii="宋体" w:hAnsi="宋体" w:cs="宋体"/>
                <w:color w:val="000000"/>
                <w:sz w:val="24"/>
                <w:szCs w:val="24"/>
              </w:rPr>
              <w:t>电话：</w:t>
            </w:r>
          </w:p>
        </w:tc>
      </w:tr>
      <w:tr>
        <w:tblPrEx>
          <w:tblCellMar>
            <w:top w:w="0" w:type="dxa"/>
            <w:left w:w="108" w:type="dxa"/>
            <w:bottom w:w="0" w:type="dxa"/>
            <w:right w:w="108" w:type="dxa"/>
          </w:tblCellMar>
        </w:tblPrEx>
        <w:trPr>
          <w:jc w:val="center"/>
        </w:trPr>
        <w:tc>
          <w:tcPr>
            <w:tcW w:w="3780" w:type="dxa"/>
            <w:noWrap w:val="0"/>
            <w:vAlign w:val="center"/>
          </w:tcPr>
          <w:p>
            <w:pPr>
              <w:spacing w:line="480" w:lineRule="auto"/>
              <w:rPr>
                <w:rFonts w:ascii="宋体" w:cs="宋体"/>
                <w:color w:val="000000"/>
                <w:sz w:val="24"/>
                <w:szCs w:val="24"/>
              </w:rPr>
            </w:pPr>
            <w:r>
              <w:rPr>
                <w:rFonts w:hint="eastAsia" w:ascii="宋体" w:hAnsi="宋体" w:cs="宋体"/>
                <w:color w:val="000000"/>
                <w:sz w:val="24"/>
                <w:szCs w:val="24"/>
              </w:rPr>
              <w:t>地址：西安市电子二路</w:t>
            </w:r>
            <w:r>
              <w:rPr>
                <w:rFonts w:ascii="宋体" w:hAnsi="宋体" w:cs="宋体"/>
                <w:color w:val="000000"/>
                <w:sz w:val="24"/>
                <w:szCs w:val="24"/>
              </w:rPr>
              <w:t>18</w:t>
            </w:r>
            <w:r>
              <w:rPr>
                <w:rFonts w:hint="eastAsia" w:ascii="宋体" w:hAnsi="宋体" w:cs="宋体"/>
                <w:color w:val="000000"/>
                <w:sz w:val="24"/>
                <w:szCs w:val="24"/>
              </w:rPr>
              <w:t>号</w:t>
            </w:r>
          </w:p>
        </w:tc>
        <w:tc>
          <w:tcPr>
            <w:tcW w:w="3228" w:type="dxa"/>
            <w:noWrap w:val="0"/>
            <w:vAlign w:val="center"/>
          </w:tcPr>
          <w:p>
            <w:pPr>
              <w:spacing w:line="480" w:lineRule="auto"/>
              <w:rPr>
                <w:rFonts w:ascii="宋体" w:cs="宋体"/>
                <w:color w:val="000000"/>
                <w:sz w:val="24"/>
                <w:szCs w:val="24"/>
              </w:rPr>
            </w:pPr>
            <w:r>
              <w:rPr>
                <w:rFonts w:hint="eastAsia" w:ascii="宋体" w:hAnsi="宋体" w:cs="宋体"/>
                <w:color w:val="000000"/>
                <w:sz w:val="24"/>
                <w:szCs w:val="24"/>
              </w:rPr>
              <w:t>地址：</w:t>
            </w:r>
          </w:p>
        </w:tc>
        <w:tc>
          <w:tcPr>
            <w:tcW w:w="2355" w:type="dxa"/>
            <w:noWrap w:val="0"/>
            <w:vAlign w:val="center"/>
          </w:tcPr>
          <w:p>
            <w:pPr>
              <w:spacing w:line="480" w:lineRule="auto"/>
              <w:rPr>
                <w:rFonts w:ascii="宋体" w:cs="宋体"/>
                <w:color w:val="000000"/>
                <w:sz w:val="24"/>
                <w:szCs w:val="24"/>
              </w:rPr>
            </w:pPr>
            <w:r>
              <w:rPr>
                <w:rFonts w:hint="eastAsia" w:ascii="宋体" w:hAnsi="宋体" w:cs="宋体"/>
                <w:color w:val="000000"/>
                <w:sz w:val="24"/>
                <w:szCs w:val="24"/>
              </w:rPr>
              <w:t>地址：</w:t>
            </w:r>
          </w:p>
        </w:tc>
      </w:tr>
      <w:tr>
        <w:tblPrEx>
          <w:tblCellMar>
            <w:top w:w="0" w:type="dxa"/>
            <w:left w:w="108" w:type="dxa"/>
            <w:bottom w:w="0" w:type="dxa"/>
            <w:right w:w="108" w:type="dxa"/>
          </w:tblCellMar>
        </w:tblPrEx>
        <w:trPr>
          <w:jc w:val="center"/>
        </w:trPr>
        <w:tc>
          <w:tcPr>
            <w:tcW w:w="3780" w:type="dxa"/>
            <w:noWrap w:val="0"/>
            <w:vAlign w:val="center"/>
          </w:tcPr>
          <w:p>
            <w:pPr>
              <w:spacing w:line="480" w:lineRule="auto"/>
              <w:rPr>
                <w:rFonts w:ascii="宋体" w:cs="宋体"/>
                <w:color w:val="000000"/>
                <w:sz w:val="24"/>
                <w:szCs w:val="24"/>
              </w:rPr>
            </w:pPr>
            <w:r>
              <w:rPr>
                <w:rFonts w:hint="eastAsia" w:ascii="宋体" w:hAnsi="宋体" w:cs="宋体"/>
                <w:color w:val="000000"/>
                <w:sz w:val="24"/>
                <w:szCs w:val="24"/>
              </w:rPr>
              <w:t>日期</w:t>
            </w:r>
            <w:r>
              <w:rPr>
                <w:rFonts w:ascii="宋体" w:hAnsi="宋体" w:cs="宋体"/>
                <w:color w:val="000000"/>
                <w:sz w:val="24"/>
                <w:szCs w:val="24"/>
              </w:rPr>
              <w:t>: 20</w:t>
            </w:r>
            <w:r>
              <w:rPr>
                <w:rFonts w:hint="eastAsia" w:ascii="宋体" w:hAnsi="宋体" w:cs="宋体"/>
                <w:color w:val="000000"/>
                <w:sz w:val="24"/>
                <w:szCs w:val="24"/>
                <w:lang w:val="en-US" w:eastAsia="zh-CN"/>
              </w:rPr>
              <w:t>2</w:t>
            </w:r>
            <w:r>
              <w:rPr>
                <w:rFonts w:ascii="宋体" w:hAnsi="宋体" w:cs="宋体"/>
                <w:color w:val="000000"/>
                <w:sz w:val="24"/>
                <w:szCs w:val="24"/>
              </w:rPr>
              <w:t xml:space="preserve">  </w:t>
            </w:r>
            <w:r>
              <w:rPr>
                <w:rFonts w:hint="eastAsia" w:ascii="宋体" w:hAnsi="宋体" w:cs="宋体"/>
                <w:color w:val="000000"/>
                <w:sz w:val="24"/>
                <w:szCs w:val="24"/>
              </w:rPr>
              <w:t>年</w:t>
            </w:r>
            <w:r>
              <w:rPr>
                <w:rFonts w:ascii="宋体" w:hAnsi="宋体" w:cs="宋体"/>
                <w:color w:val="000000"/>
                <w:sz w:val="24"/>
                <w:szCs w:val="24"/>
              </w:rPr>
              <w:t xml:space="preserve">  </w:t>
            </w:r>
            <w:r>
              <w:rPr>
                <w:rFonts w:hint="eastAsia" w:ascii="宋体" w:hAnsi="宋体" w:cs="宋体"/>
                <w:color w:val="000000"/>
                <w:sz w:val="24"/>
                <w:szCs w:val="24"/>
              </w:rPr>
              <w:t>月</w:t>
            </w:r>
            <w:r>
              <w:rPr>
                <w:rFonts w:ascii="宋体" w:hAnsi="宋体" w:cs="宋体"/>
                <w:color w:val="000000"/>
                <w:sz w:val="24"/>
                <w:szCs w:val="24"/>
              </w:rPr>
              <w:t xml:space="preserve">  </w:t>
            </w:r>
            <w:r>
              <w:rPr>
                <w:rFonts w:hint="eastAsia" w:ascii="宋体" w:hAnsi="宋体" w:cs="宋体"/>
                <w:color w:val="000000"/>
                <w:sz w:val="24"/>
                <w:szCs w:val="24"/>
              </w:rPr>
              <w:t>日</w:t>
            </w:r>
          </w:p>
        </w:tc>
        <w:tc>
          <w:tcPr>
            <w:tcW w:w="3228" w:type="dxa"/>
            <w:noWrap w:val="0"/>
            <w:vAlign w:val="center"/>
          </w:tcPr>
          <w:p>
            <w:pPr>
              <w:spacing w:line="480" w:lineRule="auto"/>
              <w:rPr>
                <w:rFonts w:ascii="宋体" w:cs="宋体"/>
                <w:color w:val="000000"/>
                <w:sz w:val="24"/>
                <w:szCs w:val="24"/>
              </w:rPr>
            </w:pPr>
            <w:r>
              <w:rPr>
                <w:rFonts w:hint="eastAsia" w:ascii="宋体" w:hAnsi="宋体" w:cs="宋体"/>
                <w:color w:val="000000"/>
                <w:sz w:val="24"/>
                <w:szCs w:val="24"/>
              </w:rPr>
              <w:t>日期</w:t>
            </w:r>
            <w:r>
              <w:rPr>
                <w:rFonts w:ascii="宋体" w:hAnsi="宋体" w:cs="宋体"/>
                <w:color w:val="000000"/>
                <w:sz w:val="24"/>
                <w:szCs w:val="24"/>
              </w:rPr>
              <w:t>: 20</w:t>
            </w:r>
            <w:r>
              <w:rPr>
                <w:rFonts w:hint="eastAsia" w:ascii="宋体" w:hAnsi="宋体" w:cs="宋体"/>
                <w:color w:val="000000"/>
                <w:sz w:val="24"/>
                <w:szCs w:val="24"/>
                <w:lang w:val="en-US" w:eastAsia="zh-CN"/>
              </w:rPr>
              <w:t>2</w:t>
            </w:r>
            <w:r>
              <w:rPr>
                <w:rFonts w:ascii="宋体" w:hAnsi="宋体" w:cs="宋体"/>
                <w:color w:val="000000"/>
                <w:sz w:val="24"/>
                <w:szCs w:val="24"/>
              </w:rPr>
              <w:t xml:space="preserve">  </w:t>
            </w:r>
            <w:r>
              <w:rPr>
                <w:rFonts w:hint="eastAsia" w:ascii="宋体" w:hAnsi="宋体" w:cs="宋体"/>
                <w:color w:val="000000"/>
                <w:sz w:val="24"/>
                <w:szCs w:val="24"/>
              </w:rPr>
              <w:t>年</w:t>
            </w:r>
            <w:r>
              <w:rPr>
                <w:rFonts w:ascii="宋体" w:hAnsi="宋体" w:cs="宋体"/>
                <w:color w:val="000000"/>
                <w:sz w:val="24"/>
                <w:szCs w:val="24"/>
              </w:rPr>
              <w:t xml:space="preserve">  </w:t>
            </w:r>
            <w:r>
              <w:rPr>
                <w:rFonts w:hint="eastAsia" w:ascii="宋体" w:hAnsi="宋体" w:cs="宋体"/>
                <w:color w:val="000000"/>
                <w:sz w:val="24"/>
                <w:szCs w:val="24"/>
              </w:rPr>
              <w:t>月</w:t>
            </w:r>
            <w:r>
              <w:rPr>
                <w:rFonts w:ascii="宋体" w:hAnsi="宋体" w:cs="宋体"/>
                <w:color w:val="000000"/>
                <w:sz w:val="24"/>
                <w:szCs w:val="24"/>
              </w:rPr>
              <w:t xml:space="preserve">  </w:t>
            </w:r>
            <w:r>
              <w:rPr>
                <w:rFonts w:hint="eastAsia" w:ascii="宋体" w:hAnsi="宋体" w:cs="宋体"/>
                <w:color w:val="000000"/>
                <w:sz w:val="24"/>
                <w:szCs w:val="24"/>
              </w:rPr>
              <w:t>日</w:t>
            </w:r>
          </w:p>
        </w:tc>
        <w:tc>
          <w:tcPr>
            <w:tcW w:w="2355" w:type="dxa"/>
            <w:noWrap w:val="0"/>
            <w:vAlign w:val="center"/>
          </w:tcPr>
          <w:p>
            <w:pPr>
              <w:spacing w:line="480" w:lineRule="auto"/>
              <w:ind w:firstLine="360" w:firstLineChars="150"/>
              <w:rPr>
                <w:rFonts w:ascii="宋体" w:cs="宋体"/>
                <w:color w:val="000000"/>
                <w:sz w:val="24"/>
                <w:szCs w:val="24"/>
              </w:rPr>
            </w:pP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703584"/>
    <w:multiLevelType w:val="singleLevel"/>
    <w:tmpl w:val="AA703584"/>
    <w:lvl w:ilvl="0" w:tentative="0">
      <w:start w:val="1"/>
      <w:numFmt w:val="chineseCounting"/>
      <w:suff w:val="nothing"/>
      <w:lvlText w:val="（%1）"/>
      <w:lvlJc w:val="left"/>
      <w:rPr>
        <w:rFonts w:hint="eastAsia"/>
      </w:rPr>
    </w:lvl>
  </w:abstractNum>
  <w:abstractNum w:abstractNumId="1">
    <w:nsid w:val="C0DBED7D"/>
    <w:multiLevelType w:val="singleLevel"/>
    <w:tmpl w:val="C0DBED7D"/>
    <w:lvl w:ilvl="0" w:tentative="0">
      <w:start w:val="1"/>
      <w:numFmt w:val="chineseCounting"/>
      <w:suff w:val="nothing"/>
      <w:lvlText w:val="（%1）"/>
      <w:lvlJc w:val="left"/>
      <w:pPr>
        <w:ind w:left="0" w:firstLine="420"/>
      </w:pPr>
      <w:rPr>
        <w:rFonts w:hint="eastAsia"/>
      </w:rPr>
    </w:lvl>
  </w:abstractNum>
  <w:abstractNum w:abstractNumId="2">
    <w:nsid w:val="DB7B02B1"/>
    <w:multiLevelType w:val="singleLevel"/>
    <w:tmpl w:val="DB7B02B1"/>
    <w:lvl w:ilvl="0" w:tentative="0">
      <w:start w:val="1"/>
      <w:numFmt w:val="chineseCounting"/>
      <w:suff w:val="nothing"/>
      <w:lvlText w:val="（%1）"/>
      <w:lvlJc w:val="left"/>
      <w:pPr>
        <w:ind w:left="0" w:firstLine="420"/>
      </w:pPr>
      <w:rPr>
        <w:rFonts w:hint="eastAsia"/>
      </w:rPr>
    </w:lvl>
  </w:abstractNum>
  <w:abstractNum w:abstractNumId="3">
    <w:nsid w:val="E53AE426"/>
    <w:multiLevelType w:val="singleLevel"/>
    <w:tmpl w:val="E53AE426"/>
    <w:lvl w:ilvl="0" w:tentative="0">
      <w:start w:val="1"/>
      <w:numFmt w:val="chineseCounting"/>
      <w:suff w:val="nothing"/>
      <w:lvlText w:val="（%1）"/>
      <w:lvlJc w:val="left"/>
      <w:pPr>
        <w:ind w:left="-210" w:firstLine="420"/>
      </w:pPr>
      <w:rPr>
        <w:rFonts w:hint="eastAsia"/>
      </w:rPr>
    </w:lvl>
  </w:abstractNum>
  <w:abstractNum w:abstractNumId="4">
    <w:nsid w:val="EBC3FBBF"/>
    <w:multiLevelType w:val="singleLevel"/>
    <w:tmpl w:val="EBC3FBBF"/>
    <w:lvl w:ilvl="0" w:tentative="0">
      <w:start w:val="1"/>
      <w:numFmt w:val="chineseCounting"/>
      <w:suff w:val="nothing"/>
      <w:lvlText w:val="（%1）"/>
      <w:lvlJc w:val="left"/>
      <w:pPr>
        <w:ind w:left="0" w:firstLine="420"/>
      </w:pPr>
      <w:rPr>
        <w:rFonts w:hint="eastAsia"/>
      </w:rPr>
    </w:lvl>
  </w:abstractNum>
  <w:abstractNum w:abstractNumId="5">
    <w:nsid w:val="F181BAFF"/>
    <w:multiLevelType w:val="singleLevel"/>
    <w:tmpl w:val="F181BAFF"/>
    <w:lvl w:ilvl="0" w:tentative="0">
      <w:start w:val="1"/>
      <w:numFmt w:val="decimal"/>
      <w:lvlText w:val="%1."/>
      <w:lvlJc w:val="left"/>
      <w:pPr>
        <w:tabs>
          <w:tab w:val="left" w:pos="312"/>
        </w:tabs>
      </w:pPr>
    </w:lvl>
  </w:abstractNum>
  <w:abstractNum w:abstractNumId="6">
    <w:nsid w:val="0C771DDB"/>
    <w:multiLevelType w:val="singleLevel"/>
    <w:tmpl w:val="0C771DDB"/>
    <w:lvl w:ilvl="0" w:tentative="0">
      <w:start w:val="2"/>
      <w:numFmt w:val="chineseCounting"/>
      <w:suff w:val="space"/>
      <w:lvlText w:val="第%1条"/>
      <w:lvlJc w:val="left"/>
      <w:rPr>
        <w:rFonts w:hint="eastAsia"/>
      </w:rPr>
    </w:lvl>
  </w:abstractNum>
  <w:abstractNum w:abstractNumId="7">
    <w:nsid w:val="0FA23393"/>
    <w:multiLevelType w:val="singleLevel"/>
    <w:tmpl w:val="0FA23393"/>
    <w:lvl w:ilvl="0" w:tentative="0">
      <w:start w:val="1"/>
      <w:numFmt w:val="decimal"/>
      <w:lvlText w:val="%1."/>
      <w:lvlJc w:val="left"/>
      <w:pPr>
        <w:tabs>
          <w:tab w:val="left" w:pos="312"/>
        </w:tabs>
      </w:pPr>
    </w:lvl>
  </w:abstractNum>
  <w:abstractNum w:abstractNumId="8">
    <w:nsid w:val="2B8E75AB"/>
    <w:multiLevelType w:val="singleLevel"/>
    <w:tmpl w:val="2B8E75AB"/>
    <w:lvl w:ilvl="0" w:tentative="0">
      <w:start w:val="1"/>
      <w:numFmt w:val="chineseCounting"/>
      <w:suff w:val="nothing"/>
      <w:lvlText w:val="（%1）"/>
      <w:lvlJc w:val="left"/>
      <w:rPr>
        <w:rFonts w:hint="eastAsia"/>
      </w:rPr>
    </w:lvl>
  </w:abstractNum>
  <w:abstractNum w:abstractNumId="9">
    <w:nsid w:val="3BEF8355"/>
    <w:multiLevelType w:val="singleLevel"/>
    <w:tmpl w:val="3BEF8355"/>
    <w:lvl w:ilvl="0" w:tentative="0">
      <w:start w:val="1"/>
      <w:numFmt w:val="chineseCounting"/>
      <w:suff w:val="nothing"/>
      <w:lvlText w:val="（%1）"/>
      <w:lvlJc w:val="left"/>
      <w:pPr>
        <w:ind w:left="0" w:firstLine="420"/>
      </w:pPr>
      <w:rPr>
        <w:rFonts w:hint="eastAsia"/>
      </w:rPr>
    </w:lvl>
  </w:abstractNum>
  <w:abstractNum w:abstractNumId="10">
    <w:nsid w:val="5440B15D"/>
    <w:multiLevelType w:val="singleLevel"/>
    <w:tmpl w:val="5440B15D"/>
    <w:lvl w:ilvl="0" w:tentative="0">
      <w:start w:val="1"/>
      <w:numFmt w:val="chineseCounting"/>
      <w:suff w:val="nothing"/>
      <w:lvlText w:val="（%1）"/>
      <w:lvlJc w:val="left"/>
      <w:pPr>
        <w:ind w:left="0" w:firstLine="420"/>
      </w:pPr>
      <w:rPr>
        <w:rFonts w:hint="eastAsia"/>
      </w:rPr>
    </w:lvl>
  </w:abstractNum>
  <w:abstractNum w:abstractNumId="11">
    <w:nsid w:val="73B16C72"/>
    <w:multiLevelType w:val="singleLevel"/>
    <w:tmpl w:val="73B16C72"/>
    <w:lvl w:ilvl="0" w:tentative="0">
      <w:start w:val="1"/>
      <w:numFmt w:val="decimal"/>
      <w:lvlText w:val="%1."/>
      <w:lvlJc w:val="left"/>
      <w:pPr>
        <w:tabs>
          <w:tab w:val="left" w:pos="312"/>
        </w:tabs>
      </w:pPr>
    </w:lvl>
  </w:abstractNum>
  <w:num w:numId="1">
    <w:abstractNumId w:val="6"/>
  </w:num>
  <w:num w:numId="2">
    <w:abstractNumId w:val="1"/>
  </w:num>
  <w:num w:numId="3">
    <w:abstractNumId w:val="7"/>
  </w:num>
  <w:num w:numId="4">
    <w:abstractNumId w:val="2"/>
  </w:num>
  <w:num w:numId="5">
    <w:abstractNumId w:val="0"/>
  </w:num>
  <w:num w:numId="6">
    <w:abstractNumId w:val="5"/>
  </w:num>
  <w:num w:numId="7">
    <w:abstractNumId w:val="3"/>
  </w:num>
  <w:num w:numId="8">
    <w:abstractNumId w:val="10"/>
  </w:num>
  <w:num w:numId="9">
    <w:abstractNumId w:val="11"/>
  </w:num>
  <w:num w:numId="10">
    <w:abstractNumId w:val="9"/>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CE439EC"/>
    <w:rsid w:val="3CE439EC"/>
    <w:rsid w:val="7D6178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2024-04-22T00:59:00Z</dcterms:created>
  <dc:creator>疯子1977</dc:creator>
  <cp:lastModifiedBy>就是如此</cp:lastModifiedBy>
  <dcterms:modified xsi:type="dcterms:W3CDTF">2024-04-23T08:26:19Z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00B60E6A6E814324B9C575D0FAD949C7_11</vt:lpwstr>
  </property>
</Properties>
</file>