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透射电镜冷冻传输样品杆采购项目</w:t>
      </w:r>
    </w:p>
    <w:p>
      <w:pPr>
        <w:pStyle w:val="null3"/>
        <w:jc w:val="center"/>
        <w:outlineLvl w:val="2"/>
      </w:pPr>
      <w:r>
        <w:rPr>
          <w:sz w:val="28"/>
          <w:b/>
        </w:rPr>
        <w:t>采购项目编号：</w:t>
      </w:r>
      <w:r>
        <w:rPr>
          <w:sz w:val="28"/>
          <w:b/>
        </w:rPr>
        <w:t>ZX2024-11-61</w:t>
      </w:r>
      <w:r>
        <w:br/>
      </w:r>
      <w:r>
        <w:br/>
      </w:r>
      <w:r>
        <w:br/>
      </w:r>
    </w:p>
    <w:p>
      <w:pPr>
        <w:pStyle w:val="null3"/>
        <w:jc w:val="center"/>
        <w:outlineLvl w:val="2"/>
      </w:pPr>
      <w:r>
        <w:rPr>
          <w:sz w:val="28"/>
          <w:b/>
        </w:rPr>
        <w:t>西安工业大学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2024年12月13日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西安工业大学</w:t>
      </w:r>
      <w:r>
        <w:rPr/>
        <w:t>委托，拟对</w:t>
      </w:r>
      <w:r>
        <w:rPr/>
        <w:t>透射电镜冷冻传输样品杆采购项目</w:t>
      </w:r>
      <w:r>
        <w:rPr/>
        <w:t>进行国内公开招标，兹邀请符合本次招标要求的供应商参加投标。</w:t>
      </w:r>
    </w:p>
    <w:p>
      <w:pPr>
        <w:pStyle w:val="null3"/>
        <w:outlineLvl w:val="2"/>
      </w:pPr>
      <w:r>
        <w:rPr>
          <w:sz w:val="28"/>
          <w:b/>
        </w:rPr>
        <w:t>一、采购项目编号：</w:t>
      </w:r>
      <w:r>
        <w:rPr>
          <w:sz w:val="28"/>
          <w:b/>
        </w:rPr>
        <w:t>ZX2024-11-61</w:t>
      </w:r>
    </w:p>
    <w:p>
      <w:pPr>
        <w:pStyle w:val="null3"/>
        <w:outlineLvl w:val="2"/>
      </w:pPr>
      <w:r>
        <w:rPr>
          <w:sz w:val="28"/>
          <w:b/>
        </w:rPr>
        <w:t>二、采购项目名称：</w:t>
      </w:r>
      <w:r>
        <w:rPr>
          <w:sz w:val="28"/>
          <w:b/>
        </w:rPr>
        <w:t>透射电镜冷冻传输样品杆采购项目</w:t>
      </w:r>
    </w:p>
    <w:p>
      <w:pPr>
        <w:pStyle w:val="null3"/>
        <w:outlineLvl w:val="2"/>
      </w:pPr>
      <w:r>
        <w:rPr>
          <w:sz w:val="28"/>
          <w:b/>
        </w:rPr>
        <w:t>三、招标项目简介</w:t>
      </w:r>
    </w:p>
    <w:p>
      <w:pPr>
        <w:pStyle w:val="null3"/>
        <w:ind w:firstLine="480"/>
      </w:pPr>
      <w:r>
        <w:rPr/>
        <w:t>透射电镜冷冻传输样品杆采购项目，可实现透射电镜样品冷冻真空传输和高倾转三维重构。对于空气敏感和易于氧化的样品，可实现透射电镜下样品的低温定观察，且可同时实现三维电子衍射的观察研究，1项，具体内容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本项目的特定资格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2、法定代表人授权委托书：法定代表人参加投标的，须出示身份证；法定代表人授权本单位他人参加投标的，须提供法定代表人授权委托书及被授权人身份证复印件。</w:t>
      </w:r>
    </w:p>
    <w:p>
      <w:pPr>
        <w:pStyle w:val="null3"/>
      </w:pPr>
      <w:r>
        <w:rPr/>
        <w:t>3、本项目不接受联合体投标：本项目不接受联合体投标，不允许分包。投标人应提供《非联合体不分包投标声明》。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西安市未央区学府中路2号</w:t>
      </w:r>
    </w:p>
    <w:p>
      <w:pPr>
        <w:pStyle w:val="null3"/>
      </w:pPr>
      <w:r>
        <w:rPr/>
        <w:t xml:space="preserve"> 邮编： </w:t>
      </w:r>
      <w:r>
        <w:rPr/>
        <w:t>710000</w:t>
      </w:r>
    </w:p>
    <w:p>
      <w:pPr>
        <w:pStyle w:val="null3"/>
      </w:pPr>
      <w:r>
        <w:rPr/>
        <w:t xml:space="preserve"> 联系人： </w:t>
      </w:r>
      <w:r>
        <w:rPr/>
        <w:t>周老师</w:t>
      </w:r>
    </w:p>
    <w:p>
      <w:pPr>
        <w:pStyle w:val="null3"/>
      </w:pPr>
      <w:r>
        <w:rPr/>
        <w:t xml:space="preserve"> 联系电话： </w:t>
      </w:r>
      <w:r>
        <w:rPr/>
        <w:t>029-86173142</w:t>
      </w:r>
    </w:p>
    <w:p>
      <w:pPr>
        <w:pStyle w:val="null3"/>
        <w:outlineLvl w:val="2"/>
      </w:pPr>
      <w:r>
        <w:rPr>
          <w:sz w:val="28"/>
          <w:b/>
        </w:rPr>
        <w:t>代理机构：</w:t>
      </w:r>
      <w:r>
        <w:rPr>
          <w:sz w:val="28"/>
          <w:b/>
        </w:rPr>
        <w:t>陕西正信招标有限公司</w:t>
      </w:r>
    </w:p>
    <w:p>
      <w:pPr>
        <w:pStyle w:val="null3"/>
      </w:pPr>
      <w:r>
        <w:rPr/>
        <w:t xml:space="preserve"> 地址： </w:t>
      </w:r>
      <w:r>
        <w:rPr/>
        <w:t>陕西省西安市红缨路南口6号均明拍卖广场4层</w:t>
      </w:r>
    </w:p>
    <w:p>
      <w:pPr>
        <w:pStyle w:val="null3"/>
      </w:pPr>
      <w:r>
        <w:rPr/>
        <w:t xml:space="preserve"> 邮编： </w:t>
      </w:r>
      <w:r>
        <w:rPr/>
        <w:t>710000</w:t>
      </w:r>
    </w:p>
    <w:p>
      <w:pPr>
        <w:pStyle w:val="null3"/>
      </w:pPr>
      <w:r>
        <w:rPr/>
        <w:t xml:space="preserve"> 联系人： </w:t>
      </w:r>
      <w:r>
        <w:rPr/>
        <w:t>柯敏 周楚杰 蔡丹 王琦</w:t>
      </w:r>
    </w:p>
    <w:p>
      <w:pPr>
        <w:pStyle w:val="null3"/>
      </w:pPr>
      <w:r>
        <w:rPr/>
        <w:t xml:space="preserve"> 联系电话： </w:t>
      </w:r>
      <w:r>
        <w:rPr/>
        <w:t>029-88411508转8014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采购包1保证金金额：29,011.61元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代理服务费收费标准：1、本项目代理服务费按照成交金额的0.6%计取。 2、支付方式：成交供应商应在领取通知书的同时，支付本项目代理服务费。收款账户如下： 收款单位：陕西正信招标有限公司 开户银行：中国银行股份有限公司西安四府街支行 银行账号：102460065607 3、转账时请备注：241161项目服务费。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陕西正信招标有限公司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按照招标文件以及合同要求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联系人：周楚杰 柯敏</w:t>
      </w:r>
    </w:p>
    <w:p>
      <w:pPr>
        <w:pStyle w:val="null3"/>
      </w:pPr>
      <w:r>
        <w:rPr/>
        <w:t>联系电话：029-88411508转8014</w:t>
      </w:r>
    </w:p>
    <w:p>
      <w:pPr>
        <w:pStyle w:val="null3"/>
      </w:pPr>
      <w:r>
        <w:rPr/>
        <w:t>地址：陕西省西安市红缨路南口6号均明拍卖广场4层</w:t>
      </w:r>
    </w:p>
    <w:p>
      <w:pPr>
        <w:pStyle w:val="null3"/>
      </w:pPr>
      <w:r>
        <w:rPr/>
        <w:t>邮编：71000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透射电镜冷冻传输样品杆采购项目，1项，具体内容详见采购文件。</w:t>
      </w:r>
    </w:p>
    <w:p>
      <w:pPr>
        <w:pStyle w:val="null3"/>
        <w:outlineLvl w:val="2"/>
      </w:pPr>
      <w:r>
        <w:rPr>
          <w:sz w:val="28"/>
          <w:b/>
        </w:rPr>
        <w:t>3.2采购内容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西安工业大学透射电镜冷冻传输样品杆采购项目</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标的名称：西安工业大学透射电镜冷冻传输样品杆采购项目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1.功能简述：</w:t>
            </w:r>
          </w:p>
          <w:p>
            <w:pPr>
              <w:pStyle w:val="null3"/>
            </w:pPr>
            <w:r>
              <w:rPr/>
              <w:t>可实现透射电镜样品冷冻真空传输和高倾转三维重构。对于空气敏感和易于氧化的样品，可实现透射电镜下样品的低温定观察，且可同时实现三维电子衍射的观察研究。</w:t>
            </w:r>
          </w:p>
          <w:p>
            <w:pPr>
              <w:pStyle w:val="null3"/>
            </w:pPr>
            <w:r>
              <w:rPr/>
              <w:t>2.具体性能指标：</w:t>
            </w:r>
          </w:p>
          <w:p>
            <w:pPr>
              <w:pStyle w:val="null3"/>
            </w:pPr>
            <w:r>
              <w:rPr/>
              <w:t>▲2.1 功能：同时具备冷冻传输和高倾转三维重构功能；</w:t>
            </w:r>
          </w:p>
          <w:p>
            <w:pPr>
              <w:pStyle w:val="null3"/>
            </w:pPr>
            <w:r>
              <w:rPr/>
              <w:t>▲2.2 最低观察温度：＜-175°C</w:t>
            </w:r>
          </w:p>
          <w:p>
            <w:pPr>
              <w:pStyle w:val="null3"/>
            </w:pPr>
            <w:r>
              <w:rPr/>
              <w:t>2.3  冷却方式：液氮冷却</w:t>
            </w:r>
          </w:p>
          <w:p>
            <w:pPr>
              <w:pStyle w:val="null3"/>
            </w:pPr>
            <w:r>
              <w:rPr/>
              <w:t>▲2.4 样品固定方式：采用无工具装样设计，通过样品杆后端传样开关可直接固定样品；</w:t>
            </w:r>
          </w:p>
          <w:p>
            <w:pPr>
              <w:pStyle w:val="null3"/>
            </w:pPr>
            <w:r>
              <w:rPr/>
              <w:t>2.5  样品尺寸：直径约3mm</w:t>
            </w:r>
          </w:p>
          <w:p>
            <w:pPr>
              <w:pStyle w:val="null3"/>
            </w:pPr>
            <w:r>
              <w:rPr/>
              <w:t>▲2.6 倾转角度范围：≥±80°</w:t>
            </w:r>
          </w:p>
          <w:p>
            <w:pPr>
              <w:pStyle w:val="null3"/>
            </w:pPr>
            <w:r>
              <w:rPr/>
              <w:t>2.7  可同时上样个数：1个</w:t>
            </w:r>
          </w:p>
          <w:p>
            <w:pPr>
              <w:pStyle w:val="null3"/>
            </w:pPr>
            <w:r>
              <w:rPr/>
              <w:t>2.8  漂移速率可控：≤1.5nm/min</w:t>
            </w:r>
          </w:p>
          <w:p>
            <w:pPr>
              <w:pStyle w:val="null3"/>
            </w:pPr>
            <w:r>
              <w:rPr/>
              <w:t>2.9  可观察视野范围：≥2mm直径（零度倾转）</w:t>
            </w:r>
          </w:p>
          <w:p>
            <w:pPr>
              <w:pStyle w:val="null3"/>
            </w:pPr>
            <w:r>
              <w:rPr/>
              <w:t>2.10 配备专用温度控制器及装样工作站，满足样品杆控温及装载样品。</w:t>
            </w:r>
          </w:p>
          <w:p>
            <w:pPr>
              <w:pStyle w:val="null3"/>
            </w:pPr>
            <w:r>
              <w:rPr/>
              <w:t>▲2.11 配备专用分子泵抽气站，采用≥80L/s分子泵加无油机械泵，极限真空≤10-7mbar；</w:t>
            </w:r>
          </w:p>
          <w:p>
            <w:pPr>
              <w:pStyle w:val="null3"/>
            </w:pPr>
            <w:r>
              <w:rPr/>
              <w:t>2.12 可同时存储≥4根透射电镜样品杆，且每根样品杆均配备真空隔断阀，可独立控制每根样品杆真空；</w:t>
            </w:r>
          </w:p>
          <w:p>
            <w:pPr>
              <w:pStyle w:val="null3"/>
            </w:pPr>
            <w:r>
              <w:rPr/>
              <w:t>▲2.13 配备≥7英寸触屏控制系统，能够实时显示分子泵转速比例及温度等工作状态，最大程度保护分子泵安全。</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 100 日内货到采购人指定地点</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 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 3. 技术服务及培训（未按约完成技术服务及培训的下述条款，采购人有权扣除履约保证金总金额的5%-10%）： 乙方免费派一名原厂应用工程师前往甲方现场进行应用培训，对甲方进行5人以上的仪器操作和日常维护的现场培训，包括仪器原理、使用方法和维护方法等，培训时间计划表和培训大纲经双方协商确定，培训至甲方能够独立掌握仪器操作及日常维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（1）投标货物生产商必须在境内设有售后服务中心； (2) 投标方必须提供原厂明确的售后承诺和售后服务方案； (3) 质保期：仪器设备质保期1年，质保期自买方验收签字之日起计算；质保期内的零部件、配件和人工等均为免费；质保期内，责任工程师不少于2次回访，免费提供不小于1次维修保养服务，免费提供维修所用的全部零部件； (4) 设备质保期满前1个月，卖方免费提供一次全面的检查、维护，并写出正式报告，如发现潜在问题，应负责排除； (5) 维保服务：质保期结束以后，责任工程师每年定期回访客户不少于2次，及时为设备进行检查和问诊； (6) 以上所有售后服务承诺均需由原厂提供，原厂盖章（未提供原厂盖章的售后服务承诺者，评分办法中“售后方案及承诺”项不得分）。</w:t>
      </w:r>
    </w:p>
    <w:p>
      <w:pPr>
        <w:pStyle w:val="null3"/>
        <w:outlineLvl w:val="3"/>
      </w:pPr>
      <w:r>
        <w:rPr>
          <w:sz w:val="24"/>
          <w:b/>
        </w:rPr>
        <w:t>3.4.8违约责任与解决争议的方法</w:t>
      </w:r>
    </w:p>
    <w:p>
      <w:pPr>
        <w:pStyle w:val="null3"/>
      </w:pPr>
      <w:r>
        <w:rPr/>
        <w:t>采购包1：</w:t>
      </w:r>
    </w:p>
    <w:p>
      <w:pPr>
        <w:pStyle w:val="null3"/>
      </w:pPr>
      <w:r>
        <w:rPr/>
        <w:t>按照招标文件以及合同要求</w:t>
      </w:r>
    </w:p>
    <w:p>
      <w:pPr>
        <w:pStyle w:val="null3"/>
        <w:jc w:val="left"/>
        <w:outlineLvl w:val="2"/>
      </w:pPr>
      <w:r>
        <w:rPr>
          <w:sz w:val="28"/>
          <w:b/>
        </w:rPr>
        <w:t>3.5其他要求</w:t>
      </w:r>
    </w:p>
    <w:p>
      <w:pPr>
        <w:pStyle w:val="null3"/>
      </w:pPr>
      <w:r>
        <w:rPr/>
        <w:t>1、标的清单具体内容根据法律规定公布主要标的的名称、规格型号、数 量、单价。 本项目主要标的：同核心产品 2、为顺利推进政府采购电子化交易平台应用工作，投标人需要在线提交所有通 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3、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4、中标人无正当理由 拒签合同的，或在接到中标通知书规定的时间内，借故拖延、拒签合同者，采购人取消其中标资格，其投标保证金不予退还； 给采购人造成的损失超过投标保证金数额的，中标人还应对超过部分予以赔偿。同时报请政府采购监督机构通报全省，取消其进入政府采购市场的资格，并按规定予以处罚。 5、其他要求：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供应商应当按磋商文件规定的供货及服务要求、责任范围和合同条件，以人民币进行报价。 报价包含全套货物抵达用户现场，安装验收直至投入使用期间，所需费用。报价包含但不限于人工费、辅材费、税费、安装调试费、培训费等（上述费用包含在总报价中但不得在分项价格表中单独列出）全部内容。 因采购人具有科教免税资格，进口设备可以报免税报价，报价需含外贸代理服务费（本类设备能否免税，供应商需在海关免税目录中自行查询确认）。不在教科文减免范围的设备应按含税开展报价。免税报价包含外贸代理服务费。（供应商所供设备如均为国产设备，需在中标后开具受益人为西安工业大学的预付款保函，有效期不短于全部货物抵达采购人指定地点所约定时间，具体以合同签订为准。） （3）支付条件相关要求： 国产设备： 货到西安工业大学指定地点经验收合格后，采购人15日内支付成交金额的100%； 进口设备： 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预付款保函（采购人若要求） 预付款保函期限：半年（根据到货期需要可以适当延长时限）。 预付款保函受益人：西安工业大学。 预付款保函形式：外贸代理公司/中标供应商出具银行成交等额预付款保函原件，采购人可支付成交预付款的100%，货到采购人指定地点后，采购人退还预付款保函原件。开具预付款保函所产生的相关费用均由中标供应商承担。收到中标通知书后2日内，中标供应商应携带相关资料前往西安工业大学进行合同签订准备。因供应商原因导致的未顺利签订合同或无法付款造成损失，均由供应商承担。本项目投标有效期为120日历日，中标单位投标有效期自动延长至本项目履约结束后。 在合同履行过程中，如发生合同纠纷，合同双方应按照中华人民共和国法律解释，按照《中华人民共和国民法典》规定及合同条款约定进行处理。本项目已通过进口产品论证，投标文件中接受外文资料，但主要部分仍应尽量对应翻译成中文并附在相关外文资料后面。因无对应翻译或不一致产生的问题，按不利于供应商的原则进行处理。本项目不强制要求文件第2.4.4知识产权第二条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任意一个月的纳税证明或完税证明，纳税证明或完税证明上应有代收机构或税务机关的公章或业务专用章；其他组织和自然人提供自2023年11月1日以来任意一个月缴纳税收的凭据；依法免税的投标人应提供相关文件证明 ③社会保障资金缴纳证明：提供自2023年11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投标函 2.资格证明文件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2.资格证明文件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法定代表人参加投标的，须出示身份证；法定代表人授权本单位他人参加投标的，须提供法定代表人授权委托书及被授权人身份证复印件。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2.资格证明文件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开标一览表 投标函 5技术响应与偏离表 标的清单 投标文件封面 4承诺书 3商务部分偏离表</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 求的； (3)投标有效期不足的或无有效期的（有效期前后不一致等情形可以由评标委员会发起澄清）； (4)报价超过招标文件中规定的预算金额或最高限价的；(5)法律、法规和招标文件规定的其他无效情形。</w:t>
            </w:r>
          </w:p>
        </w:tc>
        <w:tc>
          <w:tcPr>
            <w:tcW w:type="dxa" w:w="1661"/>
          </w:tcPr>
          <w:p>
            <w:pPr>
              <w:pStyle w:val="null3"/>
            </w:pPr>
            <w:r>
              <w:rPr/>
              <w:t>1分项价格表 5技术响应与偏离表 标的清单 投标文件封面 4承诺书 3商务部分偏离表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30分：完全符合、响应招标文件要求，且配置内容全面、完整，没有负偏离计30分；“▲”号参数为重要技术指标，负偏离一项扣4分，非“▲”号参数每负偏离一项扣1分。“▲”号指标必须提供佐证材料（包括但不限于检测报告或产品彩页或带网址链接的官网截图或盖厂家公章的技术参数说明或盖厂家公章功能截图等技术支持性文件），否则视为负偏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5技术响应与偏离表</w:t>
            </w:r>
          </w:p>
          <w:p>
            <w:pPr>
              <w:pStyle w:val="null3"/>
            </w:pPr>
            <w:r>
              <w:rPr/>
              <w:t>6技术参数</w:t>
            </w:r>
          </w:p>
        </w:tc>
      </w:tr>
      <w:tr>
        <w:tc>
          <w:tcPr>
            <w:tcW w:type="dxa" w:w="831"/>
            <w:vMerge/>
          </w:tcPr>
          <w:p/>
        </w:tc>
        <w:tc>
          <w:tcPr>
            <w:tcW w:type="dxa" w:w="1661"/>
          </w:tcPr>
          <w:p>
            <w:pPr>
              <w:pStyle w:val="null3"/>
            </w:pPr>
            <w:r>
              <w:rPr/>
              <w:t>需求理解</w:t>
            </w:r>
          </w:p>
        </w:tc>
        <w:tc>
          <w:tcPr>
            <w:tcW w:type="dxa" w:w="2492"/>
          </w:tcPr>
          <w:p>
            <w:pPr>
              <w:pStyle w:val="null3"/>
            </w:pPr>
            <w:r>
              <w:rPr/>
              <w:t>针对本项目采购人要求的服务内容有完整、明确的需求理解，解读全面，掌握相关项目情况，贴近项目，贴合需求满足招标文件要求，无瑕疵：6分； 内容存在1处瑕疵：4分； 内容存在2处瑕疵：2分； 未提供方案或不满足招标文件要求或内容存在3处及以上瑕疵：0分；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7需求理解</w:t>
            </w:r>
          </w:p>
        </w:tc>
      </w:tr>
      <w:tr>
        <w:tc>
          <w:tcPr>
            <w:tcW w:type="dxa" w:w="831"/>
            <w:vMerge/>
          </w:tcPr>
          <w:p/>
        </w:tc>
        <w:tc>
          <w:tcPr>
            <w:tcW w:type="dxa" w:w="1661"/>
          </w:tcPr>
          <w:p>
            <w:pPr>
              <w:pStyle w:val="null3"/>
            </w:pPr>
            <w:r>
              <w:rPr/>
              <w:t>整体实施方案</w:t>
            </w:r>
          </w:p>
        </w:tc>
        <w:tc>
          <w:tcPr>
            <w:tcW w:type="dxa" w:w="2492"/>
          </w:tcPr>
          <w:p>
            <w:pPr>
              <w:pStyle w:val="null3"/>
            </w:pPr>
            <w:r>
              <w:rPr/>
              <w:t>针对本项目提供完整、具体可行的 整体实施方案。 满足招标文件要求，无瑕疵：8分； 内容存在1处瑕疵：6分； 内容存在2处瑕疵：4分； 内容存在3处瑕疵：2分； 未提供方案或不满足招标文件要求或内容存在5处及以上瑕疵：0分；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8整体实施方案</w:t>
            </w:r>
          </w:p>
        </w:tc>
      </w:tr>
      <w:tr>
        <w:tc>
          <w:tcPr>
            <w:tcW w:type="dxa" w:w="831"/>
            <w:vMerge/>
          </w:tcPr>
          <w:p/>
        </w:tc>
        <w:tc>
          <w:tcPr>
            <w:tcW w:type="dxa" w:w="1661"/>
          </w:tcPr>
          <w:p>
            <w:pPr>
              <w:pStyle w:val="null3"/>
            </w:pPr>
            <w:r>
              <w:rPr/>
              <w:t>质量保障措施</w:t>
            </w:r>
          </w:p>
        </w:tc>
        <w:tc>
          <w:tcPr>
            <w:tcW w:type="dxa" w:w="2492"/>
          </w:tcPr>
          <w:p>
            <w:pPr>
              <w:pStyle w:val="null3"/>
            </w:pPr>
            <w:r>
              <w:rPr/>
              <w:t>供应商针对本项目提供完整、具体可行的质量保障措施。 满足招标文件要求，无瑕疵：6分； 内容存在1处瑕疵：4分； 内容存在2处瑕疵：2分； 未提供方案或不满足招标文件要求或内容存在3处及以上瑕疵：0分；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9质量保障措施</w:t>
            </w:r>
          </w:p>
        </w:tc>
      </w:tr>
      <w:tr>
        <w:tc>
          <w:tcPr>
            <w:tcW w:type="dxa" w:w="831"/>
            <w:vMerge/>
          </w:tcPr>
          <w:p/>
        </w:tc>
        <w:tc>
          <w:tcPr>
            <w:tcW w:type="dxa" w:w="1661"/>
          </w:tcPr>
          <w:p>
            <w:pPr>
              <w:pStyle w:val="null3"/>
            </w:pPr>
            <w:r>
              <w:rPr/>
              <w:t>供货组织方案</w:t>
            </w:r>
          </w:p>
        </w:tc>
        <w:tc>
          <w:tcPr>
            <w:tcW w:type="dxa" w:w="2492"/>
          </w:tcPr>
          <w:p>
            <w:pPr>
              <w:pStyle w:val="null3"/>
            </w:pPr>
            <w:r>
              <w:rPr/>
              <w:t>投标人针对本项目有具体的供货组织方案，方案应至少包括但不限于详细的人员、财力调配、运输、派送措施及设备验收方案，以及确保按时发货、运货、安装的时效保障措施等，就其方案是否合理科学，措施得当，是否针对本项目供货组织方案实施提出重点、难点及其解决方案等进行综合评审赋分。 满足招标文件要求，无瑕疵：6分； 方案内容存在1处瑕疵4分； 方案内容存在2处瑕疵2分； 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10供货组织方案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提供投标人2021年1月1日至今同类项目合同(以合同签订日期为准)，每提供1个得1分，最高得4分。 备注：投标文件中提供合同复印件加盖公章。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11业绩</w:t>
            </w:r>
          </w:p>
        </w:tc>
      </w:tr>
      <w:tr>
        <w:tc>
          <w:tcPr>
            <w:tcW w:type="dxa" w:w="831"/>
            <w:vMerge/>
          </w:tcPr>
          <w:p/>
        </w:tc>
        <w:tc>
          <w:tcPr>
            <w:tcW w:type="dxa" w:w="1661"/>
          </w:tcPr>
          <w:p>
            <w:pPr>
              <w:pStyle w:val="null3"/>
            </w:pPr>
            <w:r>
              <w:rPr/>
              <w:t>售后服务方案</w:t>
            </w:r>
          </w:p>
        </w:tc>
        <w:tc>
          <w:tcPr>
            <w:tcW w:type="dxa" w:w="2492"/>
          </w:tcPr>
          <w:p>
            <w:pPr>
              <w:pStyle w:val="null3"/>
            </w:pPr>
            <w:r>
              <w:rPr/>
              <w:t>投标人针对本项目有具体的售后服务方案，方案应至少包括但不限于售后服务计划，相应的物力、人力、场所保障（保障及时有效的完成售后服务），定期的维保维护计划，针对高校特点提供的针对性培训计划及方案，售后考核方案及承诺，安全应急预案等，就其方案是否合理科学，措施得当赋分。未按要求提供售后服务承诺函的，本项不得分。满足招标文件要求，无瑕疵：4分； 方案内容存在1处瑕疵2分； 未提供方案或内容存在2处及以上瑕疵：0分；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12售后服务</w:t>
            </w:r>
          </w:p>
        </w:tc>
      </w:tr>
      <w:tr>
        <w:tc>
          <w:tcPr>
            <w:tcW w:type="dxa" w:w="831"/>
            <w:vMerge/>
          </w:tcPr>
          <w:p/>
        </w:tc>
        <w:tc>
          <w:tcPr>
            <w:tcW w:type="dxa" w:w="1661"/>
          </w:tcPr>
          <w:p>
            <w:pPr>
              <w:pStyle w:val="null3"/>
            </w:pPr>
            <w:r>
              <w:rPr/>
              <w:t>培训方案</w:t>
            </w:r>
          </w:p>
        </w:tc>
        <w:tc>
          <w:tcPr>
            <w:tcW w:type="dxa" w:w="2492"/>
          </w:tcPr>
          <w:p>
            <w:pPr>
              <w:pStyle w:val="null3"/>
            </w:pPr>
            <w:r>
              <w:rPr/>
              <w:t>投标人针对本项目有具体的培训方案，方案应至少包括但不限于培训服务计划，硬件保障、场所保障，针对高校特点提供的针对性培训计划及方案。就其方案是否合理科学，措施得当进行综合评审赋分。 满足招标文件要求，无瑕疵：5分； 方案内容存在1处瑕疵3分； 方案内容存在2处瑕疵1分； 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13培训方案</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14节能环保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详见附件：3商务部分偏离表</w:t>
      </w:r>
    </w:p>
    <w:p>
      <w:pPr>
        <w:pStyle w:val="null3"/>
        <w:ind w:firstLine="960"/>
      </w:pPr>
      <w:r>
        <w:rPr/>
        <w:t>详见附件：4承诺书</w:t>
      </w:r>
    </w:p>
    <w:p>
      <w:pPr>
        <w:pStyle w:val="null3"/>
        <w:ind w:firstLine="960"/>
      </w:pPr>
      <w:r>
        <w:rPr/>
        <w:t>详见附件：5技术响应与偏离表</w:t>
      </w:r>
    </w:p>
    <w:p>
      <w:pPr>
        <w:pStyle w:val="null3"/>
        <w:ind w:firstLine="960"/>
      </w:pPr>
      <w:r>
        <w:rPr/>
        <w:t>详见附件：6技术参数</w:t>
      </w:r>
    </w:p>
    <w:p>
      <w:pPr>
        <w:pStyle w:val="null3"/>
        <w:ind w:firstLine="960"/>
      </w:pPr>
      <w:r>
        <w:rPr/>
        <w:t>详见附件：7需求理解</w:t>
      </w:r>
    </w:p>
    <w:p>
      <w:pPr>
        <w:pStyle w:val="null3"/>
        <w:ind w:firstLine="960"/>
      </w:pPr>
      <w:r>
        <w:rPr/>
        <w:t>详见附件：8整体实施方案</w:t>
      </w:r>
    </w:p>
    <w:p>
      <w:pPr>
        <w:pStyle w:val="null3"/>
        <w:ind w:firstLine="960"/>
      </w:pPr>
      <w:r>
        <w:rPr/>
        <w:t>详见附件：9质量保障措施</w:t>
      </w:r>
    </w:p>
    <w:p>
      <w:pPr>
        <w:pStyle w:val="null3"/>
        <w:ind w:firstLine="960"/>
      </w:pPr>
      <w:r>
        <w:rPr/>
        <w:t>详见附件：10供货组织方案</w:t>
      </w:r>
    </w:p>
    <w:p>
      <w:pPr>
        <w:pStyle w:val="null3"/>
        <w:ind w:firstLine="960"/>
      </w:pPr>
      <w:r>
        <w:rPr/>
        <w:t>详见附件：11业绩</w:t>
      </w:r>
    </w:p>
    <w:p>
      <w:pPr>
        <w:pStyle w:val="null3"/>
        <w:ind w:firstLine="960"/>
      </w:pPr>
      <w:r>
        <w:rPr/>
        <w:t>详见附件：12售后服务</w:t>
      </w:r>
    </w:p>
    <w:p>
      <w:pPr>
        <w:pStyle w:val="null3"/>
        <w:ind w:firstLine="960"/>
      </w:pPr>
      <w:r>
        <w:rPr/>
        <w:t>详见附件：13培训方案</w:t>
      </w:r>
    </w:p>
    <w:p>
      <w:pPr>
        <w:pStyle w:val="null3"/>
        <w:ind w:firstLine="960"/>
      </w:pPr>
      <w:r>
        <w:rPr/>
        <w:t>详见附件：14节能环保</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