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电感耦合等离子体质谱仪采购项目</w:t>
      </w:r>
    </w:p>
    <w:p>
      <w:pPr>
        <w:pStyle w:val="null3"/>
        <w:jc w:val="center"/>
        <w:outlineLvl w:val="2"/>
      </w:pPr>
      <w:r>
        <w:rPr>
          <w:sz w:val="28"/>
          <w:b/>
        </w:rPr>
        <w:t>采购项目编号：</w:t>
      </w:r>
      <w:r>
        <w:rPr>
          <w:sz w:val="28"/>
          <w:b/>
        </w:rPr>
        <w:t>ZX2024-11-63</w:t>
      </w:r>
      <w:r>
        <w:br/>
      </w:r>
      <w:r>
        <w:br/>
      </w:r>
      <w:r>
        <w:br/>
      </w:r>
    </w:p>
    <w:p>
      <w:pPr>
        <w:pStyle w:val="null3"/>
        <w:jc w:val="center"/>
        <w:outlineLvl w:val="2"/>
      </w:pPr>
      <w:r>
        <w:rPr>
          <w:sz w:val="28"/>
          <w:b/>
        </w:rPr>
        <w:t>西安工业大学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2024年12月18日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西安工业大学</w:t>
      </w:r>
      <w:r>
        <w:rPr/>
        <w:t>委托，拟对</w:t>
      </w:r>
      <w:r>
        <w:rPr/>
        <w:t>电感耦合等离子体质谱仪采购项目</w:t>
      </w:r>
      <w:r>
        <w:rPr/>
        <w:t>进行国内公开招标，兹邀请符合本次招标要求的供应商参加投标。</w:t>
      </w:r>
    </w:p>
    <w:p>
      <w:pPr>
        <w:pStyle w:val="null3"/>
        <w:outlineLvl w:val="2"/>
      </w:pPr>
      <w:r>
        <w:rPr>
          <w:sz w:val="28"/>
          <w:b/>
        </w:rPr>
        <w:t>一、采购项目编号：</w:t>
      </w:r>
      <w:r>
        <w:rPr>
          <w:sz w:val="28"/>
          <w:b/>
        </w:rPr>
        <w:t>ZX2024-11-63</w:t>
      </w:r>
    </w:p>
    <w:p>
      <w:pPr>
        <w:pStyle w:val="null3"/>
        <w:outlineLvl w:val="2"/>
      </w:pPr>
      <w:r>
        <w:rPr>
          <w:sz w:val="28"/>
          <w:b/>
        </w:rPr>
        <w:t>二、采购项目名称：</w:t>
      </w:r>
      <w:r>
        <w:rPr>
          <w:sz w:val="28"/>
          <w:b/>
        </w:rPr>
        <w:t>电感耦合等离子体质谱仪采购项目</w:t>
      </w:r>
    </w:p>
    <w:p>
      <w:pPr>
        <w:pStyle w:val="null3"/>
        <w:outlineLvl w:val="2"/>
      </w:pPr>
      <w:r>
        <w:rPr>
          <w:sz w:val="28"/>
          <w:b/>
        </w:rPr>
        <w:t>三、招标项目简介</w:t>
      </w:r>
    </w:p>
    <w:p>
      <w:pPr>
        <w:pStyle w:val="null3"/>
        <w:ind w:firstLine="480"/>
      </w:pPr>
      <w:r>
        <w:rPr/>
        <w:t>电感耦合等离子体质谱仪采购项目，1项，具体内容详见采购文件。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本项目的特定资格要求：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2、法定代表人授权委托书：法定代表人参加投标的，须出示身份证；法定代表人授权本单位他人参加投标的，须提供法定代表人授权委托书及被授权人身份证复印件。</w:t>
      </w:r>
    </w:p>
    <w:p>
      <w:pPr>
        <w:pStyle w:val="null3"/>
      </w:pPr>
      <w:r>
        <w:rPr/>
        <w:t>3、本项目不接受联合体投标：本项目不接受联合体投标，不允许分包。投标人应提供《非联合体不分包投标声明》。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西安市未央区学府中路2号</w:t>
      </w:r>
    </w:p>
    <w:p>
      <w:pPr>
        <w:pStyle w:val="null3"/>
      </w:pPr>
      <w:r>
        <w:rPr/>
        <w:t xml:space="preserve"> 邮编： </w:t>
      </w:r>
      <w:r>
        <w:rPr/>
        <w:t>710000</w:t>
      </w:r>
    </w:p>
    <w:p>
      <w:pPr>
        <w:pStyle w:val="null3"/>
      </w:pPr>
      <w:r>
        <w:rPr/>
        <w:t xml:space="preserve"> 联系人： </w:t>
      </w:r>
      <w:r>
        <w:rPr/>
        <w:t>周老师</w:t>
      </w:r>
    </w:p>
    <w:p>
      <w:pPr>
        <w:pStyle w:val="null3"/>
      </w:pPr>
      <w:r>
        <w:rPr/>
        <w:t xml:space="preserve"> 联系电话： </w:t>
      </w:r>
      <w:r>
        <w:rPr/>
        <w:t>029-86173142</w:t>
      </w:r>
    </w:p>
    <w:p>
      <w:pPr>
        <w:pStyle w:val="null3"/>
        <w:outlineLvl w:val="2"/>
      </w:pPr>
      <w:r>
        <w:rPr>
          <w:sz w:val="28"/>
          <w:b/>
        </w:rPr>
        <w:t>代理机构：</w:t>
      </w:r>
      <w:r>
        <w:rPr>
          <w:sz w:val="28"/>
          <w:b/>
        </w:rPr>
        <w:t>陕西正信招标有限公司</w:t>
      </w:r>
    </w:p>
    <w:p>
      <w:pPr>
        <w:pStyle w:val="null3"/>
      </w:pPr>
      <w:r>
        <w:rPr/>
        <w:t xml:space="preserve"> 地址： </w:t>
      </w:r>
      <w:r>
        <w:rPr/>
        <w:t>西安市莲湖区环城西路南段元晟合中心6层</w:t>
      </w:r>
    </w:p>
    <w:p>
      <w:pPr>
        <w:pStyle w:val="null3"/>
      </w:pPr>
      <w:r>
        <w:rPr/>
        <w:t xml:space="preserve"> 邮编： </w:t>
      </w:r>
      <w:r>
        <w:rPr/>
        <w:t>710082</w:t>
      </w:r>
    </w:p>
    <w:p>
      <w:pPr>
        <w:pStyle w:val="null3"/>
      </w:pPr>
      <w:r>
        <w:rPr/>
        <w:t xml:space="preserve"> 联系人： </w:t>
      </w:r>
      <w:r>
        <w:rPr/>
        <w:t>柯敏 周楚杰 蔡丹 王琦</w:t>
      </w:r>
    </w:p>
    <w:p>
      <w:pPr>
        <w:pStyle w:val="null3"/>
      </w:pPr>
      <w:r>
        <w:rPr/>
        <w:t xml:space="preserve"> 联系电话： </w:t>
      </w:r>
      <w:r>
        <w:rPr/>
        <w:t>029-88411508转8014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采购包1保证金金额：42,011.63元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代理服务费收费标准：1、本项目代理服务费按照成交金额的0.6%计取。 2、支付方式：成交供应商应在领取通知书的同时，支付本项目代理服务费。收款账户如下： 收款单位：陕西正信招标有限公司 开户银行：中国银行股份有限公司西安四府街支行 银行账号：102460065607 3、转账时请备注：241163项目服务费。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陕西正信招标有限公司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按照招标文件以及合同要求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联系人：周楚杰 柯敏</w:t>
      </w:r>
    </w:p>
    <w:p>
      <w:pPr>
        <w:pStyle w:val="null3"/>
      </w:pPr>
      <w:r>
        <w:rPr/>
        <w:t>联系电话：029-88411508转8014</w:t>
      </w:r>
    </w:p>
    <w:p>
      <w:pPr>
        <w:pStyle w:val="null3"/>
      </w:pPr>
      <w:r>
        <w:rPr/>
        <w:t>地址：西安市莲湖区环城西路南段元晟合中心6层</w:t>
      </w:r>
    </w:p>
    <w:p>
      <w:pPr>
        <w:pStyle w:val="null3"/>
      </w:pPr>
      <w:r>
        <w:rPr/>
        <w:t>邮编：710082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 xml:space="preserve"> 电感耦合等离子体质谱仪采购项目，1项，具体内容详见采购文件。</w:t>
      </w:r>
    </w:p>
    <w:p>
      <w:pPr>
        <w:pStyle w:val="null3"/>
        <w:outlineLvl w:val="2"/>
      </w:pPr>
      <w:r>
        <w:rPr>
          <w:sz w:val="28"/>
          <w:b/>
        </w:rPr>
        <w:t>3.2采购内容</w:t>
      </w:r>
    </w:p>
    <w:p>
      <w:pPr>
        <w:pStyle w:val="null3"/>
      </w:pPr>
      <w:r>
        <w:rPr/>
        <w:t>采购包1：</w:t>
      </w:r>
    </w:p>
    <w:p>
      <w:pPr>
        <w:pStyle w:val="null3"/>
      </w:pPr>
      <w:r>
        <w:rPr/>
        <w:t>采购包预算金额（元）: 2,200,000.00</w:t>
      </w:r>
    </w:p>
    <w:p>
      <w:pPr>
        <w:pStyle w:val="null3"/>
      </w:pPr>
      <w:r>
        <w:rPr/>
        <w:t>采购包最高限价（元）: 2,200,000.00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西安工业大学电感耦合等离子体质谱仪采购项目</w:t>
            </w:r>
          </w:p>
        </w:tc>
        <w:tc>
          <w:tcPr>
            <w:tcW w:type="dxa" w:w="831"/>
          </w:tcPr>
          <w:p>
            <w:pPr>
              <w:pStyle w:val="null3"/>
              <w:jc w:val="right"/>
            </w:pPr>
            <w:r>
              <w:rPr/>
              <w:t>1.00</w:t>
            </w:r>
          </w:p>
        </w:tc>
        <w:tc>
          <w:tcPr>
            <w:tcW w:type="dxa" w:w="831"/>
          </w:tcPr>
          <w:p>
            <w:pPr>
              <w:pStyle w:val="null3"/>
              <w:jc w:val="right"/>
            </w:pPr>
            <w:r>
              <w:rPr/>
              <w:t>2,200,000.00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标的名称：西安工业大学电感耦合等离子体质谱仪采购项目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 工作条件：</w:t>
            </w:r>
          </w:p>
          <w:p>
            <w:pPr>
              <w:pStyle w:val="null3"/>
            </w:pPr>
            <w:r>
              <w:rPr/>
              <w:t>1.1 运行环境温度：15˚C~30˚C</w:t>
            </w:r>
          </w:p>
          <w:p>
            <w:pPr>
              <w:pStyle w:val="null3"/>
            </w:pPr>
            <w:r>
              <w:rPr/>
              <w:t>1.2 运行环境湿度：20%~80%RH</w:t>
            </w:r>
          </w:p>
          <w:p>
            <w:pPr>
              <w:pStyle w:val="null3"/>
            </w:pPr>
            <w:r>
              <w:rPr/>
              <w:t>2 技术指标：</w:t>
            </w:r>
          </w:p>
          <w:p>
            <w:pPr>
              <w:pStyle w:val="null3"/>
            </w:pPr>
            <w:r>
              <w:rPr/>
              <w:t>2.1 硬件要求</w:t>
            </w:r>
          </w:p>
          <w:p>
            <w:pPr>
              <w:pStyle w:val="null3"/>
            </w:pPr>
            <w:r>
              <w:rPr/>
              <w:t>2.1.1 雾化器：耐高盐、高效石英同心雾化器</w:t>
            </w:r>
          </w:p>
          <w:p>
            <w:pPr>
              <w:pStyle w:val="null3"/>
            </w:pPr>
            <w:r>
              <w:rPr/>
              <w:t>2.1.2 雾室：石英材质雾室，配置帕尔帖半导体制冷装置；</w:t>
            </w:r>
          </w:p>
          <w:p>
            <w:pPr>
              <w:pStyle w:val="null3"/>
            </w:pPr>
            <w:r>
              <w:rPr/>
              <w:t>2.1.3 气路控制：配备 ≥5个高精度气体质量流量计（MFC），控制包括但不限于等离子体气、辅助气、雾化气、补偿气、碰撞反应气等气体流量，分别注明各路质量流量计所控制气路的名称。</w:t>
            </w:r>
          </w:p>
          <w:p>
            <w:pPr>
              <w:pStyle w:val="null3"/>
            </w:pPr>
            <w:r>
              <w:rPr/>
              <w:t>2.1.4 炬管：无密封圈设计</w:t>
            </w:r>
          </w:p>
          <w:p>
            <w:pPr>
              <w:pStyle w:val="null3"/>
            </w:pPr>
            <w:r>
              <w:rPr/>
              <w:t>▲2.1.5 接口：采样锥和截取锥组成的接口，接口部分有额外接口锥或超锥结构造成耗材增加的，需在配置要求外另行提供10套额外接口锥或超锥以备更换。</w:t>
            </w:r>
          </w:p>
          <w:p>
            <w:pPr>
              <w:pStyle w:val="null3"/>
            </w:pPr>
            <w:r>
              <w:rPr/>
              <w:t>▲2.1.6 锥孔：采样锥孔径≤1.0mm，截取锥孔径≤0.45mm ；</w:t>
            </w:r>
          </w:p>
          <w:p>
            <w:pPr>
              <w:pStyle w:val="null3"/>
            </w:pPr>
            <w:r>
              <w:rPr/>
              <w:t>2.1.7 离子源：数控式固态射频发生器，射频频率≤28MHz，功率上限≥ 1600W；</w:t>
            </w:r>
          </w:p>
          <w:p>
            <w:pPr>
              <w:pStyle w:val="null3"/>
            </w:pPr>
            <w:r>
              <w:rPr/>
              <w:t>▲2.1.8 离子源消除二次电离：离子源采用物理接地或虚拟接地技术消除电势差；如采用虚拟接地技术，需在配置要求外另行提供10套射频线圈以备更换。</w:t>
            </w:r>
          </w:p>
          <w:p>
            <w:pPr>
              <w:pStyle w:val="null3"/>
            </w:pPr>
            <w:r>
              <w:rPr/>
              <w:t>2.1.9 离子提取透镜：接口锥后配备≥2个提取透镜。提取透镜电压可分别调节电压，可以实现软提取、硬提取、浸透式提取等多种提取模式。</w:t>
            </w:r>
          </w:p>
          <w:p>
            <w:pPr>
              <w:pStyle w:val="null3"/>
            </w:pPr>
            <w:r>
              <w:rPr/>
              <w:t>2.1.10 碰撞反应池：配备多极杆设计碰撞/反应池</w:t>
            </w:r>
          </w:p>
          <w:p>
            <w:pPr>
              <w:pStyle w:val="null3"/>
            </w:pPr>
            <w:r>
              <w:rPr/>
              <w:t>2.1.11 离子在进入碰撞反应池前应经过≥ 1次偏转</w:t>
            </w:r>
          </w:p>
          <w:p>
            <w:pPr>
              <w:pStyle w:val="null3"/>
            </w:pPr>
            <w:r>
              <w:rPr/>
              <w:t>2.1.12 碰撞反应池拥有≥ 3种工作模式（包括但不限于标准模式、氦气碰撞模式、反应模式），不同模式切换时间≤ 3秒</w:t>
            </w:r>
          </w:p>
          <w:p>
            <w:pPr>
              <w:pStyle w:val="null3"/>
            </w:pPr>
            <w:r>
              <w:rPr/>
              <w:t>2.1.13 碰撞反应气流速可调范围：0-12 mL/min；</w:t>
            </w:r>
          </w:p>
          <w:p>
            <w:pPr>
              <w:pStyle w:val="null3"/>
            </w:pPr>
            <w:r>
              <w:rPr/>
              <w:t>▲2.1.14 四极杆质量分析器：必须采用物理圆形设计双曲面四极杆，四极杆驱动频率：≥2.5MHz；</w:t>
            </w:r>
          </w:p>
          <w:p>
            <w:pPr>
              <w:pStyle w:val="null3"/>
            </w:pPr>
            <w:r>
              <w:rPr/>
              <w:t>2.1.15 四极杆质量数范围涵盖：2-258 amu；</w:t>
            </w:r>
          </w:p>
          <w:p>
            <w:pPr>
              <w:pStyle w:val="null3"/>
            </w:pPr>
            <w:r>
              <w:rPr/>
              <w:t>▲2.1.16 检测器：电子倍增器，动态线性范围≥1011</w:t>
            </w:r>
          </w:p>
          <w:p>
            <w:pPr>
              <w:pStyle w:val="null3"/>
            </w:pPr>
            <w:r>
              <w:rPr/>
              <w:t>2.1.17 在线氩气稀释功能：必需配置在线气溶胶氩气稀释系统，投标应答需注明该部件在配置表中体现。</w:t>
            </w:r>
          </w:p>
          <w:p>
            <w:pPr>
              <w:pStyle w:val="null3"/>
            </w:pPr>
            <w:r>
              <w:rPr/>
              <w:t>2.2 软件要求</w:t>
            </w:r>
          </w:p>
          <w:p>
            <w:pPr>
              <w:pStyle w:val="null3"/>
            </w:pPr>
            <w:r>
              <w:rPr/>
              <w:t>2.2.1 操作系统：主流操作系统；</w:t>
            </w:r>
          </w:p>
          <w:p>
            <w:pPr>
              <w:pStyle w:val="null3"/>
            </w:pPr>
            <w:r>
              <w:rPr/>
              <w:t>2.2.2 全自动工作条件调谐</w:t>
            </w:r>
          </w:p>
          <w:p>
            <w:pPr>
              <w:pStyle w:val="null3"/>
            </w:pPr>
            <w:r>
              <w:rPr/>
              <w:t>2.2.3 快速指纹功能：在定量分析的同时，无须额外的标准溶液，≤5s即可采集样品中60个元素(消除干扰后)的半定量指纹信息</w:t>
            </w:r>
          </w:p>
          <w:p>
            <w:pPr>
              <w:pStyle w:val="null3"/>
            </w:pPr>
            <w:r>
              <w:rPr/>
              <w:t>2.3 灵敏度</w:t>
            </w:r>
          </w:p>
          <w:p>
            <w:pPr>
              <w:pStyle w:val="null3"/>
            </w:pPr>
            <w:r>
              <w:rPr/>
              <w:t>▲2.3.1 低质量数灵敏度：7Li或9Be ≥60M cps/ppm</w:t>
            </w:r>
          </w:p>
          <w:p>
            <w:pPr>
              <w:pStyle w:val="null3"/>
            </w:pPr>
            <w:r>
              <w:rPr/>
              <w:t>▲2.3.2 中质量数灵敏度：89Y或115In≥300M cps/ppm</w:t>
            </w:r>
          </w:p>
          <w:p>
            <w:pPr>
              <w:pStyle w:val="null3"/>
            </w:pPr>
            <w:r>
              <w:rPr/>
              <w:t>▲2.3.3 高质量数灵敏度：205Tl≥300M cps/ppm或238U≥380M cps/ppm</w:t>
            </w:r>
          </w:p>
          <w:p>
            <w:pPr>
              <w:pStyle w:val="null3"/>
            </w:pPr>
            <w:r>
              <w:rPr/>
              <w:t>2.4 检出限</w:t>
            </w:r>
          </w:p>
          <w:p>
            <w:pPr>
              <w:pStyle w:val="null3"/>
            </w:pPr>
            <w:r>
              <w:rPr/>
              <w:t>▲2.4.1 低质量数检测限：7Li或9Be≤ 0.2 ppt</w:t>
            </w:r>
          </w:p>
          <w:p>
            <w:pPr>
              <w:pStyle w:val="null3"/>
            </w:pPr>
            <w:r>
              <w:rPr/>
              <w:t>▲2.4.2 中质量数检测限：89Y或115In≤ 0.08 ppt</w:t>
            </w:r>
          </w:p>
          <w:p>
            <w:pPr>
              <w:pStyle w:val="null3"/>
            </w:pPr>
            <w:r>
              <w:rPr/>
              <w:t>▲2.4.3 高质量数检测限：209Bi 或205Tl≤ 0.08 ppt</w:t>
            </w:r>
          </w:p>
          <w:p>
            <w:pPr>
              <w:pStyle w:val="null3"/>
            </w:pPr>
            <w:r>
              <w:rPr/>
              <w:t>2.5 背景：≤1.0 cps （在质量数9 amu处实测背景）</w:t>
            </w:r>
          </w:p>
          <w:p>
            <w:pPr>
              <w:pStyle w:val="null3"/>
            </w:pPr>
            <w:r>
              <w:rPr/>
              <w:t>▲2.6 氧化物产率(CeO+/Ce+) ：≤1.8 %</w:t>
            </w:r>
          </w:p>
          <w:p>
            <w:pPr>
              <w:pStyle w:val="null3"/>
            </w:pPr>
            <w:r>
              <w:rPr/>
              <w:t>2.7 双电荷产率(Ce2+/Ce+) ：≤3.0 %</w:t>
            </w:r>
          </w:p>
          <w:p>
            <w:pPr>
              <w:pStyle w:val="null3"/>
            </w:pPr>
            <w:r>
              <w:rPr/>
              <w:t>2.8 短期稳定性(RSD)： ≤2% (20 min) （须在1ppb 标准溶液中测定）</w:t>
            </w:r>
          </w:p>
          <w:p>
            <w:pPr>
              <w:pStyle w:val="null3"/>
            </w:pPr>
            <w:r>
              <w:rPr/>
              <w:t>2.9 长期稳定性(RSD)：≤3% (2h) （须在1ppb 标准溶液中测定）</w:t>
            </w:r>
          </w:p>
          <w:p>
            <w:pPr>
              <w:pStyle w:val="null3"/>
            </w:pPr>
            <w:r>
              <w:rPr/>
              <w:t>2.10 丰度灵敏度：低质量端 ≤5×10-7，高质量端 ≤1×10-7；</w:t>
            </w:r>
          </w:p>
          <w:p>
            <w:pPr>
              <w:pStyle w:val="null3"/>
            </w:pPr>
            <w:r>
              <w:rPr/>
              <w:t>2.11 配置要求：</w:t>
            </w:r>
          </w:p>
          <w:p>
            <w:pPr>
              <w:pStyle w:val="null3"/>
            </w:pPr>
            <w:r>
              <w:rPr/>
              <w:t>2.11.1 ICP-MS 主机 1台</w:t>
            </w:r>
          </w:p>
          <w:p>
            <w:pPr>
              <w:pStyle w:val="null3"/>
            </w:pPr>
            <w:r>
              <w:rPr/>
              <w:t>2.11.2  ICP-MS 操作软件及数据处理器1套;</w:t>
            </w:r>
          </w:p>
          <w:p>
            <w:pPr>
              <w:pStyle w:val="null3"/>
            </w:pPr>
            <w:r>
              <w:rPr/>
              <w:t>2.11.3 雾室半导体控温装置1套；</w:t>
            </w:r>
          </w:p>
          <w:p>
            <w:pPr>
              <w:pStyle w:val="null3"/>
            </w:pPr>
            <w:r>
              <w:rPr/>
              <w:t>2.11.4 在线氩气稀释装置1套；</w:t>
            </w:r>
          </w:p>
          <w:p>
            <w:pPr>
              <w:pStyle w:val="null3"/>
            </w:pPr>
            <w:r>
              <w:rPr/>
              <w:t>2.11.5 碰撞反应池系统（包括氦气碰撞气路、氢气反应气路）1套</w:t>
            </w:r>
          </w:p>
          <w:p>
            <w:pPr>
              <w:pStyle w:val="null3"/>
            </w:pPr>
            <w:r>
              <w:rPr/>
              <w:t>2.11.6 耐氢氟酸（惰性）进样系统（包括蓝宝石中心管、PFA雾化室、PFA炬管、PTFE雾化器）1套</w:t>
            </w:r>
          </w:p>
          <w:p>
            <w:pPr>
              <w:pStyle w:val="null3"/>
            </w:pPr>
            <w:r>
              <w:rPr/>
              <w:t>2.11.7 标准进样系统（包括石英炬管、石英雾化器、石英雾化室）1套</w:t>
            </w:r>
          </w:p>
          <w:p>
            <w:pPr>
              <w:pStyle w:val="null3"/>
            </w:pPr>
            <w:r>
              <w:rPr/>
              <w:t>2.11.8 仪器安装调试溶液包、仪器专用工具等附件1套；</w:t>
            </w:r>
          </w:p>
          <w:p>
            <w:pPr>
              <w:pStyle w:val="null3"/>
            </w:pPr>
            <w:r>
              <w:rPr/>
              <w:t>2.11.9 储备调谐溶液（100ml） 5瓶</w:t>
            </w:r>
          </w:p>
          <w:p>
            <w:pPr>
              <w:pStyle w:val="null3"/>
            </w:pPr>
            <w:r>
              <w:rPr/>
              <w:t>2.11.10 额外的 Ni采样锥、Ni截取锥、Ni超锥（如有） 各4套</w:t>
            </w:r>
          </w:p>
          <w:p>
            <w:pPr>
              <w:pStyle w:val="null3"/>
            </w:pPr>
            <w:r>
              <w:rPr/>
              <w:t>2.11.11 额外的Pt采样锥、Pt截取锥、Pt超锥（如有）各2套</w:t>
            </w:r>
          </w:p>
          <w:p>
            <w:pPr>
              <w:pStyle w:val="null3"/>
            </w:pPr>
            <w:r>
              <w:rPr/>
              <w:t>2.11.12 Ni维护工具包2套</w:t>
            </w:r>
          </w:p>
          <w:p>
            <w:pPr>
              <w:pStyle w:val="null3"/>
            </w:pPr>
            <w:r>
              <w:rPr/>
              <w:t>2.11.13 Pt锥维护工具包1套</w:t>
            </w:r>
          </w:p>
          <w:p>
            <w:pPr>
              <w:pStyle w:val="null3"/>
            </w:pPr>
            <w:r>
              <w:rPr/>
              <w:t>2.11.14 石墨垫片8个</w:t>
            </w:r>
          </w:p>
          <w:p>
            <w:pPr>
              <w:pStyle w:val="null3"/>
            </w:pPr>
            <w:r>
              <w:rPr/>
              <w:t>2.11.15 额外的石英矩管（2.5mm） 3套；</w:t>
            </w:r>
          </w:p>
          <w:p>
            <w:pPr>
              <w:pStyle w:val="null3"/>
            </w:pPr>
            <w:r>
              <w:rPr/>
              <w:t>2.11.16 额外的蠕动泵进样管60根</w:t>
            </w:r>
          </w:p>
          <w:p>
            <w:pPr>
              <w:pStyle w:val="null3"/>
            </w:pPr>
            <w:r>
              <w:rPr/>
              <w:t>2.11.17 额外的蠕动泵内标管60根</w:t>
            </w:r>
          </w:p>
          <w:p>
            <w:pPr>
              <w:pStyle w:val="null3"/>
            </w:pPr>
            <w:r>
              <w:rPr/>
              <w:t>2.11.18 额外的蠕动泵内标管60根；</w:t>
            </w:r>
          </w:p>
          <w:p>
            <w:pPr>
              <w:pStyle w:val="null3"/>
            </w:pPr>
            <w:r>
              <w:rPr/>
              <w:t>2.11.19 PFA材质样品管线（5m）3根</w:t>
            </w:r>
          </w:p>
          <w:p>
            <w:pPr>
              <w:pStyle w:val="null3"/>
            </w:pPr>
            <w:r>
              <w:rPr/>
              <w:t>2.11.20 机械泵泵油 5瓶；</w:t>
            </w:r>
          </w:p>
          <w:p>
            <w:pPr>
              <w:pStyle w:val="null3"/>
            </w:pPr>
            <w:r>
              <w:rPr/>
              <w:t>2.11.21 不锈钢管路（6米）；</w:t>
            </w:r>
          </w:p>
          <w:p>
            <w:pPr>
              <w:pStyle w:val="null3"/>
            </w:pPr>
            <w:r>
              <w:rPr/>
              <w:t>2.11.22 机械泵软管（3米）</w:t>
            </w:r>
          </w:p>
          <w:p>
            <w:pPr>
              <w:pStyle w:val="null3"/>
            </w:pPr>
            <w:r>
              <w:rPr/>
              <w:t>2.11.23 循环冷却水机 1台；</w:t>
            </w:r>
          </w:p>
          <w:p>
            <w:pPr>
              <w:pStyle w:val="null3"/>
            </w:pPr>
            <w:r>
              <w:rPr/>
              <w:t>2.11.24 排风管 1套；</w:t>
            </w:r>
          </w:p>
          <w:p>
            <w:pPr>
              <w:pStyle w:val="null3"/>
            </w:pPr>
            <w:r>
              <w:rPr/>
              <w:t>2.11.25 多元素（≥30种）混合标准溶液（50ml） 3瓶</w:t>
            </w:r>
          </w:p>
          <w:p>
            <w:pPr>
              <w:pStyle w:val="null3"/>
            </w:pPr>
            <w:r>
              <w:rPr/>
              <w:t>2.11.26 内标标准溶液（50ml）3瓶</w:t>
            </w:r>
          </w:p>
          <w:p>
            <w:pPr>
              <w:pStyle w:val="null3"/>
            </w:pPr>
            <w:r>
              <w:rPr/>
              <w:t>2.11.27 10KVA工频不间断电源 UPS 1台，蓄电时间≥60min；</w:t>
            </w:r>
          </w:p>
          <w:p>
            <w:pPr>
              <w:pStyle w:val="null3"/>
            </w:pPr>
            <w:r>
              <w:rPr/>
              <w:t>2.11.28 氩气钢瓶（40L，纯度 99.999%）2瓶</w:t>
            </w:r>
          </w:p>
          <w:p>
            <w:pPr>
              <w:pStyle w:val="null3"/>
            </w:pPr>
            <w:r>
              <w:rPr/>
              <w:t>2.11.29 氦气钢瓶（8L，纯度 99.999%）1瓶</w:t>
            </w:r>
          </w:p>
          <w:p>
            <w:pPr>
              <w:pStyle w:val="null3"/>
            </w:pPr>
            <w:r>
              <w:rPr/>
              <w:t>2.11.30 氦气减压表1个</w:t>
            </w:r>
          </w:p>
          <w:p>
            <w:pPr>
              <w:pStyle w:val="null3"/>
            </w:pPr>
            <w:r>
              <w:rPr/>
              <w:t>2.11.31 氩气减压表 2个</w:t>
            </w:r>
          </w:p>
          <w:p>
            <w:pPr>
              <w:pStyle w:val="null3"/>
            </w:pPr>
            <w:r>
              <w:rPr/>
              <w:t xml:space="preserve"> </w:t>
            </w:r>
          </w:p>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合同签订后90日内货到采购人指定地点； 安装调试时间：合同签订后120日内；</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技术协议签订后，15日内，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国产设备：货到西安工业大学指定地点经验收合格后，采购人15日内支付成交金额的100%</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 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 3. 技术服务及培训（未按约完成技术服务及培训的下述条款，采购人有权扣除履约保证金总金额的5%-10%）： 乙方免费派一名原厂应用工程师前往甲方现场进行应用培训，对甲方进行5人以上的仪器操作和日常维护的现场培训，包括仪器原理、使用方法和维护方法等，培训时间计划表和培训大纲经双方协商确定，培训至甲方能够独立掌握仪器操作及日常维护。4.其他：本项目所配备气瓶等内容，应满足国家、省市及学校对该类设备的要求及标准，并提供相应资料。</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 投标货物生产商必须在境内设有售后服务中心； (2) 投标方必须提供明确的售后承诺和售后服务方案； (3) 质保期：仪器设备质保期5年，质保期自买方验收签字之日起计算；质保期内的零部件、配件和人工等均为免费；质保期内，责任工程师不少于3次回访，免费提供不小于1次维修保养服务，免费提供维修所用的全部零部件； (4) 设备质保期满前1个月，卖方免费提供一次全面的检查、维护，并写出正式报告，如发现潜在问题，应负责排除； (5) 维保服务：质保期结束以后，责任工程师每年定期回访客户不少于3次，及时为设备进行检查和问诊；</w:t>
      </w:r>
    </w:p>
    <w:p>
      <w:pPr>
        <w:pStyle w:val="null3"/>
        <w:outlineLvl w:val="3"/>
      </w:pPr>
      <w:r>
        <w:rPr>
          <w:sz w:val="24"/>
          <w:b/>
        </w:rPr>
        <w:t>3.4.8违约责任与解决争议的方法</w:t>
      </w:r>
    </w:p>
    <w:p>
      <w:pPr>
        <w:pStyle w:val="null3"/>
      </w:pPr>
      <w:r>
        <w:rPr/>
        <w:t>采购包1：</w:t>
      </w:r>
    </w:p>
    <w:p>
      <w:pPr>
        <w:pStyle w:val="null3"/>
      </w:pPr>
      <w:r>
        <w:rPr/>
        <w:t>按照招标文件以及合同要求</w:t>
      </w:r>
    </w:p>
    <w:p>
      <w:pPr>
        <w:pStyle w:val="null3"/>
        <w:jc w:val="left"/>
        <w:outlineLvl w:val="2"/>
      </w:pPr>
      <w:r>
        <w:rPr>
          <w:sz w:val="28"/>
          <w:b/>
        </w:rPr>
        <w:t>3.5其他要求</w:t>
      </w:r>
    </w:p>
    <w:p>
      <w:pPr>
        <w:pStyle w:val="null3"/>
      </w:pPr>
      <w:r>
        <w:rPr/>
        <w:t>1、标的清单具体内容根据法律规定公布主要标的的名称、规格型号、数 量、单价。 本项目主要标的：同核心产品 2、为顺利推进政府采购电子化交易平台应用工作，投标人需要在线提交所有通 过电子化交易平台实施的政府采购项目的投标文件，同时，线下提交投标文件正本壹份、副本贰份、电子版壹份（U盘一份标 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3、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4、中标人无正当理由 拒签合同的，或在接到中标通知书规定的时间内，借故拖延、拒签合同者，采购人取消其中标资格，其投标保证金不予退还； 给采购人造成的损失超过投标保证金数额的，中标人还应对超过部分予以赔偿。同时报请政府采购监督机构通报全省，取消其进入政府采购市场的资格，并按规定予以处罚。 5、其他要求：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供应商应当按磋商文件规定的供货及服务要求、责任范围和合同条件，以人民币进行报价。 报价包含全套货物抵达用户现场，安装验收直至投入使用期间，所需费用。报价包含但不限于人工费、辅材费、税费、安装调试费、培训费等（上述费用包含在总报价中但不得在分项价格表中单独列出）全部内容。 因采购人具有科教免税资格，进口设备可以报免税报价，报价需含外贸代理服务费（本类设备能否免税，供应商需在海关免税目录中自行查询确认）。不在教科文减免范围的设备应按含税开展报价。免税报价包含外贸代理服务费。（供应商所供设备如均为国产设备，需在中标后开具受益人为西安工业大学的预付款保函，有效期不短于全部货物抵达采购人指定地点所约定时间，具体以合同签订为准。） （3）支付条件相关要求： 国产设备： 货到西安工业大学指定地点经验收合格后，采购人15日内支付成交金额的100%； 进口设备： 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 预付款保函（采购人有要求） 预付款保函期限：半年（根据到货期需要可以适当延长时限）。 预付款保函受益人：西安工业大学。 预付款保函形式：外贸代理公司/中标供应商出具银行成交等额预付款保函原件，采购人可支付成交预付款的100%，货到采购人指定地点后，采购人退还预付款保函原件。开具预付款保函所产生的相关费用均由中标供应商承担。收到中标通知书后2日内，中标供应商应携带相关资料前往西安工业大学进行合同签订准备。因供应商原因导致的未顺利签订合同或无法付款造成损失，均由供应商承担。本项目投标有效期为120日历日，中标单位投标有效期自动延长至本项目履约结束后。 （4）收到中标通知书后2日内，中标供应商应携带相关资料前往西安工业大学进行合同签订准备。因供应商原因导致的未顺利签订合同或无法付款造成损失，均由供应商承担。本项目投标有效期为120日历日，中标单位投标有效期自动延长至本项目履约结束后。 （5）在合同履行过程中，如发生合同纠纷，合同双方应按照中华人民共和国法律解释，按照《中华人民共和国民法典》规定及合同条款约定进行处理。本项目已通过进口产品论证，投标文件中接受外文资料，但主要部分仍应尽量对应翻译成中文并附在相关外文资料后面。因无对应翻译或不一致产生的问题，按不利于供应商的原则进行处理。本项目不强制要求文件第2.4.4知识产权第二条要求。 （6）文件条款不一致以本要求为准。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任意一个月的纳税证明或完税证明，纳税证明或完税证明上应有代收机构或税务机关的公章或业务专用章；其他组织和自然人提供自2023年11月1日以来任意一个月缴纳税收的凭据；依法免税的投标人应提供相关文件证明 ③社会保障资金缴纳证明：提供自2023年11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投标函 2资格证明文件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2资格证明文件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本项目的特定资格要求</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2资格证明文件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法定代表人参加投标的，须出示身份证；法定代表人授权本单位他人参加投标的，须提供法定代表人授权委托书及被授权人身份证复印件。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2资格证明文件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1分项价格表 开标一览表 投标函 5技术响应与偏离表 标的清单 投标文件封面 4承诺书 6技术参数 3商务部分偏离表</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(2)不满足本招标文件中“交货时间、交货地点、采购资金的支付方式及约定、质量保修范围和保修期”的实质性条款要求的； (3)投标有效期不足的或无有效期的（有效期前后不一致等情形可以由评标委员会发起澄清）； (4)报价超过招标文件中规定的预算金额或最高限价的；(5)法律、法规和招标文件规定的其他无效情形。</w:t>
            </w:r>
          </w:p>
        </w:tc>
        <w:tc>
          <w:tcPr>
            <w:tcW w:type="dxa" w:w="1661"/>
          </w:tcPr>
          <w:p>
            <w:pPr>
              <w:pStyle w:val="null3"/>
            </w:pPr>
            <w:r>
              <w:rPr/>
              <w:t>1分项价格表 投标函 5技术响应与偏离表 标的清单 投标文件封面 4承诺书 3商务部分偏离表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30分：完全符合、响应招标文件要求，且配置内容全面、完整，没有负偏离计30分；“▲”号参数为重要技术指标，负偏离一项扣1分，非“▲”号参数每负偏离一项扣0.5分。“▲”号指标必须提供佐证材料（包括但不限于检测报告或产品彩页或带网址链接的官网截图或盖厂家公章的技术参数说明或盖厂家公章功能截图等技术支持性文件），否则视为负偏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5技术响应与偏离表</w:t>
            </w:r>
          </w:p>
          <w:p>
            <w:pPr>
              <w:pStyle w:val="null3"/>
            </w:pPr>
            <w:r>
              <w:rPr/>
              <w:t>6技术参数</w:t>
            </w:r>
          </w:p>
        </w:tc>
      </w:tr>
      <w:tr>
        <w:tc>
          <w:tcPr>
            <w:tcW w:type="dxa" w:w="831"/>
            <w:vMerge/>
          </w:tcPr>
          <w:p/>
        </w:tc>
        <w:tc>
          <w:tcPr>
            <w:tcW w:type="dxa" w:w="1661"/>
          </w:tcPr>
          <w:p>
            <w:pPr>
              <w:pStyle w:val="null3"/>
            </w:pPr>
            <w:r>
              <w:rPr/>
              <w:t>需求理解</w:t>
            </w:r>
          </w:p>
        </w:tc>
        <w:tc>
          <w:tcPr>
            <w:tcW w:type="dxa" w:w="2492"/>
          </w:tcPr>
          <w:p>
            <w:pPr>
              <w:pStyle w:val="null3"/>
            </w:pPr>
            <w:r>
              <w:rPr/>
              <w:t>针对本项目采购人要求的服务内容有完整、明确的需求理解，解读全面，掌握相关项目情况，贴近项目，贴合需求满足招标文件要求，无瑕疵：3分； 内容存在1处瑕疵：2分； 内容存在2处瑕疵：1分； 未提供方案或不满足招标文件要求或内容存在3处及以上瑕疵：0分；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7需求理解</w:t>
            </w:r>
          </w:p>
        </w:tc>
      </w:tr>
      <w:tr>
        <w:tc>
          <w:tcPr>
            <w:tcW w:type="dxa" w:w="831"/>
            <w:vMerge/>
          </w:tcPr>
          <w:p/>
        </w:tc>
        <w:tc>
          <w:tcPr>
            <w:tcW w:type="dxa" w:w="1661"/>
          </w:tcPr>
          <w:p>
            <w:pPr>
              <w:pStyle w:val="null3"/>
            </w:pPr>
            <w:r>
              <w:rPr/>
              <w:t>整体实施方案</w:t>
            </w:r>
          </w:p>
        </w:tc>
        <w:tc>
          <w:tcPr>
            <w:tcW w:type="dxa" w:w="2492"/>
          </w:tcPr>
          <w:p>
            <w:pPr>
              <w:pStyle w:val="null3"/>
            </w:pPr>
            <w:r>
              <w:rPr/>
              <w:t>针对本项目提供完整、具体可行的 整体实施方案。 满足招标文件要求，无瑕疵：8分； 内容存在1处瑕疵：6分； 内容存在2处瑕疵：4分； 内容存在3处瑕疵：2分； 未提供方案或不满足招标文件要求或内容存在5处及以上瑕疵：0分；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8整体实施方案</w:t>
            </w:r>
          </w:p>
        </w:tc>
      </w:tr>
      <w:tr>
        <w:tc>
          <w:tcPr>
            <w:tcW w:type="dxa" w:w="831"/>
            <w:vMerge/>
          </w:tcPr>
          <w:p/>
        </w:tc>
        <w:tc>
          <w:tcPr>
            <w:tcW w:type="dxa" w:w="1661"/>
          </w:tcPr>
          <w:p>
            <w:pPr>
              <w:pStyle w:val="null3"/>
            </w:pPr>
            <w:r>
              <w:rPr/>
              <w:t>质量保障措施</w:t>
            </w:r>
          </w:p>
        </w:tc>
        <w:tc>
          <w:tcPr>
            <w:tcW w:type="dxa" w:w="2492"/>
          </w:tcPr>
          <w:p>
            <w:pPr>
              <w:pStyle w:val="null3"/>
            </w:pPr>
            <w:r>
              <w:rPr/>
              <w:t>供应商针对本项目提供完整、具体可行的质量保障措施。 满足招标文件要求，无瑕疵：6分； 内容存在1处瑕疵：4分； 内容存在2处瑕疵：2分； 未提供方案或不满足招标文件要求或内容存在3处及以上瑕疵：0分；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9质量保障措施</w:t>
            </w:r>
          </w:p>
        </w:tc>
      </w:tr>
      <w:tr>
        <w:tc>
          <w:tcPr>
            <w:tcW w:type="dxa" w:w="831"/>
            <w:vMerge/>
          </w:tcPr>
          <w:p/>
        </w:tc>
        <w:tc>
          <w:tcPr>
            <w:tcW w:type="dxa" w:w="1661"/>
          </w:tcPr>
          <w:p>
            <w:pPr>
              <w:pStyle w:val="null3"/>
            </w:pPr>
            <w:r>
              <w:rPr/>
              <w:t>供货组织方案</w:t>
            </w:r>
          </w:p>
        </w:tc>
        <w:tc>
          <w:tcPr>
            <w:tcW w:type="dxa" w:w="2492"/>
          </w:tcPr>
          <w:p>
            <w:pPr>
              <w:pStyle w:val="null3"/>
            </w:pPr>
            <w:r>
              <w:rPr/>
              <w:t>投标人针对本项目有具体的供货组织方案，方案应至少包括但不限于详细的人员、财力调配、运输、派送措施及设备验收方案，以及确保按时发货、运货、安装的时效保障措施等，就其方案是否合理科学，措施得当，是否针对本项目供货组织方案实施提出重点、难点及其解决方案等进行综合评审赋分。 满足招标文件要求，无瑕疵：6分； 方案内容存在1处瑕疵4分； 方案内容存在2处瑕疵2分； 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10供货组织方案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提供投标人2021年1月1日至今所投产品相同型号业绩合同(以合同签订日期为准)，每提供1个得1分，最高得7分。 备注：投标文件中提供合同复印件加盖公章。</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11业绩</w:t>
            </w:r>
          </w:p>
        </w:tc>
      </w:tr>
      <w:tr>
        <w:tc>
          <w:tcPr>
            <w:tcW w:type="dxa" w:w="831"/>
            <w:vMerge/>
          </w:tcPr>
          <w:p/>
        </w:tc>
        <w:tc>
          <w:tcPr>
            <w:tcW w:type="dxa" w:w="1661"/>
          </w:tcPr>
          <w:p>
            <w:pPr>
              <w:pStyle w:val="null3"/>
            </w:pPr>
            <w:r>
              <w:rPr/>
              <w:t>售后服务方案</w:t>
            </w:r>
          </w:p>
        </w:tc>
        <w:tc>
          <w:tcPr>
            <w:tcW w:type="dxa" w:w="2492"/>
          </w:tcPr>
          <w:p>
            <w:pPr>
              <w:pStyle w:val="null3"/>
            </w:pPr>
            <w:r>
              <w:rPr/>
              <w:t>投标人针对本项目有具体的售后服务方案，方案应至少包括但不限于售后服务计划，相应的物力、人力、场所保障（保障及时有效的完成售后服务），定期的维保维护计划，针对高校特点提供的针对性培训计划及方案，售后考核方案及承诺，安全应急预案等，就其方案是否合理科学，措施得当赋分。 满足招标文件要求，无瑕疵：5分； 方案内容存在1处瑕疵3分； 方案内容存在2处瑕疵1分； 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12售后服务</w:t>
            </w:r>
          </w:p>
        </w:tc>
      </w:tr>
      <w:tr>
        <w:tc>
          <w:tcPr>
            <w:tcW w:type="dxa" w:w="831"/>
            <w:vMerge/>
          </w:tcPr>
          <w:p/>
        </w:tc>
        <w:tc>
          <w:tcPr>
            <w:tcW w:type="dxa" w:w="1661"/>
          </w:tcPr>
          <w:p>
            <w:pPr>
              <w:pStyle w:val="null3"/>
            </w:pPr>
            <w:r>
              <w:rPr/>
              <w:t>培训方案</w:t>
            </w:r>
          </w:p>
        </w:tc>
        <w:tc>
          <w:tcPr>
            <w:tcW w:type="dxa" w:w="2492"/>
          </w:tcPr>
          <w:p>
            <w:pPr>
              <w:pStyle w:val="null3"/>
            </w:pPr>
            <w:r>
              <w:rPr/>
              <w:t>投标人针对本项目有具体的培训方案，方案应至少包括但不限于培训服务计划，硬件保障、场所保障，针对高校特点提供的针对性培训计划及方案。就其方案是否合理科学，措施得当进行综合评审赋分。 满足招标文件要求，无瑕疵：4分； 方案内容存在1处瑕疵2分； 未提供方案或内容存在2处及以上瑕疵：0分；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13培训方案</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14节能环保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详见附件：2资格证明文件</w:t>
      </w:r>
    </w:p>
    <w:p>
      <w:pPr>
        <w:pStyle w:val="null3"/>
        <w:ind w:firstLine="960"/>
      </w:pPr>
      <w:r>
        <w:rPr/>
        <w:t>详见附件：3商务部分偏离表</w:t>
      </w:r>
    </w:p>
    <w:p>
      <w:pPr>
        <w:pStyle w:val="null3"/>
        <w:ind w:firstLine="960"/>
      </w:pPr>
      <w:r>
        <w:rPr/>
        <w:t>详见附件：4承诺书</w:t>
      </w:r>
    </w:p>
    <w:p>
      <w:pPr>
        <w:pStyle w:val="null3"/>
        <w:ind w:firstLine="960"/>
      </w:pPr>
      <w:r>
        <w:rPr/>
        <w:t>详见附件：5技术响应与偏离表</w:t>
      </w:r>
    </w:p>
    <w:p>
      <w:pPr>
        <w:pStyle w:val="null3"/>
        <w:ind w:firstLine="960"/>
      </w:pPr>
      <w:r>
        <w:rPr/>
        <w:t>详见附件：6技术参数</w:t>
      </w:r>
    </w:p>
    <w:p>
      <w:pPr>
        <w:pStyle w:val="null3"/>
        <w:ind w:firstLine="960"/>
      </w:pPr>
      <w:r>
        <w:rPr/>
        <w:t>详见附件：7需求理解</w:t>
      </w:r>
    </w:p>
    <w:p>
      <w:pPr>
        <w:pStyle w:val="null3"/>
        <w:ind w:firstLine="960"/>
      </w:pPr>
      <w:r>
        <w:rPr/>
        <w:t>详见附件：8整体实施方案</w:t>
      </w:r>
    </w:p>
    <w:p>
      <w:pPr>
        <w:pStyle w:val="null3"/>
        <w:ind w:firstLine="960"/>
      </w:pPr>
      <w:r>
        <w:rPr/>
        <w:t>详见附件：9质量保障措施</w:t>
      </w:r>
    </w:p>
    <w:p>
      <w:pPr>
        <w:pStyle w:val="null3"/>
        <w:ind w:firstLine="960"/>
      </w:pPr>
      <w:r>
        <w:rPr/>
        <w:t>详见附件：10供货组织方案</w:t>
      </w:r>
    </w:p>
    <w:p>
      <w:pPr>
        <w:pStyle w:val="null3"/>
        <w:ind w:firstLine="960"/>
      </w:pPr>
      <w:r>
        <w:rPr/>
        <w:t>详见附件：11业绩</w:t>
      </w:r>
    </w:p>
    <w:p>
      <w:pPr>
        <w:pStyle w:val="null3"/>
        <w:ind w:firstLine="960"/>
      </w:pPr>
      <w:r>
        <w:rPr/>
        <w:t>详见附件：12售后服务</w:t>
      </w:r>
    </w:p>
    <w:p>
      <w:pPr>
        <w:pStyle w:val="null3"/>
        <w:ind w:firstLine="960"/>
      </w:pPr>
      <w:r>
        <w:rPr/>
        <w:t>详见附件：13培训方案</w:t>
      </w:r>
    </w:p>
    <w:p>
      <w:pPr>
        <w:pStyle w:val="null3"/>
        <w:ind w:firstLine="960"/>
      </w:pPr>
      <w:r>
        <w:rPr/>
        <w:t>详见附件：14节能环保</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