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39584">
      <w:pPr>
        <w:pStyle w:val="2"/>
        <w:bidi w:val="0"/>
        <w:jc w:val="center"/>
        <w:rPr>
          <w:rFonts w:hint="eastAsia"/>
          <w:highlight w:val="none"/>
        </w:rPr>
      </w:pPr>
      <w:r>
        <w:rPr>
          <w:rFonts w:hint="eastAsia"/>
          <w:highlight w:val="none"/>
        </w:rPr>
        <w:t>拟签订合同文本</w:t>
      </w:r>
    </w:p>
    <w:p w14:paraId="34F120F7">
      <w:pPr>
        <w:shd w:val="clear"/>
        <w:wordWrap w:val="0"/>
        <w:jc w:val="right"/>
        <w:rPr>
          <w:rFonts w:hint="eastAsia" w:ascii="黑体" w:hAnsi="黑体" w:eastAsia="黑体" w:cs="黑体"/>
          <w:sz w:val="24"/>
          <w:szCs w:val="24"/>
          <w:highlight w:val="none"/>
          <w:lang w:eastAsia="zh-CN"/>
        </w:rPr>
      </w:pPr>
      <w:r>
        <w:rPr>
          <w:rFonts w:hint="eastAsia" w:ascii="宋体" w:hAnsi="宋体" w:eastAsia="宋体" w:cs="宋体"/>
          <w:sz w:val="24"/>
          <w:szCs w:val="24"/>
          <w:highlight w:val="none"/>
        </w:rPr>
        <w:t xml:space="preserve"> </w:t>
      </w:r>
      <w:r>
        <w:rPr>
          <w:rFonts w:hint="eastAsia" w:ascii="黑体" w:hAnsi="宋体" w:eastAsia="黑体"/>
          <w:b/>
          <w:sz w:val="24"/>
          <w:highlight w:val="none"/>
        </w:rPr>
        <w:t>合同编号：</w:t>
      </w:r>
      <w:r>
        <w:rPr>
          <w:rFonts w:hint="eastAsia" w:ascii="黑体" w:hAnsi="黑体" w:eastAsia="黑体" w:cs="黑体"/>
          <w:b/>
          <w:bCs/>
          <w:sz w:val="24"/>
          <w:szCs w:val="24"/>
          <w:highlight w:val="none"/>
          <w:lang w:val="en-US" w:eastAsia="zh-CN"/>
        </w:rPr>
        <w:t xml:space="preserve"> </w:t>
      </w:r>
    </w:p>
    <w:p w14:paraId="177973CC">
      <w:pPr>
        <w:pStyle w:val="6"/>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p w14:paraId="1BEF24C1">
      <w:pPr>
        <w:pStyle w:val="6"/>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44"/>
          <w:szCs w:val="44"/>
          <w:highlight w:val="none"/>
          <w:lang w:eastAsia="zh-CN"/>
        </w:rPr>
      </w:pPr>
    </w:p>
    <w:p w14:paraId="2DD35EFA">
      <w:pPr>
        <w:pStyle w:val="6"/>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lang w:eastAsia="zh-CN"/>
        </w:rPr>
        <w:t>陕西科技大学</w:t>
      </w:r>
    </w:p>
    <w:p w14:paraId="2B3DFB30">
      <w:pPr>
        <w:pStyle w:val="6"/>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lang w:eastAsia="zh-CN"/>
        </w:rPr>
        <w:t>动态热机械分析仪等设备采购项目</w:t>
      </w:r>
    </w:p>
    <w:p w14:paraId="355CC7A1">
      <w:pPr>
        <w:pStyle w:val="6"/>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44"/>
          <w:szCs w:val="44"/>
          <w:highlight w:val="none"/>
          <w:lang w:eastAsia="zh-CN"/>
        </w:rPr>
      </w:pPr>
      <w:r>
        <w:rPr>
          <w:rFonts w:hint="eastAsia" w:ascii="宋体" w:hAnsi="宋体" w:eastAsia="宋体" w:cs="宋体"/>
          <w:b/>
          <w:sz w:val="44"/>
          <w:szCs w:val="44"/>
          <w:highlight w:val="none"/>
          <w:lang w:eastAsia="zh-CN"/>
        </w:rPr>
        <w:br w:type="textWrapping"/>
      </w:r>
    </w:p>
    <w:p w14:paraId="1D5E7620">
      <w:pPr>
        <w:shd w:val="clear"/>
        <w:jc w:val="center"/>
        <w:rPr>
          <w:rFonts w:hint="eastAsia"/>
          <w:b/>
          <w:sz w:val="72"/>
          <w:szCs w:val="72"/>
          <w:highlight w:val="none"/>
        </w:rPr>
      </w:pPr>
    </w:p>
    <w:p w14:paraId="5197EE38">
      <w:pPr>
        <w:shd w:val="clear"/>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lang w:eastAsia="zh-CN"/>
        </w:rPr>
        <w:t>采</w:t>
      </w:r>
      <w:r>
        <w:rPr>
          <w:rFonts w:hint="eastAsia" w:ascii="宋体" w:hAnsi="宋体" w:eastAsia="宋体" w:cs="宋体"/>
          <w:b/>
          <w:sz w:val="72"/>
          <w:szCs w:val="72"/>
          <w:highlight w:val="none"/>
          <w:lang w:val="en-US" w:eastAsia="zh-CN"/>
        </w:rPr>
        <w:t xml:space="preserve"> </w:t>
      </w:r>
      <w:r>
        <w:rPr>
          <w:rFonts w:hint="eastAsia" w:ascii="宋体" w:hAnsi="宋体" w:eastAsia="宋体" w:cs="宋体"/>
          <w:b/>
          <w:sz w:val="72"/>
          <w:szCs w:val="72"/>
          <w:highlight w:val="none"/>
          <w:lang w:eastAsia="zh-CN"/>
        </w:rPr>
        <w:t>购</w:t>
      </w:r>
      <w:r>
        <w:rPr>
          <w:rFonts w:hint="eastAsia" w:ascii="宋体" w:hAnsi="宋体" w:eastAsia="宋体" w:cs="宋体"/>
          <w:b/>
          <w:sz w:val="72"/>
          <w:szCs w:val="72"/>
          <w:highlight w:val="none"/>
          <w:lang w:val="en-US" w:eastAsia="zh-CN"/>
        </w:rPr>
        <w:t xml:space="preserve"> </w:t>
      </w:r>
      <w:r>
        <w:rPr>
          <w:rFonts w:hint="eastAsia" w:ascii="宋体" w:hAnsi="宋体" w:eastAsia="宋体" w:cs="宋体"/>
          <w:b/>
          <w:sz w:val="72"/>
          <w:szCs w:val="72"/>
          <w:highlight w:val="none"/>
        </w:rPr>
        <w:t>供 货 合 同</w:t>
      </w:r>
    </w:p>
    <w:p w14:paraId="53ECFB44">
      <w:pPr>
        <w:shd w:val="clear"/>
        <w:jc w:val="center"/>
        <w:rPr>
          <w:rFonts w:hint="eastAsia" w:ascii="黑体" w:eastAsia="黑体"/>
          <w:sz w:val="30"/>
          <w:szCs w:val="30"/>
          <w:highlight w:val="none"/>
        </w:rPr>
      </w:pPr>
    </w:p>
    <w:p w14:paraId="47460380">
      <w:pPr>
        <w:shd w:val="clear"/>
        <w:jc w:val="center"/>
        <w:rPr>
          <w:rFonts w:hint="eastAsia" w:ascii="黑体" w:eastAsia="黑体"/>
          <w:sz w:val="30"/>
          <w:szCs w:val="30"/>
          <w:highlight w:val="none"/>
        </w:rPr>
      </w:pPr>
    </w:p>
    <w:p w14:paraId="6086458B">
      <w:pPr>
        <w:pStyle w:val="3"/>
        <w:rPr>
          <w:rFonts w:hint="eastAsia"/>
          <w:highlight w:val="none"/>
        </w:rPr>
      </w:pPr>
    </w:p>
    <w:p w14:paraId="27BB7A05">
      <w:pPr>
        <w:shd w:val="clear"/>
        <w:ind w:firstLine="2570" w:firstLineChars="800"/>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rPr>
        <w:t>甲  方：</w:t>
      </w:r>
      <w:r>
        <w:rPr>
          <w:rFonts w:hint="eastAsia" w:ascii="宋体" w:hAnsi="宋体" w:eastAsia="宋体" w:cs="宋体"/>
          <w:b/>
          <w:bCs/>
          <w:sz w:val="32"/>
          <w:szCs w:val="32"/>
          <w:highlight w:val="none"/>
          <w:u w:val="single"/>
          <w:lang w:eastAsia="zh-CN"/>
        </w:rPr>
        <w:t>陕西科技大学</w:t>
      </w:r>
    </w:p>
    <w:p w14:paraId="2B014E1C">
      <w:pPr>
        <w:shd w:val="clear"/>
        <w:ind w:firstLine="2570" w:firstLineChars="800"/>
        <w:rPr>
          <w:rFonts w:hint="default" w:ascii="宋体" w:hAnsi="宋体" w:eastAsia="宋体" w:cs="宋体"/>
          <w:b/>
          <w:bCs/>
          <w:sz w:val="32"/>
          <w:szCs w:val="32"/>
          <w:highlight w:val="none"/>
          <w:u w:val="single"/>
          <w:lang w:val="en-US" w:eastAsia="zh-CN"/>
        </w:rPr>
      </w:pPr>
      <w:r>
        <w:rPr>
          <w:rFonts w:hint="eastAsia" w:ascii="宋体" w:hAnsi="宋体" w:eastAsia="宋体" w:cs="宋体"/>
          <w:b/>
          <w:bCs/>
          <w:sz w:val="32"/>
          <w:szCs w:val="32"/>
          <w:highlight w:val="none"/>
        </w:rPr>
        <w:t>乙  方：</w:t>
      </w:r>
      <w:r>
        <w:rPr>
          <w:rFonts w:hint="eastAsia" w:ascii="宋体" w:hAnsi="宋体" w:eastAsia="宋体" w:cs="宋体"/>
          <w:b/>
          <w:bCs/>
          <w:sz w:val="32"/>
          <w:szCs w:val="32"/>
          <w:highlight w:val="none"/>
          <w:u w:val="single"/>
          <w:lang w:val="en-US" w:eastAsia="zh-CN"/>
        </w:rPr>
        <w:t xml:space="preserve">            </w:t>
      </w:r>
    </w:p>
    <w:p w14:paraId="7E283374">
      <w:pPr>
        <w:shd w:val="clear"/>
        <w:ind w:firstLine="1928" w:firstLineChars="600"/>
        <w:rPr>
          <w:rFonts w:hint="eastAsia" w:ascii="黑体" w:eastAsia="黑体"/>
          <w:b/>
          <w:bCs/>
          <w:sz w:val="32"/>
          <w:szCs w:val="32"/>
          <w:highlight w:val="none"/>
        </w:rPr>
      </w:pPr>
    </w:p>
    <w:p w14:paraId="488F94D0">
      <w:pPr>
        <w:shd w:val="clear"/>
        <w:ind w:firstLine="1928" w:firstLineChars="600"/>
        <w:rPr>
          <w:rFonts w:hint="eastAsia" w:ascii="黑体" w:eastAsia="黑体"/>
          <w:b/>
          <w:bCs/>
          <w:sz w:val="32"/>
          <w:szCs w:val="32"/>
          <w:highlight w:val="none"/>
        </w:rPr>
      </w:pPr>
    </w:p>
    <w:p w14:paraId="05493FA7">
      <w:pPr>
        <w:pStyle w:val="7"/>
        <w:shd w:val="clear"/>
        <w:rPr>
          <w:rFonts w:hint="eastAsia"/>
          <w:b/>
          <w:bCs/>
          <w:highlight w:val="none"/>
        </w:rPr>
      </w:pPr>
    </w:p>
    <w:p w14:paraId="275E2C6C">
      <w:pPr>
        <w:shd w:val="clear"/>
        <w:jc w:val="center"/>
        <w:rPr>
          <w:rFonts w:hint="eastAsia"/>
          <w:b/>
          <w:bCs/>
          <w:sz w:val="24"/>
          <w:highlight w:val="none"/>
        </w:rPr>
      </w:pPr>
    </w:p>
    <w:p w14:paraId="5581B276">
      <w:pPr>
        <w:shd w:val="clear"/>
        <w:jc w:val="center"/>
        <w:rPr>
          <w:rFonts w:hint="eastAsia"/>
          <w:b/>
          <w:bCs/>
          <w:sz w:val="24"/>
          <w:highlight w:val="none"/>
        </w:rPr>
      </w:pPr>
    </w:p>
    <w:p w14:paraId="670AFB50">
      <w:pPr>
        <w:shd w:val="clear"/>
        <w:jc w:val="center"/>
        <w:rPr>
          <w:b/>
          <w:bCs/>
          <w:highlight w:val="none"/>
        </w:rPr>
      </w:pPr>
      <w:r>
        <w:rPr>
          <w:rFonts w:hint="eastAsia"/>
          <w:b/>
          <w:bCs/>
          <w:sz w:val="24"/>
          <w:highlight w:val="none"/>
        </w:rPr>
        <w:t>合同签订地：</w:t>
      </w:r>
      <w:r>
        <w:rPr>
          <w:rFonts w:hint="eastAsia"/>
          <w:b/>
          <w:bCs/>
          <w:sz w:val="24"/>
          <w:highlight w:val="none"/>
          <w:lang w:val="en-US" w:eastAsia="zh-CN"/>
        </w:rPr>
        <w:t>西安市</w:t>
      </w:r>
    </w:p>
    <w:p w14:paraId="2DB8C3FB">
      <w:pPr>
        <w:kinsoku w:val="0"/>
        <w:spacing w:line="360" w:lineRule="auto"/>
        <w:jc w:val="center"/>
        <w:rPr>
          <w:rFonts w:hint="eastAsia" w:ascii="宋体" w:hAnsi="宋体" w:eastAsia="宋体" w:cs="宋体"/>
          <w:b/>
          <w:sz w:val="24"/>
          <w:szCs w:val="24"/>
        </w:rPr>
      </w:pPr>
      <w:r>
        <w:rPr>
          <w:rFonts w:hint="eastAsia" w:hAnsi="宋体"/>
          <w:b/>
          <w:bCs/>
          <w:sz w:val="36"/>
          <w:szCs w:val="36"/>
        </w:rPr>
        <w:br w:type="page"/>
      </w:r>
      <w:r>
        <w:rPr>
          <w:rFonts w:hint="eastAsia" w:ascii="宋体" w:hAnsi="宋体" w:eastAsia="宋体" w:cs="宋体"/>
          <w:b/>
          <w:sz w:val="24"/>
          <w:szCs w:val="24"/>
        </w:rPr>
        <w:t>采购供货合同</w:t>
      </w:r>
    </w:p>
    <w:p w14:paraId="1F7918B8">
      <w:pPr>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甲方：陕西科技大学</w:t>
      </w:r>
    </w:p>
    <w:p w14:paraId="21E9B151">
      <w:pPr>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28010903">
      <w:pPr>
        <w:kinsoku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根据《中华人民共和国政府采购法》、《中华人民共和国民法典》等法律法规，甲方通过公开招标，选定乙方为中标单位。甲、乙双方在平等基础上协商一致，达成如下合同条款：</w:t>
      </w:r>
    </w:p>
    <w:p w14:paraId="04460DBB">
      <w:pPr>
        <w:widowControl w:val="0"/>
        <w:numPr>
          <w:ilvl w:val="0"/>
          <w:numId w:val="0"/>
        </w:numPr>
        <w:kinsoku w:val="0"/>
        <w:spacing w:line="360" w:lineRule="auto"/>
        <w:ind w:left="251" w:leftChars="114" w:hanging="12" w:hangingChars="5"/>
        <w:rPr>
          <w:rFonts w:hint="eastAsia" w:ascii="宋体" w:hAnsi="宋体" w:eastAsia="宋体" w:cs="宋体"/>
          <w:sz w:val="24"/>
          <w:szCs w:val="24"/>
        </w:rPr>
      </w:pPr>
      <w:r>
        <w:rPr>
          <w:rFonts w:hint="eastAsia" w:ascii="宋体" w:hAnsi="宋体" w:eastAsia="宋体" w:cs="宋体"/>
          <w:sz w:val="24"/>
          <w:szCs w:val="24"/>
          <w:lang w:val="en-US" w:eastAsia="zh-CN" w:bidi="ar-SA"/>
        </w:rPr>
        <w:t>1、</w:t>
      </w:r>
      <w:r>
        <w:rPr>
          <w:rFonts w:hint="eastAsia" w:ascii="宋体" w:hAnsi="宋体" w:eastAsia="宋体" w:cs="宋体"/>
          <w:b/>
          <w:sz w:val="24"/>
          <w:szCs w:val="24"/>
        </w:rPr>
        <w:t>合同内容</w:t>
      </w:r>
      <w:r>
        <w:rPr>
          <w:rFonts w:hint="eastAsia" w:ascii="宋体" w:hAnsi="宋体" w:eastAsia="宋体" w:cs="宋体"/>
          <w:b/>
          <w:sz w:val="24"/>
          <w:szCs w:val="24"/>
          <w:lang w:val="en-US" w:eastAsia="zh-CN"/>
        </w:rPr>
        <w:t xml:space="preserve">                        包号：         单位：元</w:t>
      </w:r>
    </w:p>
    <w:tbl>
      <w:tblPr>
        <w:tblStyle w:val="4"/>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1821"/>
        <w:gridCol w:w="1417"/>
        <w:gridCol w:w="1242"/>
        <w:gridCol w:w="783"/>
        <w:gridCol w:w="1013"/>
        <w:gridCol w:w="1005"/>
        <w:gridCol w:w="944"/>
      </w:tblGrid>
      <w:tr w14:paraId="0684C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484" w:type="pct"/>
            <w:noWrap w:val="0"/>
            <w:vAlign w:val="center"/>
          </w:tcPr>
          <w:p w14:paraId="085AE51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1000" w:type="pct"/>
            <w:noWrap w:val="0"/>
            <w:vAlign w:val="center"/>
          </w:tcPr>
          <w:p w14:paraId="206EE8A2">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设备名称</w:t>
            </w:r>
          </w:p>
        </w:tc>
        <w:tc>
          <w:tcPr>
            <w:tcW w:w="778" w:type="pct"/>
            <w:noWrap w:val="0"/>
            <w:vAlign w:val="center"/>
          </w:tcPr>
          <w:p w14:paraId="7F1F7090">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型号</w:t>
            </w:r>
          </w:p>
        </w:tc>
        <w:tc>
          <w:tcPr>
            <w:tcW w:w="682" w:type="pct"/>
            <w:noWrap w:val="0"/>
            <w:vAlign w:val="center"/>
          </w:tcPr>
          <w:p w14:paraId="30EDA844">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生产厂家</w:t>
            </w:r>
          </w:p>
        </w:tc>
        <w:tc>
          <w:tcPr>
            <w:tcW w:w="430" w:type="pct"/>
            <w:noWrap w:val="0"/>
            <w:vAlign w:val="center"/>
          </w:tcPr>
          <w:p w14:paraId="2AED900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数量</w:t>
            </w:r>
          </w:p>
        </w:tc>
        <w:tc>
          <w:tcPr>
            <w:tcW w:w="556" w:type="pct"/>
            <w:noWrap w:val="0"/>
            <w:vAlign w:val="center"/>
          </w:tcPr>
          <w:p w14:paraId="3ED1620B">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单价</w:t>
            </w:r>
          </w:p>
        </w:tc>
        <w:tc>
          <w:tcPr>
            <w:tcW w:w="552" w:type="pct"/>
            <w:noWrap w:val="0"/>
            <w:vAlign w:val="center"/>
          </w:tcPr>
          <w:p w14:paraId="4AE3897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总价</w:t>
            </w:r>
          </w:p>
        </w:tc>
        <w:tc>
          <w:tcPr>
            <w:tcW w:w="518" w:type="pct"/>
            <w:noWrap w:val="0"/>
            <w:vAlign w:val="center"/>
          </w:tcPr>
          <w:p w14:paraId="652EF5CA">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70EF1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2653764D">
            <w:pPr>
              <w:adjustRightInd w:val="0"/>
              <w:snapToGrid w:val="0"/>
              <w:spacing w:line="360" w:lineRule="auto"/>
              <w:jc w:val="center"/>
              <w:rPr>
                <w:rFonts w:hint="eastAsia" w:ascii="宋体" w:hAnsi="宋体" w:eastAsia="宋体" w:cs="宋体"/>
                <w:sz w:val="24"/>
                <w:szCs w:val="24"/>
              </w:rPr>
            </w:pPr>
          </w:p>
        </w:tc>
        <w:tc>
          <w:tcPr>
            <w:tcW w:w="1000" w:type="pct"/>
            <w:noWrap w:val="0"/>
            <w:vAlign w:val="center"/>
          </w:tcPr>
          <w:p w14:paraId="38395BD5">
            <w:pPr>
              <w:adjustRightInd w:val="0"/>
              <w:snapToGrid w:val="0"/>
              <w:spacing w:line="360" w:lineRule="auto"/>
              <w:jc w:val="center"/>
              <w:rPr>
                <w:rFonts w:hint="eastAsia" w:ascii="宋体" w:hAnsi="宋体" w:eastAsia="宋体" w:cs="宋体"/>
                <w:sz w:val="24"/>
                <w:szCs w:val="24"/>
              </w:rPr>
            </w:pPr>
          </w:p>
        </w:tc>
        <w:tc>
          <w:tcPr>
            <w:tcW w:w="778" w:type="pct"/>
            <w:noWrap w:val="0"/>
            <w:vAlign w:val="center"/>
          </w:tcPr>
          <w:p w14:paraId="60D183ED">
            <w:pPr>
              <w:spacing w:line="360" w:lineRule="auto"/>
              <w:jc w:val="center"/>
              <w:rPr>
                <w:rFonts w:hint="eastAsia" w:ascii="宋体" w:hAnsi="宋体" w:eastAsia="宋体" w:cs="宋体"/>
                <w:sz w:val="24"/>
                <w:szCs w:val="24"/>
              </w:rPr>
            </w:pPr>
          </w:p>
        </w:tc>
        <w:tc>
          <w:tcPr>
            <w:tcW w:w="682" w:type="pct"/>
            <w:noWrap w:val="0"/>
            <w:vAlign w:val="center"/>
          </w:tcPr>
          <w:p w14:paraId="3CC6362E">
            <w:pPr>
              <w:spacing w:line="360" w:lineRule="auto"/>
              <w:jc w:val="center"/>
              <w:rPr>
                <w:rFonts w:hint="eastAsia" w:ascii="宋体" w:hAnsi="宋体" w:eastAsia="宋体" w:cs="宋体"/>
                <w:sz w:val="24"/>
                <w:szCs w:val="24"/>
              </w:rPr>
            </w:pPr>
          </w:p>
        </w:tc>
        <w:tc>
          <w:tcPr>
            <w:tcW w:w="430" w:type="pct"/>
            <w:noWrap w:val="0"/>
            <w:vAlign w:val="center"/>
          </w:tcPr>
          <w:p w14:paraId="47F390F6">
            <w:pPr>
              <w:adjustRightInd w:val="0"/>
              <w:snapToGrid w:val="0"/>
              <w:spacing w:line="360" w:lineRule="auto"/>
              <w:jc w:val="center"/>
              <w:rPr>
                <w:rFonts w:hint="eastAsia" w:ascii="宋体" w:hAnsi="宋体" w:eastAsia="宋体" w:cs="宋体"/>
                <w:sz w:val="24"/>
                <w:szCs w:val="24"/>
              </w:rPr>
            </w:pPr>
          </w:p>
        </w:tc>
        <w:tc>
          <w:tcPr>
            <w:tcW w:w="556" w:type="pct"/>
            <w:noWrap w:val="0"/>
            <w:vAlign w:val="center"/>
          </w:tcPr>
          <w:p w14:paraId="318ACA48">
            <w:pPr>
              <w:autoSpaceDN w:val="0"/>
              <w:spacing w:line="360" w:lineRule="auto"/>
              <w:jc w:val="center"/>
              <w:textAlignment w:val="center"/>
              <w:rPr>
                <w:rFonts w:hint="eastAsia" w:ascii="宋体" w:hAnsi="宋体" w:eastAsia="宋体" w:cs="宋体"/>
                <w:sz w:val="24"/>
                <w:szCs w:val="24"/>
              </w:rPr>
            </w:pPr>
          </w:p>
        </w:tc>
        <w:tc>
          <w:tcPr>
            <w:tcW w:w="552" w:type="pct"/>
            <w:noWrap w:val="0"/>
            <w:vAlign w:val="center"/>
          </w:tcPr>
          <w:p w14:paraId="03BFB714">
            <w:pPr>
              <w:autoSpaceDN w:val="0"/>
              <w:spacing w:line="360" w:lineRule="auto"/>
              <w:jc w:val="center"/>
              <w:textAlignment w:val="center"/>
              <w:rPr>
                <w:rFonts w:hint="eastAsia" w:ascii="宋体" w:hAnsi="宋体" w:eastAsia="宋体" w:cs="宋体"/>
                <w:sz w:val="24"/>
                <w:szCs w:val="24"/>
              </w:rPr>
            </w:pPr>
          </w:p>
        </w:tc>
        <w:tc>
          <w:tcPr>
            <w:tcW w:w="518" w:type="pct"/>
            <w:noWrap w:val="0"/>
            <w:vAlign w:val="center"/>
          </w:tcPr>
          <w:p w14:paraId="43A9C701">
            <w:pPr>
              <w:autoSpaceDN w:val="0"/>
              <w:spacing w:line="360" w:lineRule="auto"/>
              <w:jc w:val="center"/>
              <w:textAlignment w:val="center"/>
              <w:rPr>
                <w:rFonts w:hint="eastAsia" w:ascii="宋体" w:hAnsi="宋体" w:eastAsia="宋体" w:cs="宋体"/>
                <w:sz w:val="24"/>
                <w:szCs w:val="24"/>
              </w:rPr>
            </w:pPr>
          </w:p>
        </w:tc>
      </w:tr>
      <w:tr w14:paraId="5EA97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10713459">
            <w:pPr>
              <w:adjustRightInd w:val="0"/>
              <w:snapToGrid w:val="0"/>
              <w:spacing w:line="360" w:lineRule="auto"/>
              <w:jc w:val="center"/>
              <w:rPr>
                <w:rFonts w:hint="eastAsia" w:ascii="宋体" w:hAnsi="宋体" w:eastAsia="宋体" w:cs="宋体"/>
                <w:sz w:val="24"/>
                <w:szCs w:val="24"/>
              </w:rPr>
            </w:pPr>
          </w:p>
        </w:tc>
        <w:tc>
          <w:tcPr>
            <w:tcW w:w="1000" w:type="pct"/>
            <w:noWrap w:val="0"/>
            <w:vAlign w:val="center"/>
          </w:tcPr>
          <w:p w14:paraId="06D70038">
            <w:pPr>
              <w:adjustRightInd w:val="0"/>
              <w:snapToGrid w:val="0"/>
              <w:spacing w:line="360" w:lineRule="auto"/>
              <w:jc w:val="center"/>
              <w:rPr>
                <w:rFonts w:hint="eastAsia" w:ascii="宋体" w:hAnsi="宋体" w:eastAsia="宋体" w:cs="宋体"/>
                <w:sz w:val="24"/>
                <w:szCs w:val="24"/>
              </w:rPr>
            </w:pPr>
          </w:p>
        </w:tc>
        <w:tc>
          <w:tcPr>
            <w:tcW w:w="778" w:type="pct"/>
            <w:noWrap w:val="0"/>
            <w:vAlign w:val="center"/>
          </w:tcPr>
          <w:p w14:paraId="516C5EDE">
            <w:pPr>
              <w:spacing w:line="360" w:lineRule="auto"/>
              <w:jc w:val="center"/>
              <w:rPr>
                <w:rFonts w:hint="eastAsia" w:ascii="宋体" w:hAnsi="宋体" w:eastAsia="宋体" w:cs="宋体"/>
                <w:sz w:val="24"/>
                <w:szCs w:val="24"/>
              </w:rPr>
            </w:pPr>
          </w:p>
        </w:tc>
        <w:tc>
          <w:tcPr>
            <w:tcW w:w="682" w:type="pct"/>
            <w:noWrap w:val="0"/>
            <w:vAlign w:val="center"/>
          </w:tcPr>
          <w:p w14:paraId="1C319194">
            <w:pPr>
              <w:spacing w:line="360" w:lineRule="auto"/>
              <w:jc w:val="center"/>
              <w:rPr>
                <w:rFonts w:hint="eastAsia" w:ascii="宋体" w:hAnsi="宋体" w:eastAsia="宋体" w:cs="宋体"/>
                <w:sz w:val="24"/>
                <w:szCs w:val="24"/>
              </w:rPr>
            </w:pPr>
          </w:p>
        </w:tc>
        <w:tc>
          <w:tcPr>
            <w:tcW w:w="430" w:type="pct"/>
            <w:noWrap w:val="0"/>
            <w:vAlign w:val="center"/>
          </w:tcPr>
          <w:p w14:paraId="74C6DBC5">
            <w:pPr>
              <w:adjustRightInd w:val="0"/>
              <w:snapToGrid w:val="0"/>
              <w:spacing w:line="360" w:lineRule="auto"/>
              <w:jc w:val="center"/>
              <w:rPr>
                <w:rFonts w:hint="eastAsia" w:ascii="宋体" w:hAnsi="宋体" w:eastAsia="宋体" w:cs="宋体"/>
                <w:sz w:val="24"/>
                <w:szCs w:val="24"/>
              </w:rPr>
            </w:pPr>
          </w:p>
        </w:tc>
        <w:tc>
          <w:tcPr>
            <w:tcW w:w="556" w:type="pct"/>
            <w:noWrap w:val="0"/>
            <w:vAlign w:val="center"/>
          </w:tcPr>
          <w:p w14:paraId="70D86F4C">
            <w:pPr>
              <w:autoSpaceDN w:val="0"/>
              <w:spacing w:line="360" w:lineRule="auto"/>
              <w:jc w:val="center"/>
              <w:textAlignment w:val="center"/>
              <w:rPr>
                <w:rFonts w:hint="eastAsia" w:ascii="宋体" w:hAnsi="宋体" w:eastAsia="宋体" w:cs="宋体"/>
                <w:sz w:val="24"/>
                <w:szCs w:val="24"/>
              </w:rPr>
            </w:pPr>
          </w:p>
        </w:tc>
        <w:tc>
          <w:tcPr>
            <w:tcW w:w="552" w:type="pct"/>
            <w:noWrap w:val="0"/>
            <w:vAlign w:val="center"/>
          </w:tcPr>
          <w:p w14:paraId="7C323C56">
            <w:pPr>
              <w:autoSpaceDN w:val="0"/>
              <w:spacing w:line="360" w:lineRule="auto"/>
              <w:jc w:val="center"/>
              <w:textAlignment w:val="center"/>
              <w:rPr>
                <w:rFonts w:hint="eastAsia" w:ascii="宋体" w:hAnsi="宋体" w:eastAsia="宋体" w:cs="宋体"/>
                <w:sz w:val="24"/>
                <w:szCs w:val="24"/>
              </w:rPr>
            </w:pPr>
          </w:p>
        </w:tc>
        <w:tc>
          <w:tcPr>
            <w:tcW w:w="518" w:type="pct"/>
            <w:noWrap w:val="0"/>
            <w:vAlign w:val="center"/>
          </w:tcPr>
          <w:p w14:paraId="44E26EEB">
            <w:pPr>
              <w:autoSpaceDN w:val="0"/>
              <w:spacing w:line="360" w:lineRule="auto"/>
              <w:jc w:val="center"/>
              <w:textAlignment w:val="center"/>
              <w:rPr>
                <w:rFonts w:hint="eastAsia" w:ascii="宋体" w:hAnsi="宋体" w:eastAsia="宋体" w:cs="宋体"/>
                <w:sz w:val="24"/>
                <w:szCs w:val="24"/>
              </w:rPr>
            </w:pPr>
          </w:p>
        </w:tc>
      </w:tr>
      <w:tr w14:paraId="44CBF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6931A08A">
            <w:pPr>
              <w:adjustRightInd w:val="0"/>
              <w:snapToGrid w:val="0"/>
              <w:spacing w:line="360" w:lineRule="auto"/>
              <w:jc w:val="center"/>
              <w:rPr>
                <w:rFonts w:hint="eastAsia" w:ascii="宋体" w:hAnsi="宋体" w:eastAsia="宋体" w:cs="宋体"/>
                <w:sz w:val="24"/>
                <w:szCs w:val="24"/>
              </w:rPr>
            </w:pPr>
          </w:p>
        </w:tc>
        <w:tc>
          <w:tcPr>
            <w:tcW w:w="1000" w:type="pct"/>
            <w:noWrap w:val="0"/>
            <w:vAlign w:val="center"/>
          </w:tcPr>
          <w:p w14:paraId="66F3F303">
            <w:pPr>
              <w:adjustRightInd w:val="0"/>
              <w:snapToGrid w:val="0"/>
              <w:spacing w:line="360" w:lineRule="auto"/>
              <w:jc w:val="center"/>
              <w:rPr>
                <w:rFonts w:hint="eastAsia" w:ascii="宋体" w:hAnsi="宋体" w:eastAsia="宋体" w:cs="宋体"/>
                <w:sz w:val="24"/>
                <w:szCs w:val="24"/>
              </w:rPr>
            </w:pPr>
          </w:p>
        </w:tc>
        <w:tc>
          <w:tcPr>
            <w:tcW w:w="778" w:type="pct"/>
            <w:noWrap w:val="0"/>
            <w:vAlign w:val="center"/>
          </w:tcPr>
          <w:p w14:paraId="69F6376C">
            <w:pPr>
              <w:spacing w:line="360" w:lineRule="auto"/>
              <w:jc w:val="center"/>
              <w:rPr>
                <w:rFonts w:hint="eastAsia" w:ascii="宋体" w:hAnsi="宋体" w:eastAsia="宋体" w:cs="宋体"/>
                <w:sz w:val="24"/>
                <w:szCs w:val="24"/>
              </w:rPr>
            </w:pPr>
          </w:p>
        </w:tc>
        <w:tc>
          <w:tcPr>
            <w:tcW w:w="682" w:type="pct"/>
            <w:noWrap w:val="0"/>
            <w:vAlign w:val="center"/>
          </w:tcPr>
          <w:p w14:paraId="2327404A">
            <w:pPr>
              <w:spacing w:line="360" w:lineRule="auto"/>
              <w:jc w:val="center"/>
              <w:rPr>
                <w:rFonts w:hint="eastAsia" w:ascii="宋体" w:hAnsi="宋体" w:eastAsia="宋体" w:cs="宋体"/>
                <w:sz w:val="24"/>
                <w:szCs w:val="24"/>
              </w:rPr>
            </w:pPr>
          </w:p>
        </w:tc>
        <w:tc>
          <w:tcPr>
            <w:tcW w:w="430" w:type="pct"/>
            <w:noWrap w:val="0"/>
            <w:vAlign w:val="center"/>
          </w:tcPr>
          <w:p w14:paraId="4C9280C1">
            <w:pPr>
              <w:adjustRightInd w:val="0"/>
              <w:snapToGrid w:val="0"/>
              <w:spacing w:line="360" w:lineRule="auto"/>
              <w:jc w:val="center"/>
              <w:rPr>
                <w:rFonts w:hint="eastAsia" w:ascii="宋体" w:hAnsi="宋体" w:eastAsia="宋体" w:cs="宋体"/>
                <w:sz w:val="24"/>
                <w:szCs w:val="24"/>
              </w:rPr>
            </w:pPr>
          </w:p>
        </w:tc>
        <w:tc>
          <w:tcPr>
            <w:tcW w:w="556" w:type="pct"/>
            <w:noWrap w:val="0"/>
            <w:vAlign w:val="center"/>
          </w:tcPr>
          <w:p w14:paraId="7A909307">
            <w:pPr>
              <w:autoSpaceDN w:val="0"/>
              <w:spacing w:line="360" w:lineRule="auto"/>
              <w:jc w:val="center"/>
              <w:textAlignment w:val="center"/>
              <w:rPr>
                <w:rFonts w:hint="eastAsia" w:ascii="宋体" w:hAnsi="宋体" w:eastAsia="宋体" w:cs="宋体"/>
                <w:sz w:val="24"/>
                <w:szCs w:val="24"/>
              </w:rPr>
            </w:pPr>
          </w:p>
        </w:tc>
        <w:tc>
          <w:tcPr>
            <w:tcW w:w="552" w:type="pct"/>
            <w:noWrap w:val="0"/>
            <w:vAlign w:val="center"/>
          </w:tcPr>
          <w:p w14:paraId="02269664">
            <w:pPr>
              <w:autoSpaceDN w:val="0"/>
              <w:spacing w:line="360" w:lineRule="auto"/>
              <w:jc w:val="center"/>
              <w:textAlignment w:val="center"/>
              <w:rPr>
                <w:rFonts w:hint="eastAsia" w:ascii="宋体" w:hAnsi="宋体" w:eastAsia="宋体" w:cs="宋体"/>
                <w:sz w:val="24"/>
                <w:szCs w:val="24"/>
              </w:rPr>
            </w:pPr>
          </w:p>
        </w:tc>
        <w:tc>
          <w:tcPr>
            <w:tcW w:w="518" w:type="pct"/>
            <w:noWrap w:val="0"/>
            <w:vAlign w:val="center"/>
          </w:tcPr>
          <w:p w14:paraId="58D7FBC9">
            <w:pPr>
              <w:autoSpaceDN w:val="0"/>
              <w:spacing w:line="360" w:lineRule="auto"/>
              <w:jc w:val="center"/>
              <w:textAlignment w:val="center"/>
              <w:rPr>
                <w:rFonts w:hint="eastAsia" w:ascii="宋体" w:hAnsi="宋体" w:eastAsia="宋体" w:cs="宋体"/>
                <w:sz w:val="24"/>
                <w:szCs w:val="24"/>
              </w:rPr>
            </w:pPr>
          </w:p>
        </w:tc>
      </w:tr>
      <w:tr w14:paraId="50E2A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1484" w:type="pct"/>
            <w:gridSpan w:val="2"/>
            <w:noWrap w:val="0"/>
            <w:vAlign w:val="center"/>
          </w:tcPr>
          <w:p w14:paraId="62363917">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总计（人民币/元）</w:t>
            </w:r>
          </w:p>
        </w:tc>
        <w:tc>
          <w:tcPr>
            <w:tcW w:w="3516" w:type="pct"/>
            <w:gridSpan w:val="6"/>
            <w:noWrap w:val="0"/>
            <w:vAlign w:val="center"/>
          </w:tcPr>
          <w:p w14:paraId="564C0303">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       （大写）</w:t>
            </w:r>
          </w:p>
        </w:tc>
      </w:tr>
    </w:tbl>
    <w:p w14:paraId="5CB76ED8">
      <w:pPr>
        <w:kinsoku w:val="0"/>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（参数附件说明）</w:t>
      </w:r>
    </w:p>
    <w:p w14:paraId="7AFF7D65">
      <w:pPr>
        <w:keepNext w:val="0"/>
        <w:keepLines w:val="0"/>
        <w:pageBreakBefore w:val="0"/>
        <w:widowControl w:val="0"/>
        <w:kinsoku w:val="0"/>
        <w:wordWrap/>
        <w:overflowPunct/>
        <w:topLinePunct w:val="0"/>
        <w:autoSpaceDE/>
        <w:autoSpaceDN/>
        <w:bidi w:val="0"/>
        <w:adjustRightInd w:val="0"/>
        <w:snapToGrid w:val="0"/>
        <w:spacing w:line="360" w:lineRule="auto"/>
        <w:ind w:right="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乙方负责按以上确定的设备规格、型号及配套内容进行供货，及时运到甲方指定交货地点安装调试，确保所有设备达到最佳运行状态，负责对甲方操作、维护人员进行培训，指导操作、使用和维修保养，做好售后服务工作。</w:t>
      </w:r>
    </w:p>
    <w:p w14:paraId="72FFA892">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二、合同价格</w:t>
      </w:r>
      <w:bookmarkStart w:id="2" w:name="_GoBack"/>
      <w:bookmarkEnd w:id="2"/>
    </w:p>
    <w:p w14:paraId="58ECE332">
      <w:pPr>
        <w:keepNext w:val="0"/>
        <w:keepLines w:val="0"/>
        <w:pageBreakBefore w:val="0"/>
        <w:widowControl w:val="0"/>
        <w:kinsoku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合同总价：人民币大写：</w:t>
      </w:r>
      <w:r>
        <w:rPr>
          <w:rFonts w:hint="eastAsia" w:ascii="宋体" w:hAnsi="宋体" w:eastAsia="宋体" w:cs="宋体"/>
          <w:b/>
          <w:sz w:val="24"/>
          <w:szCs w:val="24"/>
          <w:u w:val="single"/>
        </w:rPr>
        <w:t xml:space="preserve">           </w:t>
      </w:r>
      <w:r>
        <w:rPr>
          <w:rFonts w:hint="eastAsia" w:ascii="宋体" w:hAnsi="宋体" w:eastAsia="宋体" w:cs="宋体"/>
          <w:b/>
          <w:sz w:val="24"/>
          <w:szCs w:val="24"/>
        </w:rPr>
        <w:t>元整；</w:t>
      </w:r>
      <w:r>
        <w:rPr>
          <w:rFonts w:hint="eastAsia" w:ascii="宋体" w:hAnsi="宋体" w:eastAsia="宋体" w:cs="宋体"/>
          <w:sz w:val="24"/>
          <w:szCs w:val="24"/>
        </w:rPr>
        <w:t xml:space="preserve">￥ </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sz w:val="24"/>
          <w:szCs w:val="24"/>
        </w:rPr>
        <w:t>元。</w:t>
      </w:r>
    </w:p>
    <w:p w14:paraId="3C65919A">
      <w:pPr>
        <w:keepNext w:val="0"/>
        <w:keepLines w:val="0"/>
        <w:pageBreakBefore w:val="0"/>
        <w:widowControl w:val="0"/>
        <w:kinsoku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总价包括：设备的供应费及所发生的运输费、杂费（含保险）、商检费、搬运费、安装调试费、培训费等，包括从产品供应地点到交货地点所包含的一切费用。合同总价不可变更，不受市场价变化的影响，不受实际数量变化的影响。</w:t>
      </w:r>
    </w:p>
    <w:p w14:paraId="7F6780A2">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三、款项支付</w:t>
      </w:r>
    </w:p>
    <w:p w14:paraId="0F0B5F27">
      <w:pPr>
        <w:keepNext w:val="0"/>
        <w:keepLines w:val="0"/>
        <w:pageBreakBefore w:val="0"/>
        <w:widowControl w:val="0"/>
        <w:kinsoku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1.国产产品：</w:t>
      </w:r>
      <w:r>
        <w:rPr>
          <w:rFonts w:hint="eastAsia" w:ascii="宋体" w:hAnsi="宋体" w:eastAsia="宋体" w:cs="宋体"/>
          <w:sz w:val="24"/>
          <w:szCs w:val="24"/>
          <w:lang w:eastAsia="zh-CN"/>
        </w:rPr>
        <w:t>甲方</w:t>
      </w:r>
      <w:r>
        <w:rPr>
          <w:rFonts w:hint="eastAsia" w:ascii="宋体" w:hAnsi="宋体" w:eastAsia="宋体" w:cs="宋体"/>
          <w:sz w:val="24"/>
          <w:szCs w:val="24"/>
        </w:rPr>
        <w:t>收到中</w:t>
      </w:r>
      <w:r>
        <w:rPr>
          <w:rFonts w:hint="eastAsia" w:ascii="宋体" w:hAnsi="宋体" w:eastAsia="宋体" w:cs="宋体"/>
          <w:sz w:val="24"/>
          <w:szCs w:val="24"/>
          <w:lang w:eastAsia="zh-CN"/>
        </w:rPr>
        <w:t>乙方</w:t>
      </w:r>
      <w:r>
        <w:rPr>
          <w:rFonts w:hint="eastAsia" w:ascii="宋体" w:hAnsi="宋体" w:eastAsia="宋体" w:cs="宋体"/>
          <w:sz w:val="24"/>
          <w:szCs w:val="24"/>
        </w:rPr>
        <w:t>开具的全额增值税专用发票（电子、纸质发票均可，纸质发票须包含发票联、抵扣联）后及时向</w:t>
      </w:r>
      <w:r>
        <w:rPr>
          <w:rFonts w:hint="eastAsia" w:ascii="宋体" w:hAnsi="宋体" w:eastAsia="宋体" w:cs="宋体"/>
          <w:sz w:val="24"/>
          <w:szCs w:val="24"/>
          <w:lang w:eastAsia="zh-CN"/>
        </w:rPr>
        <w:t>乙方</w:t>
      </w:r>
      <w:r>
        <w:rPr>
          <w:rFonts w:hint="eastAsia" w:ascii="宋体" w:hAnsi="宋体" w:eastAsia="宋体" w:cs="宋体"/>
          <w:sz w:val="24"/>
          <w:szCs w:val="24"/>
        </w:rPr>
        <w:t>支付合同总价款的100%。</w:t>
      </w:r>
    </w:p>
    <w:p w14:paraId="5D41750F">
      <w:pPr>
        <w:keepNext w:val="0"/>
        <w:keepLines w:val="0"/>
        <w:pageBreakBefore w:val="0"/>
        <w:widowControl w:val="0"/>
        <w:kinsoku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进口产品：采购人收到中标人委托的外贸代理机构开具的全额发票后及时向中标人委托的外贸代理机构支付合同总价款的100%</w:t>
      </w:r>
      <w:r>
        <w:rPr>
          <w:rFonts w:hint="eastAsia" w:ascii="宋体" w:hAnsi="宋体" w:eastAsia="宋体" w:cs="宋体"/>
          <w:sz w:val="24"/>
          <w:szCs w:val="24"/>
          <w:lang w:eastAsia="zh-CN"/>
        </w:rPr>
        <w:t>。</w:t>
      </w:r>
    </w:p>
    <w:p w14:paraId="4AC923F0">
      <w:pPr>
        <w:keepNext w:val="0"/>
        <w:keepLines w:val="0"/>
        <w:pageBreakBefore w:val="0"/>
        <w:widowControl w:val="0"/>
        <w:kinsoku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签订合同前，乙方应缴纳合同金额</w:t>
      </w:r>
      <w:r>
        <w:rPr>
          <w:rFonts w:hint="eastAsia" w:ascii="宋体" w:hAnsi="宋体" w:eastAsia="宋体" w:cs="宋体"/>
          <w:sz w:val="24"/>
          <w:szCs w:val="24"/>
          <w:lang w:val="en-US" w:eastAsia="zh-CN"/>
        </w:rPr>
        <w:t>5</w:t>
      </w:r>
      <w:r>
        <w:rPr>
          <w:rFonts w:hint="eastAsia" w:ascii="宋体" w:hAnsi="宋体" w:eastAsia="宋体" w:cs="宋体"/>
          <w:sz w:val="24"/>
          <w:szCs w:val="24"/>
        </w:rPr>
        <w:t>%的履约保证金。项目验收合格后，甲方一次性无息退还5%的履约保证金给乙方。</w:t>
      </w:r>
    </w:p>
    <w:p w14:paraId="17339C65">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四、交货条件</w:t>
      </w:r>
    </w:p>
    <w:p w14:paraId="2F7E522E">
      <w:pPr>
        <w:keepNext w:val="0"/>
        <w:keepLines w:val="0"/>
        <w:pageBreakBefore w:val="0"/>
        <w:widowControl w:val="0"/>
        <w:kinsoku w:val="0"/>
        <w:wordWrap/>
        <w:overflowPunct/>
        <w:topLinePunct w:val="0"/>
        <w:autoSpaceDE/>
        <w:autoSpaceDN/>
        <w:bidi w:val="0"/>
        <w:adjustRightInd w:val="0"/>
        <w:snapToGrid w:val="0"/>
        <w:spacing w:line="360" w:lineRule="auto"/>
        <w:ind w:right="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交货地点：陕西省西安市未央区陕西科技大学内指定地点。</w:t>
      </w:r>
    </w:p>
    <w:p w14:paraId="6938DEC3">
      <w:pPr>
        <w:keepNext w:val="0"/>
        <w:keepLines w:val="0"/>
        <w:pageBreakBefore w:val="0"/>
        <w:widowControl w:val="0"/>
        <w:kinsoku w:val="0"/>
        <w:wordWrap/>
        <w:overflowPunct/>
        <w:topLinePunct w:val="0"/>
        <w:autoSpaceDE/>
        <w:autoSpaceDN/>
        <w:bidi w:val="0"/>
        <w:adjustRightInd w:val="0"/>
        <w:snapToGrid w:val="0"/>
        <w:spacing w:line="360" w:lineRule="auto"/>
        <w:ind w:right="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交货日期：双方签字盖章后合同生效，合同生效后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个日历日内完成交货。</w:t>
      </w:r>
    </w:p>
    <w:p w14:paraId="5350A2CB">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五、运输方式</w:t>
      </w:r>
    </w:p>
    <w:p w14:paraId="48707E04">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根据产品特性，由乙方在保证产品质量的前提下，自行选择运输及包装方式，发生的一切费用全部由乙方承担。</w:t>
      </w:r>
    </w:p>
    <w:p w14:paraId="1F6D83EB">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六、质量保证</w:t>
      </w:r>
    </w:p>
    <w:p w14:paraId="5191FFFB">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乙方提供的产品必须满足招标文件及合同的技术参数要求。</w:t>
      </w:r>
    </w:p>
    <w:p w14:paraId="5FF600A6">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bCs/>
          <w:sz w:val="24"/>
          <w:szCs w:val="24"/>
          <w:lang w:val="en-US" w:eastAsia="zh-CN"/>
        </w:rPr>
        <w:t>.</w:t>
      </w:r>
      <w:r>
        <w:rPr>
          <w:rFonts w:hint="eastAsia" w:ascii="宋体" w:hAnsi="宋体" w:eastAsia="宋体" w:cs="宋体"/>
          <w:bCs/>
          <w:sz w:val="24"/>
          <w:szCs w:val="24"/>
        </w:rPr>
        <w:t>乙方保证货物应是全新、未曾使用过的、优质工艺及材料制造的产品，并保证所供设备的完整性（包括满足设备完整运行的附件、备件、配套件、技术手册等）。</w:t>
      </w:r>
    </w:p>
    <w:p w14:paraId="19394780">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乙方保证所提供的设备质量可靠、进货渠道正规、配置合理、技术性能完全满足招标文件要求。</w:t>
      </w:r>
    </w:p>
    <w:p w14:paraId="3F253CEB">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乙方应随产品提供检验报告等相关材料。</w:t>
      </w:r>
    </w:p>
    <w:p w14:paraId="2E2BE07D">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设备</w:t>
      </w:r>
      <w:r>
        <w:rPr>
          <w:rFonts w:hint="eastAsia" w:ascii="宋体" w:hAnsi="宋体" w:eastAsia="宋体" w:cs="宋体"/>
          <w:bCs/>
          <w:sz w:val="24"/>
          <w:szCs w:val="24"/>
        </w:rPr>
        <w:t>性能未达到招标文件技术参数要求的，甲方有权拒收产品或拒绝验收，乙方可进行限期整改；整改后仍达不到要求的，甲方有权解除合同，保留依法索赔的权利。</w:t>
      </w:r>
    </w:p>
    <w:p w14:paraId="486392C0">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七、质保期与承诺</w:t>
      </w:r>
    </w:p>
    <w:p w14:paraId="4E589CFE">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设备的质保期为设备验收合格后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68986A32">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bCs/>
          <w:sz w:val="24"/>
          <w:szCs w:val="24"/>
          <w:lang w:val="en-US" w:eastAsia="zh-CN"/>
        </w:rPr>
        <w:t>.</w:t>
      </w:r>
      <w:r>
        <w:rPr>
          <w:rFonts w:hint="eastAsia" w:ascii="宋体" w:hAnsi="宋体" w:eastAsia="宋体" w:cs="宋体"/>
          <w:bCs/>
          <w:sz w:val="24"/>
          <w:szCs w:val="24"/>
        </w:rPr>
        <w:t>质保期内，若发生产品质量问题，乙方应免费解决；否则，甲方将乙方列入“政府采购联合惩戒黑名单”，并追究法律责任。</w:t>
      </w:r>
    </w:p>
    <w:p w14:paraId="60778C8C">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八</w:t>
      </w:r>
      <w:r>
        <w:rPr>
          <w:rFonts w:hint="eastAsia" w:ascii="宋体" w:hAnsi="宋体" w:eastAsia="宋体" w:cs="宋体"/>
          <w:b/>
          <w:sz w:val="24"/>
          <w:szCs w:val="24"/>
        </w:rPr>
        <w:t>、安装、调试及技术服务</w:t>
      </w:r>
    </w:p>
    <w:p w14:paraId="29984DDB">
      <w:pPr>
        <w:keepNext w:val="0"/>
        <w:keepLines w:val="0"/>
        <w:pageBreakBefore w:val="0"/>
        <w:widowControl w:val="0"/>
        <w:wordWrap/>
        <w:overflowPunct/>
        <w:topLinePunct w:val="0"/>
        <w:autoSpaceDE/>
        <w:autoSpaceDN/>
        <w:bidi w:val="0"/>
        <w:adjustRightInd w:val="0"/>
        <w:snapToGrid w:val="0"/>
        <w:spacing w:line="360" w:lineRule="auto"/>
        <w:ind w:right="0" w:firstLine="496" w:firstLineChars="207"/>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技术资料包括：出厂检测报告、产品使用说明书、合格证等其它相关资料。</w:t>
      </w:r>
    </w:p>
    <w:p w14:paraId="6A259FC9">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5683438E">
      <w:pPr>
        <w:keepNext w:val="0"/>
        <w:keepLines w:val="0"/>
        <w:pageBreakBefore w:val="0"/>
        <w:widowControl w:val="0"/>
        <w:wordWrap/>
        <w:overflowPunct/>
        <w:topLinePunct w:val="0"/>
        <w:autoSpaceDE/>
        <w:autoSpaceDN/>
        <w:bidi w:val="0"/>
        <w:adjustRightInd w:val="0"/>
        <w:snapToGrid w:val="0"/>
        <w:spacing w:line="360" w:lineRule="auto"/>
        <w:ind w:right="0"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乙方保证设备完全按招标要求提供，若达不到要求，乙方须及时跟甲方沟通协商更换设备，并按照再次验收合格时间相应延长该产品保修期。</w:t>
      </w:r>
    </w:p>
    <w:p w14:paraId="423FC4B9">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技术培训</w:t>
      </w:r>
    </w:p>
    <w:p w14:paraId="38D64913">
      <w:pPr>
        <w:keepNext w:val="0"/>
        <w:keepLines w:val="0"/>
        <w:pageBreakBefore w:val="0"/>
        <w:widowControl w:val="0"/>
        <w:wordWrap/>
        <w:overflowPunct/>
        <w:topLinePunct w:val="0"/>
        <w:autoSpaceDE/>
        <w:autoSpaceDN/>
        <w:bidi w:val="0"/>
        <w:adjustRightInd w:val="0"/>
        <w:snapToGrid w:val="0"/>
        <w:spacing w:line="360" w:lineRule="auto"/>
        <w:ind w:right="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1）内容：包括设备原理、使用操作、保养维修技术等，使受训人员达到独立使用、熟练操作的程度。</w:t>
      </w:r>
    </w:p>
    <w:p w14:paraId="647E1ABF">
      <w:pPr>
        <w:keepNext w:val="0"/>
        <w:keepLines w:val="0"/>
        <w:pageBreakBefore w:val="0"/>
        <w:widowControl w:val="0"/>
        <w:wordWrap/>
        <w:overflowPunct/>
        <w:topLinePunct w:val="0"/>
        <w:autoSpaceDE/>
        <w:autoSpaceDN/>
        <w:bidi w:val="0"/>
        <w:adjustRightInd w:val="0"/>
        <w:snapToGrid w:val="0"/>
        <w:spacing w:line="360" w:lineRule="auto"/>
        <w:ind w:right="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2）培训准备：每台仪器培训主要操作人员2-3人。</w:t>
      </w:r>
    </w:p>
    <w:p w14:paraId="051838D2">
      <w:pPr>
        <w:keepNext w:val="0"/>
        <w:keepLines w:val="0"/>
        <w:pageBreakBefore w:val="0"/>
        <w:widowControl w:val="0"/>
        <w:wordWrap/>
        <w:overflowPunct/>
        <w:topLinePunct w:val="0"/>
        <w:autoSpaceDE/>
        <w:autoSpaceDN/>
        <w:bidi w:val="0"/>
        <w:adjustRightInd w:val="0"/>
        <w:snapToGrid w:val="0"/>
        <w:spacing w:line="360" w:lineRule="auto"/>
        <w:ind w:right="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3）地点：仪器安装地点（陕西科技大学）</w:t>
      </w:r>
    </w:p>
    <w:p w14:paraId="4B9AD8BA">
      <w:pPr>
        <w:keepNext w:val="0"/>
        <w:keepLines w:val="0"/>
        <w:pageBreakBefore w:val="0"/>
        <w:widowControl w:val="0"/>
        <w:wordWrap/>
        <w:overflowPunct/>
        <w:topLinePunct w:val="0"/>
        <w:autoSpaceDE/>
        <w:autoSpaceDN/>
        <w:bidi w:val="0"/>
        <w:adjustRightInd w:val="0"/>
        <w:snapToGrid w:val="0"/>
        <w:spacing w:line="360" w:lineRule="auto"/>
        <w:ind w:right="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4）时间：在收到采购方通知后一周内安排。</w:t>
      </w:r>
    </w:p>
    <w:p w14:paraId="4773A0E1">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服务承诺：按投标文件中的服务承诺执行。</w:t>
      </w:r>
    </w:p>
    <w:p w14:paraId="532FEBC6">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安装调试过程中出现的安全责任问题由乙方全权负责。</w:t>
      </w:r>
    </w:p>
    <w:p w14:paraId="4EC9A3D8">
      <w:pPr>
        <w:keepNext w:val="0"/>
        <w:keepLines w:val="0"/>
        <w:pageBreakBefore w:val="0"/>
        <w:widowControl w:val="0"/>
        <w:tabs>
          <w:tab w:val="left" w:pos="5355"/>
        </w:tabs>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九</w:t>
      </w:r>
      <w:r>
        <w:rPr>
          <w:rFonts w:hint="eastAsia" w:ascii="宋体" w:hAnsi="宋体" w:eastAsia="宋体" w:cs="宋体"/>
          <w:b/>
          <w:sz w:val="24"/>
          <w:szCs w:val="24"/>
        </w:rPr>
        <w:t>、违约责任：</w:t>
      </w:r>
    </w:p>
    <w:p w14:paraId="25859646">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按《中华人民共和国民法典》中的相关条款执行。</w:t>
      </w:r>
    </w:p>
    <w:p w14:paraId="63C20D4A">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若乙方出现不能供货等违约情况，甲方将不退合同金额5%的履约保证金。</w:t>
      </w:r>
    </w:p>
    <w:p w14:paraId="52D6CCB3">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未按合同要求提供产品或设备质量不能满足招标的技术要求，甲方有权终止合同，并保留追究乙方违约责任的权利。</w:t>
      </w:r>
    </w:p>
    <w:p w14:paraId="1F0272B0">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因供货期迟延的，乙方按照每天1‰向甲方承担违约责任。</w:t>
      </w:r>
    </w:p>
    <w:p w14:paraId="2BF2458B">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因产品质量问题违约的，除了按照迟延时间计算违约金外，另可以采取退货、换货等方式，由乙方承担一切费用。</w:t>
      </w:r>
    </w:p>
    <w:p w14:paraId="22D65B06">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十</w:t>
      </w:r>
      <w:r>
        <w:rPr>
          <w:rFonts w:hint="eastAsia" w:ascii="宋体" w:hAnsi="宋体" w:eastAsia="宋体" w:cs="宋体"/>
          <w:b/>
          <w:sz w:val="24"/>
          <w:szCs w:val="24"/>
        </w:rPr>
        <w:t>、设备验收</w:t>
      </w:r>
    </w:p>
    <w:p w14:paraId="4F61E5B3">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设备到货后，乙方负责安装调试，达到正常运行条件后书面通知甲方验收。</w:t>
      </w:r>
    </w:p>
    <w:p w14:paraId="1F5BDFBC">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安装完成后应提供详细的安装报告，并详细记录各种指示的实测数据。</w:t>
      </w:r>
    </w:p>
    <w:p w14:paraId="680B5FCC">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提供完整的操作手册和安装、调试、维修手册；提供制造厂家的检验测试报告或设备出厂检测报告。</w:t>
      </w:r>
    </w:p>
    <w:p w14:paraId="57DBB663">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甲方根据合同要求对设备进行验收、确认设备的产地、规格、型号和数量。验收依据为</w:t>
      </w:r>
      <w:bookmarkStart w:id="0" w:name="_Toc337393760"/>
      <w:r>
        <w:rPr>
          <w:rFonts w:hint="eastAsia" w:ascii="宋体" w:hAnsi="宋体" w:eastAsia="宋体" w:cs="宋体"/>
          <w:sz w:val="24"/>
          <w:szCs w:val="24"/>
        </w:rPr>
        <w:t>本合同文本、招投标文件和国内相应的标准、规范</w:t>
      </w:r>
      <w:bookmarkEnd w:id="0"/>
      <w:bookmarkStart w:id="1" w:name="_Toc337393761"/>
      <w:r>
        <w:rPr>
          <w:rFonts w:hint="eastAsia" w:ascii="宋体" w:hAnsi="宋体" w:eastAsia="宋体" w:cs="宋体"/>
          <w:sz w:val="24"/>
          <w:szCs w:val="24"/>
        </w:rPr>
        <w:t>。</w:t>
      </w:r>
      <w:bookmarkEnd w:id="1"/>
    </w:p>
    <w:p w14:paraId="1D2D99F1">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验收合格后，填写设备验收单，并向甲方提交设备所包含的所有资料，以便使用单位日后管理和维护。</w:t>
      </w:r>
    </w:p>
    <w:p w14:paraId="473C6BCE">
      <w:pPr>
        <w:keepNext w:val="0"/>
        <w:keepLines w:val="0"/>
        <w:pageBreakBefore w:val="0"/>
        <w:widowControl w:val="0"/>
        <w:tabs>
          <w:tab w:val="left" w:pos="5355"/>
        </w:tabs>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val="en-US" w:eastAsia="zh-CN"/>
        </w:rPr>
        <w:t>一</w:t>
      </w:r>
      <w:r>
        <w:rPr>
          <w:rFonts w:hint="eastAsia" w:ascii="宋体" w:hAnsi="宋体" w:eastAsia="宋体" w:cs="宋体"/>
          <w:b/>
          <w:sz w:val="24"/>
          <w:szCs w:val="24"/>
        </w:rPr>
        <w:t>、合同争议的解决</w:t>
      </w:r>
    </w:p>
    <w:p w14:paraId="71EFF1BB">
      <w:pPr>
        <w:keepNext w:val="0"/>
        <w:keepLines w:val="0"/>
        <w:pageBreakBefore w:val="0"/>
        <w:widowControl w:val="0"/>
        <w:tabs>
          <w:tab w:val="left" w:pos="5355"/>
        </w:tabs>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合同一经签订，不得随意变更、中止或终止。对确需变更、调整或者中止、终止合同的，应按规定履行相应的手续。</w:t>
      </w:r>
    </w:p>
    <w:p w14:paraId="3EC70AC9">
      <w:pPr>
        <w:keepNext w:val="0"/>
        <w:keepLines w:val="0"/>
        <w:pageBreakBefore w:val="0"/>
        <w:widowControl w:val="0"/>
        <w:tabs>
          <w:tab w:val="left" w:pos="5355"/>
        </w:tabs>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合同执行中发生争议的，甲、乙双方应协商解决，协商达不成一致时，可向甲方所在地人民法院提请诉讼。</w:t>
      </w:r>
    </w:p>
    <w:p w14:paraId="0993A36A">
      <w:pPr>
        <w:keepNext w:val="0"/>
        <w:keepLines w:val="0"/>
        <w:pageBreakBefore w:val="0"/>
        <w:widowControl w:val="0"/>
        <w:tabs>
          <w:tab w:val="left" w:pos="5355"/>
        </w:tabs>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val="en-US" w:eastAsia="zh-CN"/>
        </w:rPr>
        <w:t>二</w:t>
      </w:r>
      <w:r>
        <w:rPr>
          <w:rFonts w:hint="eastAsia" w:ascii="宋体" w:hAnsi="宋体" w:eastAsia="宋体" w:cs="宋体"/>
          <w:b/>
          <w:sz w:val="24"/>
          <w:szCs w:val="24"/>
        </w:rPr>
        <w:t>、其它事项</w:t>
      </w:r>
    </w:p>
    <w:p w14:paraId="5A44415E">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甲、乙双</w:t>
      </w:r>
      <w:r>
        <w:rPr>
          <w:rFonts w:hint="eastAsia" w:ascii="宋体" w:hAnsi="宋体" w:eastAsia="宋体" w:cs="宋体"/>
          <w:sz w:val="24"/>
          <w:szCs w:val="24"/>
          <w:highlight w:val="none"/>
        </w:rPr>
        <w:t>方做为合同执行的主体，有义务及时完全履行合同。招标代理机构</w:t>
      </w:r>
      <w:r>
        <w:rPr>
          <w:rFonts w:hint="eastAsia" w:ascii="宋体" w:hAnsi="宋体" w:eastAsia="宋体" w:cs="宋体"/>
          <w:sz w:val="24"/>
          <w:szCs w:val="24"/>
          <w:highlight w:val="none"/>
          <w:lang w:val="en-US" w:eastAsia="zh-CN"/>
        </w:rPr>
        <w:t>开瑞项目管理有限公司</w:t>
      </w:r>
      <w:r>
        <w:rPr>
          <w:rFonts w:hint="eastAsia" w:ascii="宋体" w:hAnsi="宋体" w:eastAsia="宋体" w:cs="宋体"/>
          <w:sz w:val="24"/>
          <w:szCs w:val="24"/>
          <w:highlight w:val="none"/>
        </w:rPr>
        <w:t>监督履行。</w:t>
      </w:r>
    </w:p>
    <w:p w14:paraId="1A31688F">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甲方使用部门代表学校签署合同，</w:t>
      </w:r>
      <w:r>
        <w:rPr>
          <w:rFonts w:hint="eastAsia" w:ascii="宋体" w:hAnsi="宋体" w:eastAsia="宋体" w:cs="宋体"/>
          <w:color w:val="auto"/>
          <w:sz w:val="24"/>
          <w:szCs w:val="24"/>
          <w:highlight w:val="none"/>
        </w:rPr>
        <w:t>并随时监督合同履行情况</w:t>
      </w:r>
      <w:r>
        <w:rPr>
          <w:rFonts w:hint="eastAsia" w:ascii="宋体" w:hAnsi="宋体" w:eastAsia="宋体" w:cs="宋体"/>
          <w:sz w:val="24"/>
          <w:szCs w:val="24"/>
        </w:rPr>
        <w:t>。</w:t>
      </w:r>
    </w:p>
    <w:p w14:paraId="269B02BB">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合同未尽事宜，由甲、乙双方协商，协商方案作为本合同不可分割的组成部分，与本合同具有同等法律效力。</w:t>
      </w:r>
    </w:p>
    <w:p w14:paraId="2B4DF19E">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招标文件和乙方的投标文件以及合同附件均为合同不可分割的部分。</w:t>
      </w:r>
    </w:p>
    <w:p w14:paraId="220482E5">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合同一式</w:t>
      </w:r>
      <w:r>
        <w:rPr>
          <w:rFonts w:hint="eastAsia" w:ascii="宋体" w:hAnsi="宋体" w:eastAsia="宋体" w:cs="宋体"/>
          <w:sz w:val="24"/>
          <w:szCs w:val="24"/>
          <w:lang w:val="en-US" w:eastAsia="zh-CN"/>
        </w:rPr>
        <w:t>柒</w:t>
      </w:r>
      <w:r>
        <w:rPr>
          <w:rFonts w:hint="eastAsia" w:ascii="宋体" w:hAnsi="宋体" w:eastAsia="宋体" w:cs="宋体"/>
          <w:sz w:val="24"/>
          <w:szCs w:val="24"/>
        </w:rPr>
        <w:t>份，甲方持</w:t>
      </w:r>
      <w:r>
        <w:rPr>
          <w:rFonts w:hint="eastAsia" w:ascii="宋体" w:hAnsi="宋体" w:eastAsia="宋体" w:cs="宋体"/>
          <w:sz w:val="24"/>
          <w:szCs w:val="24"/>
          <w:lang w:val="en-US" w:eastAsia="zh-CN"/>
        </w:rPr>
        <w:t>伍</w:t>
      </w:r>
      <w:r>
        <w:rPr>
          <w:rFonts w:hint="eastAsia" w:ascii="宋体" w:hAnsi="宋体" w:eastAsia="宋体" w:cs="宋体"/>
          <w:sz w:val="24"/>
          <w:szCs w:val="24"/>
        </w:rPr>
        <w:t>份、乙方执壹份。双方签字盖章后生效，合同执行完毕自动失效。（合同的服务承诺长期有效）。</w:t>
      </w:r>
    </w:p>
    <w:p w14:paraId="4F67411E">
      <w:pPr>
        <w:keepNext w:val="0"/>
        <w:keepLines w:val="0"/>
        <w:pageBreakBefore w:val="0"/>
        <w:widowControl w:val="0"/>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使用单位收货、验货人员：____________  电话：_______________</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385AD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29509F6C">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E210F4A">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 xml:space="preserve">乙方： </w:t>
            </w:r>
          </w:p>
        </w:tc>
      </w:tr>
      <w:tr w14:paraId="5BEE5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5212F776">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地址：陕西省西安市未央大学园区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0452FB62">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地址：</w:t>
            </w:r>
          </w:p>
        </w:tc>
      </w:tr>
      <w:tr w14:paraId="15EC0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7AD06A55">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代理人（签字或盖章）：</w:t>
            </w:r>
          </w:p>
          <w:p w14:paraId="030B8AA3">
            <w:pPr>
              <w:widowControl w:val="0"/>
              <w:spacing w:line="348" w:lineRule="auto"/>
              <w:rPr>
                <w:rFonts w:hint="eastAsia" w:ascii="宋体" w:hAnsi="宋体" w:eastAsia="宋体" w:cs="宋体"/>
                <w:kern w:val="2"/>
                <w:sz w:val="24"/>
                <w:szCs w:val="24"/>
              </w:rPr>
            </w:pPr>
          </w:p>
        </w:tc>
        <w:tc>
          <w:tcPr>
            <w:tcW w:w="4857" w:type="dxa"/>
            <w:tcBorders>
              <w:top w:val="single" w:color="auto" w:sz="4" w:space="0"/>
              <w:left w:val="single" w:color="auto" w:sz="4" w:space="0"/>
              <w:bottom w:val="single" w:color="auto" w:sz="4" w:space="0"/>
              <w:right w:val="single" w:color="auto" w:sz="4" w:space="0"/>
            </w:tcBorders>
            <w:noWrap w:val="0"/>
            <w:vAlign w:val="center"/>
          </w:tcPr>
          <w:p w14:paraId="30ED4468">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代理人（签字或盖章）：</w:t>
            </w:r>
          </w:p>
          <w:p w14:paraId="5B065388">
            <w:pPr>
              <w:widowControl w:val="0"/>
              <w:tabs>
                <w:tab w:val="left" w:pos="567"/>
              </w:tabs>
              <w:spacing w:before="120" w:line="22" w:lineRule="atLeast"/>
              <w:rPr>
                <w:rFonts w:hint="eastAsia" w:ascii="宋体" w:hAnsi="宋体" w:eastAsia="宋体" w:cs="宋体"/>
                <w:kern w:val="2"/>
                <w:sz w:val="24"/>
                <w:szCs w:val="24"/>
              </w:rPr>
            </w:pPr>
          </w:p>
        </w:tc>
      </w:tr>
      <w:tr w14:paraId="49590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192885D4">
            <w:pPr>
              <w:widowControl w:val="0"/>
              <w:spacing w:line="348" w:lineRule="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技术确认：</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2A12C106">
            <w:pPr>
              <w:widowControl w:val="0"/>
              <w:spacing w:line="348" w:lineRule="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技术确认：</w:t>
            </w:r>
          </w:p>
        </w:tc>
      </w:tr>
      <w:tr w14:paraId="0F7C4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2A74182E">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6492F63">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联系电话：</w:t>
            </w:r>
          </w:p>
        </w:tc>
      </w:tr>
      <w:tr w14:paraId="6E48D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0CC0B7CA">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582CF5C">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 xml:space="preserve">开户行： </w:t>
            </w:r>
          </w:p>
        </w:tc>
      </w:tr>
      <w:tr w14:paraId="0B355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73CB9874">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38E3E3B7">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账号：</w:t>
            </w:r>
          </w:p>
        </w:tc>
      </w:tr>
      <w:tr w14:paraId="5F686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6AB9E2E7">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税号：12610000435630669J</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9A5FAB4">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税号：</w:t>
            </w:r>
          </w:p>
        </w:tc>
      </w:tr>
      <w:tr w14:paraId="3C61C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712544FC">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日期：     年       月       日</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07ABEA9">
            <w:pPr>
              <w:widowControl w:val="0"/>
              <w:spacing w:line="348" w:lineRule="auto"/>
              <w:rPr>
                <w:rFonts w:hint="eastAsia" w:ascii="宋体" w:hAnsi="宋体" w:eastAsia="宋体" w:cs="宋体"/>
                <w:kern w:val="2"/>
                <w:sz w:val="24"/>
                <w:szCs w:val="24"/>
              </w:rPr>
            </w:pPr>
            <w:r>
              <w:rPr>
                <w:rFonts w:hint="eastAsia" w:ascii="宋体" w:hAnsi="宋体" w:eastAsia="宋体" w:cs="宋体"/>
                <w:kern w:val="2"/>
                <w:sz w:val="24"/>
                <w:szCs w:val="24"/>
              </w:rPr>
              <w:t>日期：    年       月       日</w:t>
            </w:r>
          </w:p>
        </w:tc>
      </w:tr>
    </w:tbl>
    <w:p w14:paraId="155962A6">
      <w:pPr>
        <w:rPr>
          <w:rFonts w:hint="default" w:eastAsia="宋体"/>
          <w:lang w:val="en-US" w:eastAsia="zh-CN"/>
        </w:rPr>
      </w:pPr>
    </w:p>
    <w:p w14:paraId="29AB3C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1DDC26B4"/>
    <w:rsid w:val="38964E63"/>
    <w:rsid w:val="583619D3"/>
    <w:rsid w:val="776B2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宋体" w:hAnsi="宋体" w:eastAsia="宋体" w:cs="宋体"/>
      <w:sz w:val="24"/>
      <w:lang w:val="zh-CN" w:bidi="zh-CN"/>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 w:type="paragraph" w:customStyle="1" w:styleId="7">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2309</Words>
  <Characters>2406</Characters>
  <Lines>0</Lines>
  <Paragraphs>0</Paragraphs>
  <TotalTime>0</TotalTime>
  <ScaleCrop>false</ScaleCrop>
  <LinksUpToDate>false</LinksUpToDate>
  <CharactersWithSpaces>2562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2024-10-09T07:01:00Z</dcterms:created>
  <dc:creator>Administrator</dc:creator>
  <cp:lastModifiedBy>开瑞</cp:lastModifiedBy>
  <dcterms:modified xsi:type="dcterms:W3CDTF">2024-12-04T10:46:03Z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1E968F2B507D47B6986BEEEF119C5809_12</vt:lpwstr>
  </property>
</Properties>
</file>