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版本号：241203001</w:t>
      </w:r>
      <w:r>
        <w:br/>
      </w:r>
      <w:r>
        <w:br/>
      </w:r>
      <w:r>
        <w:br/>
      </w:r>
      <w:r>
        <w:br/>
      </w:r>
      <w:r>
        <w:br/>
      </w:r>
    </w:p>
    <w:p>
      <w:pPr>
        <w:pStyle w:val="null3"/>
        <w:jc w:val="center"/>
        <w:outlineLvl w:val="0"/>
      </w:pPr>
      <w:r>
        <w:rPr>
          <w:sz w:val="48"/>
          <w:b/>
        </w:rPr>
        <w:t>磋 商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环形腔钛宝石激光器更新项目</w:t>
      </w:r>
    </w:p>
    <w:p>
      <w:pPr>
        <w:pStyle w:val="null3"/>
        <w:jc w:val="center"/>
        <w:outlineLvl w:val="2"/>
      </w:pPr>
      <w:r>
        <w:rPr>
          <w:sz w:val="28"/>
          <w:b/>
        </w:rPr>
        <w:t>采购项目编号：</w:t>
      </w:r>
      <w:r>
        <w:rPr>
          <w:sz w:val="28"/>
          <w:b/>
        </w:rPr>
        <w:t>HZGH-2024-074</w:t>
      </w:r>
      <w:r>
        <w:br/>
      </w:r>
      <w:r>
        <w:br/>
      </w:r>
      <w:r>
        <w:br/>
      </w:r>
    </w:p>
    <w:p>
      <w:pPr>
        <w:pStyle w:val="null3"/>
        <w:jc w:val="center"/>
        <w:outlineLvl w:val="2"/>
      </w:pPr>
      <w:r>
        <w:rPr>
          <w:sz w:val="28"/>
          <w:b/>
        </w:rPr>
        <w:t>西北大学</w:t>
      </w:r>
    </w:p>
    <w:p>
      <w:pPr>
        <w:pStyle w:val="null3"/>
        <w:jc w:val="center"/>
        <w:outlineLvl w:val="2"/>
      </w:pPr>
      <w:r>
        <w:rPr>
          <w:sz w:val="28"/>
          <w:b/>
        </w:rPr>
        <w:t>华招广和项目管理有限公司</w:t>
      </w:r>
      <w:r>
        <w:rPr>
          <w:sz w:val="28"/>
          <w:b/>
        </w:rPr>
        <w:t>共同编制</w:t>
      </w:r>
    </w:p>
    <w:p>
      <w:pPr>
        <w:pStyle w:val="null3"/>
        <w:jc w:val="center"/>
        <w:outlineLvl w:val="2"/>
      </w:pPr>
      <w:r>
        <w:rPr>
          <w:sz w:val="28"/>
          <w:b/>
        </w:rPr>
        <w:t>2024年12月03日</w:t>
      </w:r>
    </w:p>
    <w:p>
      <w:pPr>
        <w:pStyle w:val="null3"/>
      </w:pPr>
      <w:r>
        <w:rPr/>
        <w:t xml:space="preserve"> </w:t>
        <w:br/>
        <w:br w:type="page"/>
      </w:r>
    </w:p>
    <w:p>
      <w:pPr>
        <w:pStyle w:val="null3"/>
        <w:jc w:val="center"/>
        <w:outlineLvl w:val="1"/>
      </w:pPr>
      <w:r>
        <w:rPr>
          <w:sz w:val="36"/>
          <w:b/>
        </w:rPr>
        <w:t>第一章 竞争性磋商邀请</w:t>
      </w:r>
    </w:p>
    <w:p>
      <w:pPr>
        <w:pStyle w:val="null3"/>
        <w:ind w:firstLine="480"/>
      </w:pPr>
      <w:r>
        <w:rPr/>
        <w:t>华招广和项目管理有限公司</w:t>
      </w:r>
      <w:r>
        <w:rPr/>
        <w:t>（以下简称“代理机构”）受</w:t>
      </w:r>
      <w:r>
        <w:rPr/>
        <w:t>西北大学</w:t>
      </w:r>
      <w:r>
        <w:rPr/>
        <w:t>委托，拟对</w:t>
      </w:r>
      <w:r>
        <w:rPr/>
        <w:t>环形腔钛宝石激光器更新项目</w:t>
      </w:r>
      <w:r>
        <w:rPr/>
        <w:t>采用竞争性磋商采购方式进行采购，兹邀请供应商参加本项目的竞争性磋商。</w:t>
      </w:r>
    </w:p>
    <w:p>
      <w:pPr>
        <w:pStyle w:val="null3"/>
        <w:outlineLvl w:val="2"/>
      </w:pPr>
      <w:r>
        <w:rPr>
          <w:sz w:val="28"/>
          <w:b/>
        </w:rPr>
        <w:t>一、项目编号：</w:t>
      </w:r>
      <w:r>
        <w:rPr>
          <w:sz w:val="28"/>
          <w:b/>
        </w:rPr>
        <w:t>HZGH-2024-074</w:t>
      </w:r>
    </w:p>
    <w:p>
      <w:pPr>
        <w:pStyle w:val="null3"/>
        <w:outlineLvl w:val="2"/>
      </w:pPr>
      <w:r>
        <w:rPr>
          <w:sz w:val="28"/>
          <w:b/>
        </w:rPr>
        <w:t>二、项目名称：</w:t>
      </w:r>
      <w:r>
        <w:rPr>
          <w:sz w:val="28"/>
          <w:b/>
        </w:rPr>
        <w:t>环形腔钛宝石激光器更新项目</w:t>
      </w:r>
    </w:p>
    <w:p>
      <w:pPr>
        <w:pStyle w:val="null3"/>
        <w:outlineLvl w:val="2"/>
      </w:pPr>
      <w:r>
        <w:rPr>
          <w:sz w:val="28"/>
          <w:b/>
        </w:rPr>
        <w:t>三、磋商项目简介</w:t>
      </w:r>
    </w:p>
    <w:p>
      <w:pPr>
        <w:pStyle w:val="null3"/>
        <w:ind w:firstLine="480"/>
      </w:pPr>
      <w:r>
        <w:rPr/>
        <w:t>环形腔钛宝石激光器更新，1套，本项目已通过进口产品采购核准，允许采购进口产品。简要技术要求、用途：科研实验，具体详见采购文件。</w:t>
      </w:r>
    </w:p>
    <w:p>
      <w:pPr>
        <w:pStyle w:val="null3"/>
        <w:outlineLvl w:val="2"/>
      </w:pPr>
      <w:r>
        <w:rPr>
          <w:sz w:val="28"/>
          <w:b/>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落实政府采购促进中小企业发展的相关政策：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1、营业执照：具有独立承担民事责任能力的法人、其他组织或自然人，并出具合法有效的营业执照或事业单位法人证书等国家规定的相关证明，自然人参与的提供其身份证明；</w:t>
      </w:r>
    </w:p>
    <w:p>
      <w:pPr>
        <w:pStyle w:val="null3"/>
      </w:pPr>
      <w:r>
        <w:rPr/>
        <w:t>2、财务状况报告：提供具有财务审计资质单位出具的2022年度或2023年度财务报告（成立时间至开标时间不足一年的可提供成立后任意时段的资产负债表）或开标前六个月内其基本账户银行出具的资信证明（附开户许可证或基本账户证明）或政府采购信用担保机构出具的投标担保函；</w:t>
      </w:r>
    </w:p>
    <w:p>
      <w:pPr>
        <w:pStyle w:val="null3"/>
      </w:pPr>
      <w:r>
        <w:rPr/>
        <w:t>3、税收缴纳证明：提供2024年1月1日至今任意一个月已缴纳的纳税证明或完税证明（时间以税款所属日期为准）；（依法免税的供应商应提供相关文件证明）</w:t>
      </w:r>
    </w:p>
    <w:p>
      <w:pPr>
        <w:pStyle w:val="null3"/>
      </w:pPr>
      <w:r>
        <w:rPr/>
        <w:t>4、社会保障资金缴纳证明：提供2024年1月1日至今任意一个月的社保缴费凭据或社保机构开具的社会保险参保缴费情况证明；（依法不需要缴纳社会保障资金的供应商应提供相关证明）</w:t>
      </w:r>
    </w:p>
    <w:p>
      <w:pPr>
        <w:pStyle w:val="null3"/>
      </w:pPr>
      <w:r>
        <w:rPr/>
        <w:t>5、具有履行本合同所必需的设备和专业技术能力的说明及承诺：提供具有履行本合同所必需的设备和专业技术能力的说明及承诺；（格式自拟，加盖供应商公章）</w:t>
      </w:r>
    </w:p>
    <w:p>
      <w:pPr>
        <w:pStyle w:val="null3"/>
      </w:pPr>
      <w:r>
        <w:rPr/>
        <w:t>6、参加政府采购活动前三年内在经营活动中没有重大违法记录的书面声明：提供参加政府采购活动前三年内在经营活动中没有重大违法记录的书面声明。（格式自拟，加盖供应商公章）</w:t>
      </w:r>
    </w:p>
    <w:p>
      <w:pPr>
        <w:pStyle w:val="null3"/>
      </w:pPr>
      <w:r>
        <w:rPr/>
        <w:t>7、法定代表人或负责人资格证明书：法定代表人或负责人参与投标时需提供法定代表人或负责人资格证明书（附法定代表人或负责人身份证复印件）；</w:t>
      </w:r>
    </w:p>
    <w:p>
      <w:pPr>
        <w:pStyle w:val="null3"/>
      </w:pPr>
      <w:r>
        <w:rPr/>
        <w:t>8、法定代表人或负责人授权委托书：被授权人参与投标时需提供法定代表人或负责人授权委托书（附法定代表人或负责人及被授权人身份证复印件）；</w:t>
      </w:r>
    </w:p>
    <w:p>
      <w:pPr>
        <w:pStyle w:val="null3"/>
      </w:pPr>
      <w:r>
        <w:rPr/>
        <w:t>9、磋商保证金交纳凭证或担保函：磋商保证金交纳凭证或担保函；（保证金交纳凭证复印件或担保函复印件加盖公章）</w:t>
      </w:r>
    </w:p>
    <w:p>
      <w:pPr>
        <w:pStyle w:val="null3"/>
      </w:pPr>
      <w:r>
        <w:rPr/>
        <w:t>10、信用查询：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书面承诺函，格式自拟加盖供应商公章）</w:t>
      </w:r>
    </w:p>
    <w:p>
      <w:pPr>
        <w:pStyle w:val="null3"/>
      </w:pPr>
      <w:r>
        <w:rPr/>
        <w:t>11、单位负责人为同一人或者存在直接控股、管理关系的不同供应商，不得参加同一合同项下的政府采购活动：单位负责人为同一人或者存在直接控股、管理关系的不同供应商，不得参加同一合同项下的政府采购活动；（提供书面承诺函，格式自拟加盖供应商公章）</w:t>
      </w:r>
    </w:p>
    <w:p>
      <w:pPr>
        <w:pStyle w:val="null3"/>
      </w:pPr>
      <w:r>
        <w:rPr/>
        <w:t>12、本项目不接受联合体磋商：本项目不接受联合体磋商。（提供书面承诺函，格式自拟加盖供应商公章）</w:t>
      </w:r>
    </w:p>
    <w:p>
      <w:pPr>
        <w:pStyle w:val="null3"/>
      </w:pPr>
      <w:r>
        <w:rPr/>
        <w:t>13、进口产品授权书：若所响应产品为进口产品的，供应商须提供产品厂家授权书或总代理商授权书或具有授权权限的供应商对所响应进口产品的授权书。（如提供总代理商授权的须同时提供具有有效授权权限的相关证明文件，证明文件需能显示产品制造厂家对所响应产品授权链条的完整性）</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t xml:space="preserve"> 注：获取的磋商文件主体格式包括pdf、word两种格式版本，其中以pdf格式为准。</w:t>
      </w:r>
    </w:p>
    <w:p>
      <w:pPr>
        <w:pStyle w:val="null3"/>
        <w:outlineLvl w:val="2"/>
      </w:pPr>
      <w:r>
        <w:rPr>
          <w:sz w:val="28"/>
          <w:b/>
        </w:rPr>
        <w:t xml:space="preserve"> 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西北大学</w:t>
      </w:r>
    </w:p>
    <w:p>
      <w:pPr>
        <w:pStyle w:val="null3"/>
      </w:pPr>
      <w:r>
        <w:rPr/>
        <w:t xml:space="preserve"> 地址： </w:t>
      </w:r>
      <w:r>
        <w:rPr/>
        <w:t>太白北路229号</w:t>
      </w:r>
    </w:p>
    <w:p>
      <w:pPr>
        <w:pStyle w:val="null3"/>
      </w:pPr>
      <w:r>
        <w:rPr/>
        <w:t xml:space="preserve"> 邮编： </w:t>
      </w:r>
      <w:r>
        <w:rPr/>
        <w:t>710000</w:t>
      </w:r>
    </w:p>
    <w:p>
      <w:pPr>
        <w:pStyle w:val="null3"/>
      </w:pPr>
      <w:r>
        <w:rPr/>
        <w:t xml:space="preserve"> 联系人： </w:t>
      </w:r>
      <w:r>
        <w:rPr/>
        <w:t>薛老师</w:t>
      </w:r>
    </w:p>
    <w:p>
      <w:pPr>
        <w:pStyle w:val="null3"/>
      </w:pPr>
      <w:r>
        <w:rPr/>
        <w:t xml:space="preserve"> 联系电话： </w:t>
      </w:r>
      <w:r>
        <w:rPr/>
        <w:t>029-88302974</w:t>
      </w:r>
    </w:p>
    <w:p>
      <w:pPr>
        <w:pStyle w:val="null3"/>
        <w:outlineLvl w:val="3"/>
      </w:pPr>
      <w:r>
        <w:rPr>
          <w:sz w:val="24"/>
          <w:b/>
        </w:rPr>
        <w:t>代理机构：</w:t>
      </w:r>
      <w:r>
        <w:rPr>
          <w:sz w:val="24"/>
          <w:b/>
        </w:rPr>
        <w:t>华招广和项目管理有限公司</w:t>
      </w:r>
    </w:p>
    <w:p>
      <w:pPr>
        <w:pStyle w:val="null3"/>
      </w:pPr>
      <w:r>
        <w:rPr/>
        <w:t xml:space="preserve"> 地址： </w:t>
      </w:r>
      <w:r>
        <w:rPr/>
        <w:t>西安市朱雀大街南段1号汇成天玺C座18层</w:t>
      </w:r>
    </w:p>
    <w:p>
      <w:pPr>
        <w:pStyle w:val="null3"/>
      </w:pPr>
      <w:r>
        <w:rPr/>
        <w:t xml:space="preserve"> 邮编： </w:t>
      </w:r>
      <w:r>
        <w:rPr/>
        <w:t>710000</w:t>
      </w:r>
    </w:p>
    <w:p>
      <w:pPr>
        <w:pStyle w:val="null3"/>
      </w:pPr>
      <w:r>
        <w:rPr/>
        <w:t xml:space="preserve"> 联系人： </w:t>
      </w:r>
      <w:r>
        <w:rPr/>
        <w:t>秦工</w:t>
      </w:r>
    </w:p>
    <w:p>
      <w:pPr>
        <w:pStyle w:val="null3"/>
      </w:pPr>
      <w:r>
        <w:rPr/>
        <w:t xml:space="preserve"> 联系电话： </w:t>
      </w:r>
      <w:r>
        <w:rPr/>
        <w:t xml:space="preserve"> 029-87592321</w:t>
      </w:r>
    </w:p>
    <w:p>
      <w:pPr>
        <w:pStyle w:val="null3"/>
        <w:outlineLvl w:val="3"/>
      </w:pPr>
      <w:r>
        <w:rPr>
          <w:sz w:val="24"/>
          <w:b/>
        </w:rPr>
        <w:t>采购监督机构：</w:t>
      </w:r>
      <w:r>
        <w:rPr>
          <w:sz w:val="24"/>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采购包1：788,800.00元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 xml:space="preserve"> 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2.本项目采购的</w:t>
            </w:r>
            <w:r>
              <w:rPr/>
              <w:t>/</w:t>
            </w:r>
            <w:r>
              <w:rPr/>
              <w:t>产品属于节能产品政府采购品目清单中应强制采购的产品范围，供应商应当提供国家确定的认证机构出具的、处于有效期之内的节能产品认证证书，否则作无效响应处理。</w:t>
            </w:r>
          </w:p>
          <w:p>
            <w:pPr>
              <w:pStyle w:val="null3"/>
            </w:pPr>
            <w:r>
              <w:rPr/>
              <w:t>3.本项目采购的</w:t>
            </w:r>
            <w:r>
              <w:rPr/>
              <w:t>/</w:t>
            </w:r>
            <w:r>
              <w:rPr/>
              <w:t>产品属于节能产品政府采购品目清单中应优先采购的产品范围，本项目采购的</w:t>
            </w:r>
            <w:r>
              <w:rPr/>
              <w:t>/</w:t>
            </w:r>
            <w:r>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t xml:space="preserve"> 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采购包1保证金金额：14,000.00元</w:t>
            </w:r>
          </w:p>
          <w:p>
            <w:pPr>
              <w:pStyle w:val="null3"/>
            </w:pPr>
            <w:r>
              <w:rPr/>
              <w:t>缴交渠道：电子保函,转账、支票、汇票等（需通过实体账户、户名及开户行信息）</w:t>
            </w:r>
          </w:p>
          <w:p>
            <w:pPr>
              <w:pStyle w:val="null3"/>
            </w:pPr>
            <w:r>
              <w:rPr/>
              <w:t>开户名称：华招广和项目管理有限公司</w:t>
            </w:r>
          </w:p>
          <w:p>
            <w:pPr>
              <w:pStyle w:val="null3"/>
            </w:pPr>
            <w:r>
              <w:rPr/>
              <w:t>开户银行：中信银行西安朱雀南路支行</w:t>
            </w:r>
          </w:p>
          <w:p>
            <w:pPr>
              <w:pStyle w:val="null3"/>
            </w:pPr>
            <w:r>
              <w:rPr/>
              <w:t>银行账号：8111 7010 1190 0609 835</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采购包1：缴纳</w:t>
            </w:r>
          </w:p>
          <w:p>
            <w:pPr>
              <w:pStyle w:val="null3"/>
            </w:pPr>
            <w:r>
              <w:rPr/>
              <w:t>本采购包履约保证金为合同金额的5.0%</w:t>
            </w:r>
          </w:p>
          <w:p>
            <w:pPr>
              <w:pStyle w:val="null3"/>
            </w:pPr>
            <w:r>
              <w:rPr/>
              <w:t>说明：1、成交后，成交供应商与采购人洽谈合同条款，并签订供货合同，同时送代理机构归档，谈判文件及成交供应商响应文件均作为合同的组成部分；供应商成交后（无论整体或部分成交），须向学校交纳合同履约保证金，履约保证金金额为成交金额的5%。 转账账号：西北大学 611301015018001145006 交通银行太白路支行 转账金额到账后，可持银行回执到西北大学采购与招标办公室换取收据。待合同执行完毕、货物验收合格后凭验收单和缴款收据，合同履约保证金予以退还。如遇下列情况之一者，合同履约保证金不予退还，作为对采购人的赔偿： （1）合同签订后不能按合同时限要求供货或安装调试的； （2）所供货物与合同不符或验收不合格的； （3）不能按合同履约的。 2、根据需要，代理机构应协助采购人监督、协调和处理履约过程中出现的问题； 3、陕西省财政厅政府采购管理处在合同履行期间以及履行期后，可以随时检查项目的执行情况，对采购标准、采购内容进行调查核实，并对发现的问题进行处理。</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1、成交人在领取成交通知书时，参照原《国家计委关于印发&lt;招标代理服务收费管理暂行办法&gt;的通知》(计价格〔2002〕1980号)、《国家发展改革委关于降低部分建设项目收费标准规范收费行为等有关问题的通知》(发改价格〔2011〕534号)以及财政部关于印发&lt;政府采购代理机构管理暂行办法&gt;的通知》（财库〔2018〕2号）规定，下浮20%，向华招广和项目管理有限公司交纳招标服务费。 2、招标代理服务费应采用转账形式交纳。3、收款账户如下：收款单位：华招广和项目管理有限公司 开户银行：中国建设银行股份有限公司西安金泰假日花城支行 银行账号：6105 0186 5800 0000 0059。</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允许。本项目允许采购进口产品，进口产品的清单详见第3章。</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出现下列情形之一的，采购人或者代理机构应当中止电子化采购活动，并保留相关证明材料备查：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西北大学</w:t>
      </w:r>
      <w:r>
        <w:rPr/>
        <w:t>和</w:t>
      </w:r>
      <w:r>
        <w:rPr/>
        <w:t>华招广和项目管理有限公司</w:t>
      </w:r>
      <w:r>
        <w:rPr/>
        <w:t>享有。对磋商文件中供应商参加本次政府采购活动应当具备的条件，磋商项目技术、服务、商务及其他要求，评审细则及标准由</w:t>
      </w:r>
      <w:r>
        <w:rPr/>
        <w:t>西北大学</w:t>
      </w:r>
      <w:r>
        <w:rPr/>
        <w:t>负责解释。除上述磋商文件内容，其他内容由</w:t>
      </w:r>
      <w:r>
        <w:rPr/>
        <w:t>华招广和项目管理有限公司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一、“采购人”是指依法进行政府采购的各级国家机关、事业单位、团体组织。本次磋商的采购人是{采购人名称}。</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华招广和项目管理有限公司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sz w:val="24"/>
          <w:b/>
        </w:rPr>
        <w:t>2.2.3响应费用（实质性要求）</w:t>
      </w:r>
    </w:p>
    <w:p>
      <w:pPr>
        <w:pStyle w:val="null3"/>
        <w:ind w:firstLine="480"/>
      </w:pPr>
      <w:r>
        <w:rPr/>
        <w:t>供应商应自行承担参加竞争性磋商采购活动的全部费用。</w:t>
      </w:r>
    </w:p>
    <w:p>
      <w:pPr>
        <w:pStyle w:val="null3"/>
        <w:outlineLvl w:val="2"/>
      </w:pPr>
      <w:r>
        <w:rPr>
          <w:sz w:val="28"/>
          <w:b/>
        </w:rPr>
        <w:t>2.3磋商文件</w:t>
      </w:r>
    </w:p>
    <w:p>
      <w:pPr>
        <w:pStyle w:val="null3"/>
        <w:outlineLvl w:val="3"/>
      </w:pPr>
      <w:r>
        <w:rPr>
          <w:sz w:val="24"/>
          <w:b/>
        </w:rPr>
        <w:t>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sz w:val="24"/>
          <w:b/>
        </w:rPr>
        <w:t>2.3.2磋商文件的澄清和修改</w:t>
      </w:r>
    </w:p>
    <w:p>
      <w:pPr>
        <w:pStyle w:val="null3"/>
        <w:ind w:firstLine="480"/>
      </w:pPr>
      <w:r>
        <w:rPr/>
        <w:t xml:space="preserve"> 一、在提交首次响应文件截止时间前，采购人或者代理机构可以对已发出的磋商文件进行必要的澄清或者修改。</w:t>
      </w:r>
    </w:p>
    <w:p>
      <w:pPr>
        <w:pStyle w:val="null3"/>
      </w:pPr>
      <w:r>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除磋商文件中另有规定外，本项目均采用国家法定的计量单位。</w:t>
      </w:r>
    </w:p>
    <w:p>
      <w:pPr>
        <w:pStyle w:val="null3"/>
        <w:outlineLvl w:val="3"/>
      </w:pPr>
      <w:r>
        <w:rPr>
          <w:sz w:val="24"/>
          <w:b/>
        </w:rPr>
        <w:t>2.4.3响应货币</w:t>
      </w:r>
    </w:p>
    <w:p>
      <w:pPr>
        <w:pStyle w:val="null3"/>
        <w:ind w:firstLine="480"/>
      </w:pPr>
      <w:r>
        <w:rPr/>
        <w:t>本次项目均以人民币报价。</w:t>
      </w:r>
    </w:p>
    <w:p>
      <w:pPr>
        <w:pStyle w:val="null3"/>
        <w:outlineLvl w:val="3"/>
      </w:pPr>
      <w:r>
        <w:rPr>
          <w:sz w:val="24"/>
          <w:b/>
        </w:rPr>
        <w:t>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 xml:space="preserve"> 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sz w:val="24"/>
          <w:b/>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sz w:val="24"/>
          <w:b/>
        </w:rPr>
        <w:t>2.4.6响应文件格式</w:t>
      </w:r>
    </w:p>
    <w:p>
      <w:pPr>
        <w:pStyle w:val="null3"/>
        <w:ind w:firstLine="480"/>
      </w:pPr>
      <w:r>
        <w:rPr/>
        <w:t xml:space="preserve"> 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 xml:space="preserve"> 一、供应商的报价是其响应磋商项目要求的全部工作内容的价格体现，包括供应商完成本项目所需的一切费用。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2.4.9响应文件的制作、签章和加密（实质性要求）</w:t>
      </w:r>
    </w:p>
    <w:p>
      <w:pPr>
        <w:pStyle w:val="null3"/>
        <w:ind w:firstLine="480"/>
      </w:pPr>
      <w:r>
        <w:rPr/>
        <w:t xml:space="preserve"> 一、响应文件应当根据磋商文件进行编制。供应商应通过陕西省政府采购网--办事指南-CA及签章服务下载投标（响应）客户端，使用客户端编制响应文件。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sz w:val="24"/>
          <w:b/>
        </w:rPr>
        <w:t>2.4.10响应文件的提交（实质性要求）</w:t>
      </w:r>
    </w:p>
    <w:p>
      <w:pPr>
        <w:pStyle w:val="null3"/>
        <w:ind w:firstLine="480"/>
      </w:pPr>
      <w:r>
        <w:rPr/>
        <w:t xml:space="preserve"> 一、供应商应当在提交响应文件截止时间前，通过项目电子化交易系统完成首次响应文件提交。</w:t>
      </w:r>
    </w:p>
    <w:p>
      <w:pPr>
        <w:pStyle w:val="null3"/>
        <w:ind w:firstLine="480"/>
      </w:pPr>
      <w:r>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2.5开启、资格审查、磋商和确定成交供应商</w:t>
      </w:r>
    </w:p>
    <w:p>
      <w:pPr>
        <w:pStyle w:val="null3"/>
        <w:outlineLvl w:val="3"/>
      </w:pPr>
      <w:r>
        <w:rPr>
          <w:sz w:val="24"/>
          <w:b/>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pPr>
      <w:r>
        <w:rPr/>
        <w:t xml:space="preserve"> 响应文件开启时间前，供应商登录项目电子化交易系统-“开标/开启大厅”，等待代理机构开启磋商。</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详见磋商文件第四章。</w:t>
      </w:r>
    </w:p>
    <w:p>
      <w:pPr>
        <w:pStyle w:val="null3"/>
        <w:outlineLvl w:val="3"/>
      </w:pPr>
      <w:r>
        <w:rPr>
          <w:sz w:val="24"/>
          <w:b/>
        </w:rPr>
        <w:t>2.5.4磋商</w:t>
      </w:r>
    </w:p>
    <w:p>
      <w:pPr>
        <w:pStyle w:val="null3"/>
        <w:ind w:firstLine="480"/>
      </w:pPr>
      <w:r>
        <w:rPr/>
        <w:t>详见磋商文件第六章</w:t>
      </w:r>
    </w:p>
    <w:p>
      <w:pPr>
        <w:pStyle w:val="null3"/>
        <w:outlineLvl w:val="3"/>
      </w:pPr>
      <w:r>
        <w:rPr>
          <w:sz w:val="24"/>
          <w:b/>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2.6.1签订合同</w:t>
      </w:r>
    </w:p>
    <w:p>
      <w:pPr>
        <w:pStyle w:val="null3"/>
        <w:ind w:firstLine="480"/>
      </w:pPr>
      <w:r>
        <w:rPr/>
        <w:t xml:space="preserve"> 一、采购人应在成交通知书发出之日起三十日内与成交供应商签订采购合同。</w:t>
      </w:r>
    </w:p>
    <w:p>
      <w:pPr>
        <w:pStyle w:val="null3"/>
        <w:ind w:firstLine="480"/>
      </w:pPr>
      <w:r>
        <w:rPr/>
        <w:t xml:space="preserve"> 二、采购人和成交供应商签订的采购合同不得对磋商文件确定的事项以及成交供应商的响应文件作实质性修改。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 xml:space="preserve"> 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t xml:space="preserve"> 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sz w:val="24"/>
          <w:b/>
        </w:rPr>
        <w:t>2.6.6履行合同</w:t>
      </w:r>
    </w:p>
    <w:p>
      <w:pPr>
        <w:pStyle w:val="null3"/>
        <w:ind w:firstLine="480"/>
      </w:pPr>
      <w:r>
        <w:rPr/>
        <w:t>一、成交供应商与采购人签订合同后，合同双方应严格执行合同条款，履行合同规定的义务，保证合同的顺利完成。</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2.6.7履约验收方案</w:t>
      </w:r>
    </w:p>
    <w:p>
      <w:pPr>
        <w:pStyle w:val="null3"/>
      </w:pPr>
      <w:r>
        <w:rPr/>
        <w:t>采购包1：</w:t>
      </w:r>
    </w:p>
    <w:p>
      <w:pPr>
        <w:pStyle w:val="null3"/>
      </w:pPr>
      <w:r>
        <w:rPr/>
        <w:t>按采购文件、响应文件及合同约定执行</w:t>
      </w:r>
    </w:p>
    <w:p>
      <w:pPr>
        <w:pStyle w:val="null3"/>
        <w:outlineLvl w:val="3"/>
      </w:pPr>
      <w:r>
        <w:rPr>
          <w:sz w:val="24"/>
          <w:b/>
        </w:rPr>
        <w:t>2.6.8资金支付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 xml:space="preserve"> 对各供应商的商业秘密，磋商小组成员应予以保密，不得泄露给其他供应商。</w:t>
      </w:r>
    </w:p>
    <w:p>
      <w:pPr>
        <w:pStyle w:val="null3"/>
        <w:outlineLvl w:val="3"/>
      </w:pPr>
      <w:r>
        <w:rPr>
          <w:sz w:val="24"/>
          <w:b/>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 xml:space="preserve"> （三）不同供应商的响应文件载明的项目管理成员或者联系人员为同一人；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供应商有上述情形的，按照规定追究法律责任，具有前述一至十三条情形之一的，其响应文件无效，或取消被确认为成交供应商的资格或认定成交无效。</w:t>
      </w:r>
    </w:p>
    <w:p>
      <w:pPr>
        <w:pStyle w:val="null3"/>
        <w:outlineLvl w:val="3"/>
      </w:pPr>
      <w:r>
        <w:rPr>
          <w:sz w:val="24"/>
          <w:b/>
        </w:rPr>
        <w:t>2.7.3采购人员及相关人员回避要求</w:t>
      </w:r>
    </w:p>
    <w:p>
      <w:pPr>
        <w:pStyle w:val="null3"/>
        <w:ind w:firstLine="480"/>
      </w:pPr>
      <w:r>
        <w:rPr/>
        <w:t xml:space="preserve"> 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 xml:space="preserve"> （四）与供应商的法定代表人或者负责人有夫妻、直系血亲、三代以内旁系血亲或者近姻亲关系；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根据委托代理协议约定，供应商对采购文件的询问、质疑由 </w:t>
      </w:r>
      <w:r>
        <w:rPr/>
        <w:t>华招广和项目管理有限公司</w:t>
      </w:r>
      <w:r>
        <w:rPr/>
        <w:t xml:space="preserve"> 负责答复；供应商对采购过程的询问、质疑由</w:t>
      </w:r>
      <w:r>
        <w:rPr/>
        <w:t>华招广和项目管理有限公司</w:t>
      </w:r>
      <w:r>
        <w:rPr/>
        <w:t xml:space="preserve"> 负责答复；供应商对采购结果的询问、质疑由 </w:t>
      </w:r>
      <w:r>
        <w:rPr/>
        <w:t>华招广和项目管理有限公司</w:t>
      </w:r>
      <w:r>
        <w:rPr/>
        <w:t xml:space="preserve"> 负责答复。</w:t>
      </w:r>
    </w:p>
    <w:p>
      <w:pPr>
        <w:pStyle w:val="null3"/>
        <w:ind w:firstLine="480"/>
      </w:pPr>
      <w:r>
        <w:rPr/>
        <w:t xml:space="preserve"> 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t xml:space="preserve"> （一）对可以质疑的采购文件提出质疑的，为收到采购文件之日或者采购文件公告期限届满之日；</w:t>
      </w:r>
    </w:p>
    <w:p>
      <w:pPr>
        <w:pStyle w:val="null3"/>
        <w:ind w:firstLine="480"/>
      </w:pPr>
      <w:r>
        <w:rPr/>
        <w:t>（二）对采购过程提出质疑的，为各采购程序环节结束之日；</w:t>
      </w:r>
    </w:p>
    <w:p>
      <w:pPr>
        <w:pStyle w:val="null3"/>
        <w:ind w:firstLine="480"/>
      </w:pPr>
      <w:r>
        <w:rPr/>
        <w:t xml:space="preserve"> （三）对中标或者成交结果提出质疑的，为中标或者成交结果公告期限届满之日。</w:t>
      </w:r>
    </w:p>
    <w:p>
      <w:pPr>
        <w:pStyle w:val="null3"/>
        <w:ind w:firstLine="480"/>
      </w:pPr>
      <w:r>
        <w:rPr/>
        <w:t xml:space="preserve"> 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 xml:space="preserve"> （二）法定代表人或主要负责人授权委托书1份（委托代理人办理质疑事宜的需提供）；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 xml:space="preserve"> （四）委托代理人身份证复印件1份（委托代理人办理质疑事宜的需提供）；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pPr>
      <w:r>
        <w:rPr/>
        <w:t>答复主体：代理机构</w:t>
      </w:r>
    </w:p>
    <w:p>
      <w:pPr>
        <w:pStyle w:val="null3"/>
      </w:pPr>
      <w:r>
        <w:rPr/>
        <w:t>联系人：秦工</w:t>
      </w:r>
    </w:p>
    <w:p>
      <w:pPr>
        <w:pStyle w:val="null3"/>
      </w:pPr>
      <w:r>
        <w:rPr/>
        <w:t>联系电话：西安市朱雀大街南段1号汇成天玺C座18层</w:t>
      </w:r>
    </w:p>
    <w:p>
      <w:pPr>
        <w:pStyle w:val="null3"/>
      </w:pPr>
      <w:r>
        <w:rPr/>
        <w:t>地址：029-87592321</w:t>
      </w:r>
    </w:p>
    <w:p>
      <w:pPr>
        <w:pStyle w:val="null3"/>
      </w:pPr>
      <w:r>
        <w:rPr/>
        <w:t>邮编：710000</w:t>
      </w:r>
    </w:p>
    <w:p>
      <w:pPr>
        <w:pStyle w:val="null3"/>
        <w:ind w:firstLine="480"/>
      </w:pPr>
      <w:r>
        <w:rPr/>
        <w:t xml:space="preserve"> 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 xml:space="preserve"> 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环形腔钛宝石激光器更新，1套，本项目已通过进口产品采购核准，允许采购进口产品。简要技术要求、用途：科研实验，具体详见采购文件。</w:t>
      </w:r>
    </w:p>
    <w:p>
      <w:pPr>
        <w:pStyle w:val="null3"/>
        <w:outlineLvl w:val="2"/>
      </w:pPr>
      <w:r>
        <w:rPr>
          <w:sz w:val="28"/>
          <w:b/>
        </w:rPr>
        <w:t>3.2采购内容</w:t>
      </w:r>
    </w:p>
    <w:p>
      <w:pPr>
        <w:pStyle w:val="null3"/>
      </w:pPr>
      <w:r>
        <w:rPr/>
        <w:t>采购包1：</w:t>
      </w:r>
    </w:p>
    <w:p>
      <w:pPr>
        <w:pStyle w:val="null3"/>
      </w:pPr>
      <w:r>
        <w:rPr/>
        <w:t>采购包预算金额（元）: 788,800.00</w:t>
      </w:r>
    </w:p>
    <w:p>
      <w:pPr>
        <w:pStyle w:val="null3"/>
      </w:pPr>
      <w:r>
        <w:rPr/>
        <w:t>采购包最高限价（元）: 788,800.00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环形腔钛宝石激光器</w:t>
            </w:r>
          </w:p>
        </w:tc>
        <w:tc>
          <w:tcPr>
            <w:tcW w:type="dxa" w:w="831"/>
          </w:tcPr>
          <w:p>
            <w:pPr>
              <w:pStyle w:val="null3"/>
              <w:jc w:val="right"/>
            </w:pPr>
            <w:r>
              <w:rPr/>
              <w:t>1.00</w:t>
            </w:r>
          </w:p>
        </w:tc>
        <w:tc>
          <w:tcPr>
            <w:tcW w:type="dxa" w:w="831"/>
          </w:tcPr>
          <w:p>
            <w:pPr>
              <w:pStyle w:val="null3"/>
              <w:jc w:val="right"/>
            </w:pPr>
            <w:r>
              <w:rPr/>
              <w:t>788,800.00</w:t>
            </w:r>
          </w:p>
        </w:tc>
        <w:tc>
          <w:tcPr>
            <w:tcW w:type="dxa" w:w="831"/>
          </w:tcPr>
          <w:p>
            <w:pPr>
              <w:pStyle w:val="null3"/>
            </w:pPr>
            <w:r>
              <w:rPr/>
              <w:t>套</w:t>
            </w:r>
          </w:p>
        </w:tc>
        <w:tc>
          <w:tcPr>
            <w:tcW w:type="dxa" w:w="831"/>
          </w:tcPr>
          <w:p>
            <w:pPr>
              <w:pStyle w:val="null3"/>
            </w:pPr>
            <w:r>
              <w:rPr/>
              <w:t>工业</w:t>
            </w:r>
          </w:p>
        </w:tc>
        <w:tc>
          <w:tcPr>
            <w:tcW w:type="dxa" w:w="831"/>
          </w:tcPr>
          <w:p>
            <w:pPr>
              <w:pStyle w:val="null3"/>
            </w:pPr>
            <w:r>
              <w:rPr/>
              <w:t>是</w:t>
            </w:r>
          </w:p>
        </w:tc>
        <w:tc>
          <w:tcPr>
            <w:tcW w:type="dxa" w:w="831"/>
          </w:tcPr>
          <w:p>
            <w:pPr>
              <w:pStyle w:val="null3"/>
            </w:pPr>
            <w:r>
              <w:rPr/>
              <w:t>是</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标的名称：环形腔钛宝石激光器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both"/>
            </w:pPr>
            <w:r>
              <w:rPr>
                <w:rFonts w:ascii="宋体" w:hAnsi="宋体" w:cs="宋体" w:eastAsia="宋体"/>
                <w:sz w:val="21"/>
              </w:rPr>
              <w:t>环形腔钛宝石激光器更新</w:t>
            </w:r>
            <w:r>
              <w:rPr>
                <w:rFonts w:ascii="宋体" w:hAnsi="宋体" w:cs="宋体" w:eastAsia="宋体"/>
                <w:sz w:val="21"/>
              </w:rPr>
              <w:t>：</w:t>
            </w:r>
            <w:r>
              <w:rPr>
                <w:rFonts w:ascii="宋体" w:hAnsi="宋体" w:cs="宋体" w:eastAsia="宋体"/>
                <w:sz w:val="21"/>
              </w:rPr>
              <w:t>数量，</w:t>
            </w:r>
            <w:r>
              <w:rPr>
                <w:rFonts w:ascii="宋体" w:hAnsi="宋体" w:cs="宋体" w:eastAsia="宋体"/>
                <w:sz w:val="21"/>
              </w:rPr>
              <w:t>1套</w:t>
            </w:r>
          </w:p>
          <w:tbl>
            <w:tblPr>
              <w:tblInd w:type="dxa" w:w="15"/>
              <w:tblBorders>
                <w:top w:val="none" w:color="000000" w:sz="4"/>
                <w:left w:val="none" w:color="000000" w:sz="4"/>
                <w:bottom w:val="none" w:color="000000" w:sz="4"/>
                <w:right w:val="none" w:color="000000" w:sz="4"/>
                <w:insideH w:val="none"/>
                <w:insideV w:val="none"/>
              </w:tblBorders>
            </w:tblPr>
            <w:tblGrid>
              <w:gridCol w:w="168"/>
              <w:gridCol w:w="2385"/>
            </w:tblGrid>
            <w:tr>
              <w:tc>
                <w:tcPr>
                  <w:tcW w:type="dxa" w:w="1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9"/>
                    </w:rPr>
                    <w:t>序号</w:t>
                  </w:r>
                </w:p>
              </w:tc>
              <w:tc>
                <w:tcPr>
                  <w:tcW w:type="dxa" w:w="23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9"/>
                    </w:rPr>
                    <w:t>技术参数与性能指标</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calibri" w:hAnsi="calibri" w:cs="calibri" w:eastAsia="calibri"/>
                      <w:sz w:val="19"/>
                    </w:rPr>
                    <w:t>1</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color w:val="000000"/>
                    </w:rPr>
                    <w:t>拟更新的为环形腔钛宝石激光器泵浦源，该泵浦源为激光器，需满足以下全部指标，其中指标</w:t>
                  </w:r>
                  <w:r>
                    <w:rPr>
                      <w:rFonts w:ascii="宋体" w:hAnsi="宋体" w:cs="宋体" w:eastAsia="宋体"/>
                      <w:sz w:val="21"/>
                      <w:color w:val="000000"/>
                    </w:rPr>
                    <w:t>1-10需要提供官方支撑材料（不限于官网截图、产品彩页、技术白皮书等</w:t>
                  </w:r>
                  <w:r>
                    <w:rPr>
                      <w:rFonts w:ascii="宋体" w:hAnsi="宋体" w:cs="宋体" w:eastAsia="宋体"/>
                      <w:sz w:val="21"/>
                      <w:color w:val="000000"/>
                    </w:rPr>
                    <w:t>任意一种</w:t>
                  </w:r>
                  <w:r>
                    <w:rPr>
                      <w:rFonts w:ascii="宋体" w:hAnsi="宋体" w:cs="宋体" w:eastAsia="宋体"/>
                      <w:sz w:val="21"/>
                      <w:color w:val="000000"/>
                    </w:rPr>
                    <w:t>）。</w:t>
                  </w:r>
                </w:p>
                <w:p>
                  <w:pPr>
                    <w:pStyle w:val="null3"/>
                  </w:pPr>
                  <w:r>
                    <w:rPr>
                      <w:rFonts w:ascii="宋体" w:hAnsi="宋体" w:cs="宋体" w:eastAsia="宋体"/>
                      <w:sz w:val="21"/>
                      <w:color w:val="000000"/>
                    </w:rPr>
                    <w:t>1.</w:t>
                  </w:r>
                  <w:r>
                    <w:rPr>
                      <w:rFonts w:ascii="宋体" w:hAnsi="宋体" w:cs="宋体" w:eastAsia="宋体"/>
                      <w:sz w:val="21"/>
                      <w:color w:val="000000"/>
                    </w:rPr>
                    <w:t>★</w:t>
                  </w:r>
                  <w:r>
                    <w:rPr>
                      <w:rFonts w:ascii="宋体" w:hAnsi="宋体" w:cs="宋体" w:eastAsia="宋体"/>
                      <w:sz w:val="21"/>
                    </w:rPr>
                    <w:t>功率：</w:t>
                  </w:r>
                  <w:r>
                    <w:rPr>
                      <w:rFonts w:ascii="宋体" w:hAnsi="宋体" w:cs="宋体" w:eastAsia="宋体"/>
                      <w:sz w:val="21"/>
                    </w:rPr>
                    <w:t>≥18W</w:t>
                  </w:r>
                </w:p>
                <w:p>
                  <w:pPr>
                    <w:pStyle w:val="null3"/>
                  </w:pPr>
                  <w:r>
                    <w:rPr>
                      <w:rFonts w:ascii="宋体" w:hAnsi="宋体" w:cs="宋体" w:eastAsia="宋体"/>
                      <w:sz w:val="21"/>
                      <w:color w:val="000000"/>
                    </w:rPr>
                    <w:t>2.</w:t>
                  </w:r>
                  <w:r>
                    <w:rPr>
                      <w:rFonts w:ascii="宋体" w:hAnsi="宋体" w:cs="宋体" w:eastAsia="宋体"/>
                      <w:sz w:val="21"/>
                      <w:color w:val="000000"/>
                    </w:rPr>
                    <w:t>★</w:t>
                  </w:r>
                  <w:r>
                    <w:rPr>
                      <w:rFonts w:ascii="宋体" w:hAnsi="宋体" w:cs="宋体" w:eastAsia="宋体"/>
                      <w:sz w:val="21"/>
                    </w:rPr>
                    <w:t>线宽：</w:t>
                  </w:r>
                  <w:r>
                    <w:rPr>
                      <w:rFonts w:ascii="宋体" w:hAnsi="宋体" w:cs="宋体" w:eastAsia="宋体"/>
                      <w:sz w:val="21"/>
                    </w:rPr>
                    <w:t>≤5MHz</w:t>
                  </w:r>
                </w:p>
                <w:p>
                  <w:pPr>
                    <w:pStyle w:val="null3"/>
                  </w:pPr>
                  <w:r>
                    <w:rPr>
                      <w:rFonts w:ascii="宋体" w:hAnsi="宋体" w:cs="宋体" w:eastAsia="宋体"/>
                      <w:sz w:val="21"/>
                    </w:rPr>
                    <w:t>3.</w:t>
                  </w:r>
                  <w:r>
                    <w:rPr>
                      <w:rFonts w:ascii="宋体" w:hAnsi="宋体" w:cs="宋体" w:eastAsia="宋体"/>
                      <w:sz w:val="21"/>
                    </w:rPr>
                    <w:t>波长：</w:t>
                  </w:r>
                  <w:r>
                    <w:rPr>
                      <w:rFonts w:ascii="宋体" w:hAnsi="宋体" w:cs="宋体" w:eastAsia="宋体"/>
                      <w:sz w:val="21"/>
                    </w:rPr>
                    <w:t>532 nm</w:t>
                  </w:r>
                </w:p>
                <w:p>
                  <w:pPr>
                    <w:pStyle w:val="null3"/>
                  </w:pPr>
                  <w:r>
                    <w:rPr>
                      <w:rFonts w:ascii="宋体" w:hAnsi="宋体" w:cs="宋体" w:eastAsia="宋体"/>
                      <w:sz w:val="21"/>
                    </w:rPr>
                    <w:t>4.</w:t>
                  </w:r>
                  <w:r>
                    <w:rPr>
                      <w:rFonts w:ascii="宋体" w:hAnsi="宋体" w:cs="宋体" w:eastAsia="宋体"/>
                      <w:sz w:val="21"/>
                    </w:rPr>
                    <w:t>空间模式：</w:t>
                  </w:r>
                  <w:r>
                    <w:rPr>
                      <w:rFonts w:ascii="宋体" w:hAnsi="宋体" w:cs="宋体" w:eastAsia="宋体"/>
                      <w:sz w:val="21"/>
                    </w:rPr>
                    <w:t>TEM00</w:t>
                  </w:r>
                </w:p>
                <w:p>
                  <w:pPr>
                    <w:pStyle w:val="null3"/>
                  </w:pPr>
                  <w:r>
                    <w:rPr>
                      <w:rFonts w:ascii="宋体" w:hAnsi="宋体" w:cs="宋体" w:eastAsia="宋体"/>
                      <w:sz w:val="21"/>
                    </w:rPr>
                    <w:t>5.</w:t>
                  </w:r>
                  <w:r>
                    <w:rPr>
                      <w:rFonts w:ascii="宋体" w:hAnsi="宋体" w:cs="宋体" w:eastAsia="宋体"/>
                      <w:sz w:val="21"/>
                    </w:rPr>
                    <w:t>M</w:t>
                  </w:r>
                  <w:r>
                    <w:rPr>
                      <w:rFonts w:ascii="宋体" w:hAnsi="宋体" w:cs="宋体" w:eastAsia="宋体"/>
                      <w:sz w:val="21"/>
                      <w:vertAlign w:val="superscript"/>
                    </w:rPr>
                    <w:t>2</w:t>
                  </w:r>
                  <w:r>
                    <w:rPr>
                      <w:rFonts w:ascii="宋体" w:hAnsi="宋体" w:cs="宋体" w:eastAsia="宋体"/>
                      <w:sz w:val="21"/>
                    </w:rPr>
                    <w:t>因子：</w:t>
                  </w:r>
                  <w:r>
                    <w:rPr>
                      <w:rFonts w:ascii="宋体" w:hAnsi="宋体" w:cs="宋体" w:eastAsia="宋体"/>
                      <w:sz w:val="21"/>
                    </w:rPr>
                    <w:t>≤ 1.1</w:t>
                  </w:r>
                </w:p>
                <w:p>
                  <w:pPr>
                    <w:pStyle w:val="null3"/>
                  </w:pPr>
                  <w:r>
                    <w:rPr>
                      <w:rFonts w:ascii="宋体" w:hAnsi="宋体" w:cs="宋体" w:eastAsia="宋体"/>
                      <w:sz w:val="21"/>
                    </w:rPr>
                    <w:t>6.</w:t>
                  </w:r>
                  <w:r>
                    <w:rPr>
                      <w:rFonts w:ascii="宋体" w:hAnsi="宋体" w:cs="宋体" w:eastAsia="宋体"/>
                      <w:sz w:val="21"/>
                    </w:rPr>
                    <w:t>偏振：</w:t>
                  </w:r>
                  <w:r>
                    <w:rPr>
                      <w:rFonts w:ascii="宋体" w:hAnsi="宋体" w:cs="宋体" w:eastAsia="宋体"/>
                      <w:sz w:val="21"/>
                    </w:rPr>
                    <w:t>≥100:1</w:t>
                  </w:r>
                </w:p>
                <w:p>
                  <w:pPr>
                    <w:pStyle w:val="null3"/>
                  </w:pPr>
                  <w:r>
                    <w:rPr>
                      <w:rFonts w:ascii="宋体" w:hAnsi="宋体" w:cs="宋体" w:eastAsia="宋体"/>
                      <w:sz w:val="21"/>
                      <w:color w:val="000000"/>
                    </w:rPr>
                    <w:t>7.</w:t>
                  </w:r>
                  <w:r>
                    <w:rPr>
                      <w:rFonts w:ascii="宋体" w:hAnsi="宋体" w:cs="宋体" w:eastAsia="宋体"/>
                      <w:sz w:val="21"/>
                      <w:color w:val="000000"/>
                    </w:rPr>
                    <w:t>★</w:t>
                  </w:r>
                  <w:r>
                    <w:rPr>
                      <w:rFonts w:ascii="宋体" w:hAnsi="宋体" w:cs="宋体" w:eastAsia="宋体"/>
                      <w:sz w:val="21"/>
                    </w:rPr>
                    <w:t>功率稳定性：</w:t>
                  </w:r>
                  <w:r>
                    <w:rPr>
                      <w:rFonts w:ascii="宋体" w:hAnsi="宋体" w:cs="宋体" w:eastAsia="宋体"/>
                      <w:sz w:val="21"/>
                    </w:rPr>
                    <w:t>≤±1%</w:t>
                  </w:r>
                </w:p>
                <w:p>
                  <w:pPr>
                    <w:pStyle w:val="null3"/>
                  </w:pPr>
                  <w:r>
                    <w:rPr>
                      <w:rFonts w:ascii="宋体" w:hAnsi="宋体" w:cs="宋体" w:eastAsia="宋体"/>
                      <w:sz w:val="21"/>
                    </w:rPr>
                    <w:t>8.</w:t>
                  </w:r>
                  <w:r>
                    <w:rPr>
                      <w:rFonts w:ascii="宋体" w:hAnsi="宋体" w:cs="宋体" w:eastAsia="宋体"/>
                      <w:sz w:val="21"/>
                    </w:rPr>
                    <w:t>噪声：</w:t>
                  </w:r>
                  <w:r>
                    <w:rPr>
                      <w:rFonts w:ascii="宋体" w:hAnsi="宋体" w:cs="宋体" w:eastAsia="宋体"/>
                      <w:sz w:val="21"/>
                    </w:rPr>
                    <w:t>≤ 0.0</w:t>
                  </w:r>
                  <w:r>
                    <w:rPr>
                      <w:rFonts w:ascii="宋体" w:hAnsi="宋体" w:cs="宋体" w:eastAsia="宋体"/>
                      <w:sz w:val="21"/>
                    </w:rPr>
                    <w:t>2</w:t>
                  </w:r>
                  <w:r>
                    <w:rPr>
                      <w:rFonts w:ascii="宋体" w:hAnsi="宋体" w:cs="宋体" w:eastAsia="宋体"/>
                      <w:sz w:val="21"/>
                    </w:rPr>
                    <w:t>% rms</w:t>
                  </w:r>
                </w:p>
                <w:p>
                  <w:pPr>
                    <w:pStyle w:val="null3"/>
                  </w:pPr>
                  <w:r>
                    <w:rPr>
                      <w:rFonts w:ascii="宋体" w:hAnsi="宋体" w:cs="宋体" w:eastAsia="宋体"/>
                      <w:sz w:val="21"/>
                    </w:rPr>
                    <w:t>9.</w:t>
                  </w:r>
                  <w:r>
                    <w:rPr>
                      <w:rFonts w:ascii="宋体" w:hAnsi="宋体" w:cs="宋体" w:eastAsia="宋体"/>
                      <w:sz w:val="21"/>
                    </w:rPr>
                    <w:t>光束指向稳定性：</w:t>
                  </w:r>
                  <w:r>
                    <w:rPr>
                      <w:rFonts w:ascii="宋体" w:hAnsi="宋体" w:cs="宋体" w:eastAsia="宋体"/>
                      <w:sz w:val="21"/>
                    </w:rPr>
                    <w:t>≤2 µrad/ °C</w:t>
                  </w:r>
                </w:p>
                <w:p>
                  <w:pPr>
                    <w:pStyle w:val="null3"/>
                  </w:pPr>
                  <w:r>
                    <w:rPr>
                      <w:rFonts w:ascii="宋体" w:hAnsi="宋体" w:cs="宋体" w:eastAsia="宋体"/>
                      <w:sz w:val="21"/>
                    </w:rPr>
                    <w:t>10.</w:t>
                  </w:r>
                  <w:r>
                    <w:rPr>
                      <w:rFonts w:ascii="宋体" w:hAnsi="宋体" w:cs="宋体" w:eastAsia="宋体"/>
                      <w:sz w:val="21"/>
                    </w:rPr>
                    <w:t>光斑直径：</w:t>
                  </w:r>
                  <w:r>
                    <w:rPr>
                      <w:rFonts w:ascii="宋体" w:hAnsi="宋体" w:cs="宋体" w:eastAsia="宋体"/>
                      <w:sz w:val="21"/>
                    </w:rPr>
                    <w:t>2-2.3 mm</w:t>
                  </w:r>
                </w:p>
                <w:p>
                  <w:pPr>
                    <w:pStyle w:val="null3"/>
                  </w:pPr>
                  <w:r>
                    <w:rPr>
                      <w:rFonts w:ascii="宋体" w:hAnsi="宋体" w:cs="宋体" w:eastAsia="宋体"/>
                      <w:sz w:val="21"/>
                    </w:rPr>
                    <w:t>11.</w:t>
                  </w:r>
                  <w:r>
                    <w:rPr>
                      <w:rFonts w:ascii="宋体" w:hAnsi="宋体" w:cs="宋体" w:eastAsia="宋体"/>
                      <w:sz w:val="21"/>
                    </w:rPr>
                    <w:t>光束发散角：</w:t>
                  </w:r>
                  <w:r>
                    <w:rPr>
                      <w:rFonts w:ascii="宋体" w:hAnsi="宋体" w:cs="宋体" w:eastAsia="宋体"/>
                      <w:sz w:val="21"/>
                    </w:rPr>
                    <w:t>≤0.5 mrad</w:t>
                  </w:r>
                </w:p>
                <w:p>
                  <w:pPr>
                    <w:pStyle w:val="null3"/>
                    <w:jc w:val="both"/>
                  </w:pPr>
                  <w:r>
                    <w:rPr>
                      <w:rFonts w:ascii="宋体" w:hAnsi="宋体" w:cs="宋体" w:eastAsia="宋体"/>
                      <w:sz w:val="21"/>
                    </w:rPr>
                    <w:t>1</w:t>
                  </w:r>
                  <w:r>
                    <w:rPr>
                      <w:rFonts w:ascii="宋体" w:hAnsi="宋体" w:cs="宋体" w:eastAsia="宋体"/>
                      <w:sz w:val="21"/>
                    </w:rPr>
                    <w:t>2</w:t>
                  </w:r>
                  <w:r>
                    <w:rPr>
                      <w:rFonts w:ascii="宋体" w:hAnsi="宋体" w:cs="宋体" w:eastAsia="宋体"/>
                      <w:sz w:val="21"/>
                    </w:rPr>
                    <w:t>.能够泵浦现有环形腔钛宝石激光器（美国光谱物理，Matisse DR/TR），电路控制和软件系统兼容，冷却水连接兼容，并使钛宝石激光器输出得到如下指标：</w:t>
                  </w:r>
                </w:p>
                <w:p>
                  <w:pPr>
                    <w:pStyle w:val="null3"/>
                    <w:jc w:val="both"/>
                  </w:pPr>
                  <w:r>
                    <w:rPr>
                      <w:rFonts w:ascii="宋体" w:hAnsi="宋体" w:cs="宋体" w:eastAsia="宋体"/>
                      <w:sz w:val="21"/>
                    </w:rPr>
                    <w:t>1</w:t>
                  </w:r>
                  <w:r>
                    <w:rPr>
                      <w:rFonts w:ascii="宋体" w:hAnsi="宋体" w:cs="宋体" w:eastAsia="宋体"/>
                      <w:sz w:val="21"/>
                    </w:rPr>
                    <w:t>2</w:t>
                  </w:r>
                  <w:r>
                    <w:rPr>
                      <w:rFonts w:ascii="宋体" w:hAnsi="宋体" w:cs="宋体" w:eastAsia="宋体"/>
                      <w:sz w:val="21"/>
                    </w:rPr>
                    <w:t>.1调谐范围：690-1030 nm</w:t>
                  </w:r>
                </w:p>
                <w:p>
                  <w:pPr>
                    <w:pStyle w:val="null3"/>
                    <w:jc w:val="both"/>
                  </w:pPr>
                  <w:r>
                    <w:rPr>
                      <w:rFonts w:ascii="宋体" w:hAnsi="宋体" w:cs="宋体" w:eastAsia="宋体"/>
                      <w:sz w:val="21"/>
                    </w:rPr>
                    <w:t>1</w:t>
                  </w:r>
                  <w:r>
                    <w:rPr>
                      <w:rFonts w:ascii="宋体" w:hAnsi="宋体" w:cs="宋体" w:eastAsia="宋体"/>
                      <w:sz w:val="21"/>
                    </w:rPr>
                    <w:t>2</w:t>
                  </w:r>
                  <w:r>
                    <w:rPr>
                      <w:rFonts w:ascii="宋体" w:hAnsi="宋体" w:cs="宋体" w:eastAsia="宋体"/>
                      <w:sz w:val="21"/>
                    </w:rPr>
                    <w:t>.2功率：≥4.5 W</w:t>
                  </w:r>
                </w:p>
                <w:p>
                  <w:pPr>
                    <w:pStyle w:val="null3"/>
                    <w:jc w:val="both"/>
                  </w:pPr>
                  <w:r>
                    <w:rPr>
                      <w:rFonts w:ascii="宋体" w:hAnsi="宋体" w:cs="宋体" w:eastAsia="宋体"/>
                      <w:sz w:val="21"/>
                    </w:rPr>
                    <w:t>1</w:t>
                  </w:r>
                  <w:r>
                    <w:rPr>
                      <w:rFonts w:ascii="宋体" w:hAnsi="宋体" w:cs="宋体" w:eastAsia="宋体"/>
                      <w:sz w:val="21"/>
                    </w:rPr>
                    <w:t>2</w:t>
                  </w:r>
                  <w:r>
                    <w:rPr>
                      <w:rFonts w:ascii="宋体" w:hAnsi="宋体" w:cs="宋体" w:eastAsia="宋体"/>
                      <w:sz w:val="21"/>
                    </w:rPr>
                    <w:t>.3线宽：≤5MHz</w:t>
                  </w:r>
                </w:p>
                <w:p>
                  <w:pPr>
                    <w:pStyle w:val="null3"/>
                    <w:jc w:val="both"/>
                  </w:pPr>
                  <w:r>
                    <w:rPr>
                      <w:rFonts w:ascii="宋体" w:hAnsi="宋体" w:cs="宋体" w:eastAsia="宋体"/>
                      <w:sz w:val="21"/>
                    </w:rPr>
                    <w:t>1</w:t>
                  </w:r>
                  <w:r>
                    <w:rPr>
                      <w:rFonts w:ascii="宋体" w:hAnsi="宋体" w:cs="宋体" w:eastAsia="宋体"/>
                      <w:sz w:val="21"/>
                    </w:rPr>
                    <w:t>2</w:t>
                  </w:r>
                  <w:r>
                    <w:rPr>
                      <w:rFonts w:ascii="宋体" w:hAnsi="宋体" w:cs="宋体" w:eastAsia="宋体"/>
                      <w:sz w:val="21"/>
                    </w:rPr>
                    <w:t xml:space="preserve">.4振幅噪声：≤0.1% </w:t>
                  </w:r>
                  <w:r>
                    <w:rPr>
                      <w:rFonts w:ascii="宋体" w:hAnsi="宋体" w:cs="宋体" w:eastAsia="宋体"/>
                      <w:sz w:val="21"/>
                    </w:rPr>
                    <w:t>rms</w:t>
                  </w:r>
                </w:p>
                <w:p>
                  <w:pPr>
                    <w:pStyle w:val="null3"/>
                  </w:pPr>
                  <w:r>
                    <w:rPr>
                      <w:rFonts w:ascii="宋体" w:hAnsi="宋体" w:cs="宋体" w:eastAsia="宋体"/>
                      <w:sz w:val="21"/>
                    </w:rPr>
                    <w:t>1</w:t>
                  </w:r>
                  <w:r>
                    <w:rPr>
                      <w:rFonts w:ascii="宋体" w:hAnsi="宋体" w:cs="宋体" w:eastAsia="宋体"/>
                      <w:sz w:val="21"/>
                    </w:rPr>
                    <w:t>2</w:t>
                  </w:r>
                  <w:r>
                    <w:rPr>
                      <w:rFonts w:ascii="宋体" w:hAnsi="宋体" w:cs="宋体" w:eastAsia="宋体"/>
                      <w:sz w:val="21"/>
                    </w:rPr>
                    <w:t>.5扫描范围：≥40 GHz</w:t>
                  </w:r>
                </w:p>
                <w:p>
                  <w:pPr>
                    <w:pStyle w:val="null3"/>
                  </w:pPr>
                  <w:r>
                    <w:rPr>
                      <w:rFonts w:ascii="宋体" w:hAnsi="宋体" w:cs="宋体" w:eastAsia="宋体"/>
                      <w:sz w:val="21"/>
                    </w:rPr>
                    <w:t>（注：</w:t>
                  </w:r>
                  <w:r>
                    <w:rPr>
                      <w:rFonts w:ascii="宋体" w:hAnsi="宋体" w:cs="宋体" w:eastAsia="宋体"/>
                      <w:sz w:val="21"/>
                    </w:rPr>
                    <w:t>★项为实质性要求，不得负偏离。）</w:t>
                  </w:r>
                </w:p>
              </w:tc>
            </w:tr>
          </w:tbl>
          <w:p/>
        </w:tc>
      </w:tr>
    </w:tbl>
    <w:p>
      <w:pPr>
        <w:pStyle w:val="null3"/>
        <w:outlineLvl w:val="2"/>
      </w:pPr>
      <w:r>
        <w:rPr>
          <w:sz w:val="28"/>
          <w:b/>
        </w:rPr>
        <w:t>3.4商务要求</w:t>
      </w:r>
    </w:p>
    <w:p>
      <w:pPr>
        <w:pStyle w:val="null3"/>
        <w:outlineLvl w:val="3"/>
      </w:pPr>
      <w:r>
        <w:rPr>
          <w:sz w:val="24"/>
          <w:b/>
        </w:rPr>
        <w:t>3.4.1交货时间</w:t>
      </w:r>
    </w:p>
    <w:p>
      <w:pPr>
        <w:pStyle w:val="null3"/>
      </w:pPr>
      <w:r>
        <w:rPr/>
        <w:t>采购包1：</w:t>
      </w:r>
    </w:p>
    <w:p>
      <w:pPr>
        <w:pStyle w:val="null3"/>
      </w:pPr>
      <w:r>
        <w:rPr/>
        <w:t>合同签订后6个月到货安装调试并交付使用。</w:t>
      </w:r>
    </w:p>
    <w:p>
      <w:pPr>
        <w:pStyle w:val="null3"/>
        <w:outlineLvl w:val="3"/>
      </w:pPr>
      <w:r>
        <w:rPr>
          <w:sz w:val="24"/>
          <w:b/>
        </w:rPr>
        <w:t>3.4.2交货地点和方式</w:t>
      </w:r>
    </w:p>
    <w:p>
      <w:pPr>
        <w:pStyle w:val="null3"/>
      </w:pPr>
      <w:r>
        <w:rPr/>
        <w:t>采购包1：</w:t>
      </w:r>
    </w:p>
    <w:p>
      <w:pPr>
        <w:pStyle w:val="null3"/>
      </w:pPr>
      <w:r>
        <w:rPr/>
        <w:t>西北大学长安校区物理大楼。</w:t>
      </w:r>
    </w:p>
    <w:p>
      <w:pPr>
        <w:pStyle w:val="null3"/>
        <w:outlineLvl w:val="3"/>
      </w:pPr>
      <w:r>
        <w:rPr>
          <w:sz w:val="24"/>
          <w:b/>
        </w:rPr>
        <w:t>3.4.3支付方式</w:t>
      </w:r>
    </w:p>
    <w:p>
      <w:pPr>
        <w:pStyle w:val="null3"/>
      </w:pPr>
      <w:r>
        <w:rPr/>
        <w:t>采购包1：</w:t>
      </w:r>
    </w:p>
    <w:p>
      <w:pPr>
        <w:pStyle w:val="null3"/>
      </w:pPr>
      <w:r>
        <w:rPr/>
        <w:t>一次付清</w:t>
      </w:r>
    </w:p>
    <w:p>
      <w:pPr>
        <w:pStyle w:val="null3"/>
        <w:outlineLvl w:val="3"/>
      </w:pPr>
      <w:r>
        <w:rPr>
          <w:sz w:val="24"/>
          <w:b/>
        </w:rPr>
        <w:t>3.4.4支付约定</w:t>
      </w:r>
    </w:p>
    <w:p>
      <w:pPr>
        <w:pStyle w:val="null3"/>
      </w:pPr>
      <w:r>
        <w:rPr/>
        <w:t>采购包1：</w:t>
      </w:r>
      <w:r>
        <w:rPr/>
        <w:t xml:space="preserve"> 付款条件说明： </w:t>
      </w:r>
      <w:r>
        <w:rPr/>
        <w:t xml:space="preserve">【进口设备】：合同生效后，由甲方通过进出口业务代理公司向乙方开出100%信用证，待货物到货、安装调试、并经学校组织验收合格后，由甲方通知进出口业务代理公司向乙方解付； 【国产设备】：合同生效后，中标供应商开具合同金额等额银行保函，采购人收到银行保函正本后预付合同货款，待货物到达指定地点、安装调试验收合格后，采购人退还银行保函正本 </w:t>
      </w:r>
      <w:r>
        <w:rPr/>
        <w:t xml:space="preserve"> ，达到付款条件起 </w:t>
      </w:r>
      <w:r>
        <w:rPr/>
        <w:t>30</w:t>
      </w:r>
      <w:r>
        <w:rPr/>
        <w:t xml:space="preserve"> 日内，支付合同总金额的 </w:t>
      </w:r>
      <w:r>
        <w:rPr/>
        <w:t>100.00</w:t>
      </w:r>
      <w:r>
        <w:rPr/>
        <w:t>%。</w:t>
      </w:r>
    </w:p>
    <w:p>
      <w:pPr>
        <w:pStyle w:val="null3"/>
        <w:outlineLvl w:val="3"/>
      </w:pPr>
      <w:r>
        <w:rPr>
          <w:sz w:val="24"/>
          <w:b/>
        </w:rPr>
        <w:t>3.4.5验收标准和方法</w:t>
      </w:r>
    </w:p>
    <w:p>
      <w:pPr>
        <w:pStyle w:val="null3"/>
      </w:pPr>
      <w:r>
        <w:rPr/>
        <w:t>采购包1：</w:t>
      </w:r>
    </w:p>
    <w:p>
      <w:pPr>
        <w:pStyle w:val="null3"/>
      </w:pPr>
      <w:r>
        <w:rPr/>
        <w:t>（1）验收分初次开箱验收和学校最终验收两个阶段，以最终验收为准； （2）货物到货后，甲、乙双方共同开箱验收。如属于检验检疫法检目录内货物，由甲乙双方会同海关共同开箱验收。在检查货物原产地、型号、规格、配置符合合同要求后，由乙方负责安装调试、甲方负责技术验收（乙方协助），验收以国内行业标准或合同文本货物供货配置清单中描述的有关技术要求为准； （3）在货物安装调试运行正常后，甲方（采购单位）按学校相关业务部门规定提交验收申请，学校根据采购单位技术验收结果，组织有关专家进行货物的最终验收。</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1、质保期：自学校验收合格后1年；2、即时响应（包括电话响应）；电话响应无法解决时，72小时内到达现场，修复时间 72小时内；如72 小时内无法修复，应提供相应解决方案。3、其他内容根据采购文件、响应文件及合同约定。</w:t>
      </w:r>
    </w:p>
    <w:p>
      <w:pPr>
        <w:pStyle w:val="null3"/>
        <w:outlineLvl w:val="3"/>
      </w:pPr>
      <w:r>
        <w:rPr>
          <w:sz w:val="24"/>
          <w:b/>
        </w:rPr>
        <w:t>3.4.8违约责任与解决争议的方法</w:t>
      </w:r>
    </w:p>
    <w:p>
      <w:pPr>
        <w:pStyle w:val="null3"/>
      </w:pPr>
      <w:r>
        <w:rPr/>
        <w:t>采购包1：</w:t>
      </w:r>
    </w:p>
    <w:p>
      <w:pPr>
        <w:pStyle w:val="null3"/>
      </w:pPr>
      <w:r>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2"/>
      </w:pPr>
      <w:r>
        <w:rPr>
          <w:sz w:val="28"/>
          <w:b/>
        </w:rPr>
        <w:t>3.5其他要求</w:t>
      </w:r>
    </w:p>
    <w:p>
      <w:pPr>
        <w:pStyle w:val="null3"/>
      </w:pPr>
      <w:r>
        <w:rPr/>
        <w:t>响应报价包括但不限于以下费用：货物价值、安装调试费、国内外运杂费（含保险）、仓储保管费、技术培训费、检测费、施工费、人工费、进口业务相关费用（按合同金额的0.77%收取。包括外贸代理公司进口业务代理费、国内外银行手续费、报关费、商检费等）及进口货物按国家政策征收的一切税费（按国家政策规定甲方可以享受的免税部分除外）等。</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资格证明文件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资格证明文件</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单位负责人为同一人或者存在直接控股、管理关系的不同供应商不得参加同一合同项下的政府采购活动；供应商需在项目电子化交易系统中按要求填写《响应函》完成承诺并进行电子签章。</w:t>
            </w:r>
          </w:p>
        </w:tc>
        <w:tc>
          <w:tcPr>
            <w:tcW w:type="dxa" w:w="1661"/>
          </w:tcPr>
          <w:p>
            <w:pPr>
              <w:pStyle w:val="null3"/>
            </w:pPr>
            <w:r>
              <w:rPr/>
              <w:t>资格证明文件 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落实政府采购政策资格审查</w:t>
            </w:r>
          </w:p>
        </w:tc>
        <w:tc>
          <w:tcPr>
            <w:tcW w:type="dxa" w:w="3322"/>
          </w:tcPr>
          <w:p>
            <w:pPr>
              <w:pStyle w:val="null3"/>
            </w:pPr>
            <w:r>
              <w:rPr/>
              <w:t>（1）、《政府采购促进中小企业发展管理办法》的通知--财库[2020]46号、《关于进一步加大政府采购支持中小企业力度的通知》（财库【2022】19号）、《财政部司法部关于政府采购支持监狱企业发展有关问题的通知》（财库〔2014〕68号）、《财政部民政部中国残疾人联合会关于促进残疾人就业政府采购政策的通知》（财库〔2017〕141号）； （2）、《陕西省财政厅关于加快推进我省中小企业政府采购信用融资工作的通知》（陕财办采〔2020〕15号）、陕西省财政厅关于印发《陕西省中小企业政府采购信用融资办法》(陕财办采[2018]23号)； （3）、《国务院办公厅关于建立政府强制采购节能产品制度的通知》（国办发〔2007〕51号）、《财政部发展改革委生态环境部市场监督总局关于调整优化节能产品、环境标志产品政府采购执行机制的通知》（财库[2019]9号）、《关于印发环境标志产品政府采购品目清单的通知》（财库〔2019〕18号）、《关于印发节能产品政府采购品目清单的通知》（财库〔2019〕19号）、《市场监督总局关于发布参与实施政府采购节能产品、环境标志产品认证机构名录的公告》（2019年第16号）； （4）、《陕西省财政厅关于进一步加大政府采购支持中小企业力度的通知》（陕财办采〔2022〕5号）、《陕西省财政厅关于落实政府采购支持中小企业政策有关事项的通知》（陕财办采函〔2022〕10号） （5）、《财政部 农业农村部 国家乡村振兴局关于运用政府采购政策支持乡村产业振兴的通知》（财库〔2021〕19 号）、《财政部农业农村部国家乡村振兴局 中华全国供销合作总社关于印发&lt;关于深入开展政府采购脱贫地区农副产品工作推进乡村产业振兴的实施意见&gt;的通知》（财库〔2021〕20 号）、《财政部国务院扶贫办关于运用政府采购政策支持脱贫攻坚的通知》（财库〔2019〕27号）； （6）《关于进一步加强政府绿色采购有关问题的通知》（陕财办采〔2021〕29号）； （7）如有最新颁布的政府采购政策，按最新的文件执行。</w:t>
            </w:r>
          </w:p>
        </w:tc>
        <w:tc>
          <w:tcPr>
            <w:tcW w:type="dxa" w:w="1661"/>
          </w:tcPr>
          <w:p>
            <w:pPr>
              <w:pStyle w:val="null3"/>
            </w:pPr>
            <w:r>
              <w:rPr/>
              <w:t>中小企业声明函 残疾人福利性单位声明函 监狱企业的证明文件</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营业执照</w:t>
            </w:r>
          </w:p>
        </w:tc>
        <w:tc>
          <w:tcPr>
            <w:tcW w:type="dxa" w:w="3322"/>
          </w:tcPr>
          <w:p>
            <w:pPr>
              <w:pStyle w:val="null3"/>
            </w:pPr>
            <w:r>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t>资格证明文件</w:t>
            </w:r>
          </w:p>
        </w:tc>
      </w:tr>
      <w:tr>
        <w:tc>
          <w:tcPr>
            <w:tcW w:type="dxa" w:w="831"/>
          </w:tcPr>
          <w:p>
            <w:pPr>
              <w:pStyle w:val="null3"/>
            </w:pPr>
            <w:r>
              <w:rPr/>
              <w:t>2</w:t>
            </w:r>
          </w:p>
        </w:tc>
        <w:tc>
          <w:tcPr>
            <w:tcW w:type="dxa" w:w="2492"/>
          </w:tcPr>
          <w:p>
            <w:pPr>
              <w:pStyle w:val="null3"/>
            </w:pPr>
            <w:r>
              <w:rPr/>
              <w:t>财务状况报告</w:t>
            </w:r>
          </w:p>
        </w:tc>
        <w:tc>
          <w:tcPr>
            <w:tcW w:type="dxa" w:w="3322"/>
          </w:tcPr>
          <w:p>
            <w:pPr>
              <w:pStyle w:val="null3"/>
            </w:pPr>
            <w:r>
              <w:rPr/>
              <w:t>提供具有财务审计资质单位出具的2022年度或2023年度财务报告（成立时间至开标时间不足一年的可提供成立后任意时段的资产负债表）或开标前六个月内其基本账户银行出具的资信证明（附开户许可证或基本账户证明）或政府采购信用担保机构出具的投标担保函；</w:t>
            </w:r>
          </w:p>
        </w:tc>
        <w:tc>
          <w:tcPr>
            <w:tcW w:type="dxa" w:w="1661"/>
          </w:tcPr>
          <w:p>
            <w:pPr>
              <w:pStyle w:val="null3"/>
            </w:pPr>
            <w:r>
              <w:rPr/>
              <w:t>资格证明文件</w:t>
            </w:r>
          </w:p>
        </w:tc>
      </w:tr>
      <w:tr>
        <w:tc>
          <w:tcPr>
            <w:tcW w:type="dxa" w:w="831"/>
          </w:tcPr>
          <w:p>
            <w:pPr>
              <w:pStyle w:val="null3"/>
            </w:pPr>
            <w:r>
              <w:rPr/>
              <w:t>3</w:t>
            </w:r>
          </w:p>
        </w:tc>
        <w:tc>
          <w:tcPr>
            <w:tcW w:type="dxa" w:w="2492"/>
          </w:tcPr>
          <w:p>
            <w:pPr>
              <w:pStyle w:val="null3"/>
            </w:pPr>
            <w:r>
              <w:rPr/>
              <w:t>税收缴纳证明</w:t>
            </w:r>
          </w:p>
        </w:tc>
        <w:tc>
          <w:tcPr>
            <w:tcW w:type="dxa" w:w="3322"/>
          </w:tcPr>
          <w:p>
            <w:pPr>
              <w:pStyle w:val="null3"/>
            </w:pPr>
            <w:r>
              <w:rPr/>
              <w:t>提供2024年1月1日至今任意一个月已缴纳的纳税证明或完税证明（时间以税款所属日期为准）；（依法免税的供应商应提供相关文件证明）</w:t>
            </w:r>
          </w:p>
        </w:tc>
        <w:tc>
          <w:tcPr>
            <w:tcW w:type="dxa" w:w="1661"/>
          </w:tcPr>
          <w:p>
            <w:pPr>
              <w:pStyle w:val="null3"/>
            </w:pPr>
            <w:r>
              <w:rPr/>
              <w:t>资格证明文件</w:t>
            </w:r>
          </w:p>
        </w:tc>
      </w:tr>
      <w:tr>
        <w:tc>
          <w:tcPr>
            <w:tcW w:type="dxa" w:w="831"/>
          </w:tcPr>
          <w:p>
            <w:pPr>
              <w:pStyle w:val="null3"/>
            </w:pPr>
            <w:r>
              <w:rPr/>
              <w:t>4</w:t>
            </w:r>
          </w:p>
        </w:tc>
        <w:tc>
          <w:tcPr>
            <w:tcW w:type="dxa" w:w="2492"/>
          </w:tcPr>
          <w:p>
            <w:pPr>
              <w:pStyle w:val="null3"/>
            </w:pPr>
            <w:r>
              <w:rPr/>
              <w:t>社会保障资金缴纳证明</w:t>
            </w:r>
          </w:p>
        </w:tc>
        <w:tc>
          <w:tcPr>
            <w:tcW w:type="dxa" w:w="3322"/>
          </w:tcPr>
          <w:p>
            <w:pPr>
              <w:pStyle w:val="null3"/>
            </w:pPr>
            <w:r>
              <w:rPr/>
              <w:t>提供2024年1月1日至今任意一个月的社保缴费凭据或社保机构开具的社会保险参保缴费情况证明；（依法不需要缴纳社会保障资金的供应商应提供相关证明）</w:t>
            </w:r>
          </w:p>
        </w:tc>
        <w:tc>
          <w:tcPr>
            <w:tcW w:type="dxa" w:w="1661"/>
          </w:tcPr>
          <w:p>
            <w:pPr>
              <w:pStyle w:val="null3"/>
            </w:pPr>
            <w:r>
              <w:rPr/>
              <w:t>资格证明文件</w:t>
            </w:r>
          </w:p>
        </w:tc>
      </w:tr>
      <w:tr>
        <w:tc>
          <w:tcPr>
            <w:tcW w:type="dxa" w:w="831"/>
          </w:tcPr>
          <w:p>
            <w:pPr>
              <w:pStyle w:val="null3"/>
            </w:pPr>
            <w:r>
              <w:rPr/>
              <w:t>5</w:t>
            </w:r>
          </w:p>
        </w:tc>
        <w:tc>
          <w:tcPr>
            <w:tcW w:type="dxa" w:w="2492"/>
          </w:tcPr>
          <w:p>
            <w:pPr>
              <w:pStyle w:val="null3"/>
            </w:pPr>
            <w:r>
              <w:rPr/>
              <w:t>具有履行本合同所必需的设备和专业技术能力的说明及承诺</w:t>
            </w:r>
          </w:p>
        </w:tc>
        <w:tc>
          <w:tcPr>
            <w:tcW w:type="dxa" w:w="3322"/>
          </w:tcPr>
          <w:p>
            <w:pPr>
              <w:pStyle w:val="null3"/>
            </w:pPr>
            <w:r>
              <w:rPr/>
              <w:t>提供具有履行本合同所必需的设备和专业技术能力的说明及承诺；（格式自拟，加盖供应商公章）</w:t>
            </w:r>
          </w:p>
        </w:tc>
        <w:tc>
          <w:tcPr>
            <w:tcW w:type="dxa" w:w="1661"/>
          </w:tcPr>
          <w:p>
            <w:pPr>
              <w:pStyle w:val="null3"/>
            </w:pPr>
            <w:r>
              <w:rPr/>
              <w:t>资格证明文件</w:t>
            </w:r>
          </w:p>
        </w:tc>
      </w:tr>
      <w:tr>
        <w:tc>
          <w:tcPr>
            <w:tcW w:type="dxa" w:w="831"/>
          </w:tcPr>
          <w:p>
            <w:pPr>
              <w:pStyle w:val="null3"/>
            </w:pPr>
            <w:r>
              <w:rPr/>
              <w:t>6</w:t>
            </w:r>
          </w:p>
        </w:tc>
        <w:tc>
          <w:tcPr>
            <w:tcW w:type="dxa" w:w="2492"/>
          </w:tcPr>
          <w:p>
            <w:pPr>
              <w:pStyle w:val="null3"/>
            </w:pPr>
            <w:r>
              <w:rPr/>
              <w:t>参加政府采购活动前三年内在经营活动中没有重大违法记录的书面声明</w:t>
            </w:r>
          </w:p>
        </w:tc>
        <w:tc>
          <w:tcPr>
            <w:tcW w:type="dxa" w:w="3322"/>
          </w:tcPr>
          <w:p>
            <w:pPr>
              <w:pStyle w:val="null3"/>
            </w:pPr>
            <w:r>
              <w:rPr/>
              <w:t>提供参加政府采购活动前三年内在经营活动中没有重大违法记录的书面声明。（格式自拟，加盖供应商公章）</w:t>
            </w:r>
          </w:p>
        </w:tc>
        <w:tc>
          <w:tcPr>
            <w:tcW w:type="dxa" w:w="1661"/>
          </w:tcPr>
          <w:p>
            <w:pPr>
              <w:pStyle w:val="null3"/>
            </w:pPr>
            <w:r>
              <w:rPr/>
              <w:t>资格证明文件</w:t>
            </w:r>
          </w:p>
        </w:tc>
      </w:tr>
      <w:tr>
        <w:tc>
          <w:tcPr>
            <w:tcW w:type="dxa" w:w="831"/>
          </w:tcPr>
          <w:p>
            <w:pPr>
              <w:pStyle w:val="null3"/>
            </w:pPr>
            <w:r>
              <w:rPr/>
              <w:t>7</w:t>
            </w:r>
          </w:p>
        </w:tc>
        <w:tc>
          <w:tcPr>
            <w:tcW w:type="dxa" w:w="2492"/>
          </w:tcPr>
          <w:p>
            <w:pPr>
              <w:pStyle w:val="null3"/>
            </w:pPr>
            <w:r>
              <w:rPr/>
              <w:t>法定代表人或负责人资格证明书</w:t>
            </w:r>
          </w:p>
        </w:tc>
        <w:tc>
          <w:tcPr>
            <w:tcW w:type="dxa" w:w="3322"/>
          </w:tcPr>
          <w:p>
            <w:pPr>
              <w:pStyle w:val="null3"/>
            </w:pPr>
            <w:r>
              <w:rPr/>
              <w:t>法定代表人或负责人参与投标时需提供法定代表人或负责人资格证明书（附法定代表人或负责人身份证复印件）；</w:t>
            </w:r>
          </w:p>
        </w:tc>
        <w:tc>
          <w:tcPr>
            <w:tcW w:type="dxa" w:w="1661"/>
          </w:tcPr>
          <w:p>
            <w:pPr>
              <w:pStyle w:val="null3"/>
            </w:pPr>
            <w:r>
              <w:rPr/>
              <w:t>资格证明文件</w:t>
            </w:r>
          </w:p>
        </w:tc>
      </w:tr>
      <w:tr>
        <w:tc>
          <w:tcPr>
            <w:tcW w:type="dxa" w:w="831"/>
          </w:tcPr>
          <w:p>
            <w:pPr>
              <w:pStyle w:val="null3"/>
            </w:pPr>
            <w:r>
              <w:rPr/>
              <w:t>8</w:t>
            </w:r>
          </w:p>
        </w:tc>
        <w:tc>
          <w:tcPr>
            <w:tcW w:type="dxa" w:w="2492"/>
          </w:tcPr>
          <w:p>
            <w:pPr>
              <w:pStyle w:val="null3"/>
            </w:pPr>
            <w:r>
              <w:rPr/>
              <w:t>法定代表人或负责人授权委托书</w:t>
            </w:r>
          </w:p>
        </w:tc>
        <w:tc>
          <w:tcPr>
            <w:tcW w:type="dxa" w:w="3322"/>
          </w:tcPr>
          <w:p>
            <w:pPr>
              <w:pStyle w:val="null3"/>
            </w:pPr>
            <w:r>
              <w:rPr/>
              <w:t>被授权人参与投标时需提供法定代表人或负责人授权委托书（附法定代表人或负责人及被授权人身份证复印件）；</w:t>
            </w:r>
          </w:p>
        </w:tc>
        <w:tc>
          <w:tcPr>
            <w:tcW w:type="dxa" w:w="1661"/>
          </w:tcPr>
          <w:p>
            <w:pPr>
              <w:pStyle w:val="null3"/>
            </w:pPr>
            <w:r>
              <w:rPr/>
              <w:t>资格证明文件</w:t>
            </w:r>
          </w:p>
        </w:tc>
      </w:tr>
      <w:tr>
        <w:tc>
          <w:tcPr>
            <w:tcW w:type="dxa" w:w="831"/>
          </w:tcPr>
          <w:p>
            <w:pPr>
              <w:pStyle w:val="null3"/>
            </w:pPr>
            <w:r>
              <w:rPr/>
              <w:t>9</w:t>
            </w:r>
          </w:p>
        </w:tc>
        <w:tc>
          <w:tcPr>
            <w:tcW w:type="dxa" w:w="2492"/>
          </w:tcPr>
          <w:p>
            <w:pPr>
              <w:pStyle w:val="null3"/>
            </w:pPr>
            <w:r>
              <w:rPr/>
              <w:t>磋商保证金交纳凭证或担保函</w:t>
            </w:r>
          </w:p>
        </w:tc>
        <w:tc>
          <w:tcPr>
            <w:tcW w:type="dxa" w:w="3322"/>
          </w:tcPr>
          <w:p>
            <w:pPr>
              <w:pStyle w:val="null3"/>
            </w:pPr>
            <w:r>
              <w:rPr/>
              <w:t>磋商保证金交纳凭证或担保函；（保证金交纳凭证复印件或担保函复印件加盖公章）</w:t>
            </w:r>
          </w:p>
        </w:tc>
        <w:tc>
          <w:tcPr>
            <w:tcW w:type="dxa" w:w="1661"/>
          </w:tcPr>
          <w:p>
            <w:pPr>
              <w:pStyle w:val="null3"/>
            </w:pPr>
            <w:r>
              <w:rPr/>
              <w:t>资格证明文件</w:t>
            </w:r>
          </w:p>
        </w:tc>
      </w:tr>
      <w:tr>
        <w:tc>
          <w:tcPr>
            <w:tcW w:type="dxa" w:w="831"/>
          </w:tcPr>
          <w:p>
            <w:pPr>
              <w:pStyle w:val="null3"/>
            </w:pPr>
            <w:r>
              <w:rPr/>
              <w:t>10</w:t>
            </w:r>
          </w:p>
        </w:tc>
        <w:tc>
          <w:tcPr>
            <w:tcW w:type="dxa" w:w="2492"/>
          </w:tcPr>
          <w:p>
            <w:pPr>
              <w:pStyle w:val="null3"/>
            </w:pPr>
            <w:r>
              <w:rPr/>
              <w:t>信用查询</w:t>
            </w:r>
          </w:p>
        </w:tc>
        <w:tc>
          <w:tcPr>
            <w:tcW w:type="dxa" w:w="3322"/>
          </w:tcPr>
          <w:p>
            <w:pPr>
              <w:pStyle w:val="null3"/>
            </w:pPr>
            <w:r>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书面承诺函，格式自拟加盖供应商公章）</w:t>
            </w:r>
          </w:p>
        </w:tc>
        <w:tc>
          <w:tcPr>
            <w:tcW w:type="dxa" w:w="1661"/>
          </w:tcPr>
          <w:p>
            <w:pPr>
              <w:pStyle w:val="null3"/>
            </w:pPr>
            <w:r>
              <w:rPr/>
              <w:t>资格证明文件</w:t>
            </w:r>
          </w:p>
        </w:tc>
      </w:tr>
      <w:tr>
        <w:tc>
          <w:tcPr>
            <w:tcW w:type="dxa" w:w="831"/>
          </w:tcPr>
          <w:p>
            <w:pPr>
              <w:pStyle w:val="null3"/>
            </w:pPr>
            <w:r>
              <w:rPr/>
              <w:t>11</w:t>
            </w:r>
          </w:p>
        </w:tc>
        <w:tc>
          <w:tcPr>
            <w:tcW w:type="dxa" w:w="2492"/>
          </w:tcPr>
          <w:p>
            <w:pPr>
              <w:pStyle w:val="null3"/>
            </w:pPr>
            <w:r>
              <w:rPr/>
              <w:t>单位负责人为同一人或者存在直接控股、管理关系的不同供应商，不得参加同一合同项下的政府采购活动</w:t>
            </w:r>
          </w:p>
        </w:tc>
        <w:tc>
          <w:tcPr>
            <w:tcW w:type="dxa" w:w="3322"/>
          </w:tcPr>
          <w:p>
            <w:pPr>
              <w:pStyle w:val="null3"/>
            </w:pPr>
            <w:r>
              <w:rPr/>
              <w:t>单位负责人为同一人或者存在直接控股、管理关系的不同供应商，不得参加同一合同项下的政府采购活动；（提供书面承诺函，格式自拟加盖供应商公章）</w:t>
            </w:r>
          </w:p>
        </w:tc>
        <w:tc>
          <w:tcPr>
            <w:tcW w:type="dxa" w:w="1661"/>
          </w:tcPr>
          <w:p>
            <w:pPr>
              <w:pStyle w:val="null3"/>
            </w:pPr>
            <w:r>
              <w:rPr/>
              <w:t>资格证明文件</w:t>
            </w:r>
          </w:p>
        </w:tc>
      </w:tr>
      <w:tr>
        <w:tc>
          <w:tcPr>
            <w:tcW w:type="dxa" w:w="831"/>
          </w:tcPr>
          <w:p>
            <w:pPr>
              <w:pStyle w:val="null3"/>
            </w:pPr>
            <w:r>
              <w:rPr/>
              <w:t>12</w:t>
            </w:r>
          </w:p>
        </w:tc>
        <w:tc>
          <w:tcPr>
            <w:tcW w:type="dxa" w:w="2492"/>
          </w:tcPr>
          <w:p>
            <w:pPr>
              <w:pStyle w:val="null3"/>
            </w:pPr>
            <w:r>
              <w:rPr/>
              <w:t>本项目不接受联合体磋商</w:t>
            </w:r>
          </w:p>
        </w:tc>
        <w:tc>
          <w:tcPr>
            <w:tcW w:type="dxa" w:w="3322"/>
          </w:tcPr>
          <w:p>
            <w:pPr>
              <w:pStyle w:val="null3"/>
            </w:pPr>
            <w:r>
              <w:rPr/>
              <w:t>本项目不接受联合体磋商。（提供书面承诺函，格式自拟加盖供应商公章）</w:t>
            </w:r>
          </w:p>
        </w:tc>
        <w:tc>
          <w:tcPr>
            <w:tcW w:type="dxa" w:w="1661"/>
          </w:tcPr>
          <w:p>
            <w:pPr>
              <w:pStyle w:val="null3"/>
            </w:pPr>
            <w:r>
              <w:rPr/>
              <w:t>资格证明文件</w:t>
            </w:r>
          </w:p>
        </w:tc>
      </w:tr>
      <w:tr>
        <w:tc>
          <w:tcPr>
            <w:tcW w:type="dxa" w:w="831"/>
          </w:tcPr>
          <w:p>
            <w:pPr>
              <w:pStyle w:val="null3"/>
            </w:pPr>
            <w:r>
              <w:rPr/>
              <w:t>13</w:t>
            </w:r>
          </w:p>
        </w:tc>
        <w:tc>
          <w:tcPr>
            <w:tcW w:type="dxa" w:w="2492"/>
          </w:tcPr>
          <w:p>
            <w:pPr>
              <w:pStyle w:val="null3"/>
            </w:pPr>
            <w:r>
              <w:rPr/>
              <w:t>进口产品授权书</w:t>
            </w:r>
          </w:p>
        </w:tc>
        <w:tc>
          <w:tcPr>
            <w:tcW w:type="dxa" w:w="3322"/>
          </w:tcPr>
          <w:p>
            <w:pPr>
              <w:pStyle w:val="null3"/>
            </w:pPr>
            <w:r>
              <w:rPr/>
              <w:t>若所响应产品为进口产品的，供应商须提供产品厂家授权书或总代理商授权书或具有授权权限的供应商对所响应进口产品的授权书。（如提供总代理商授权的须同时提供具有有效授权权限的相关证明文件，证明文件需能显示产品制造厂家对所响应产品授权链条的完整性）</w:t>
            </w:r>
          </w:p>
        </w:tc>
        <w:tc>
          <w:tcPr>
            <w:tcW w:type="dxa" w:w="1661"/>
          </w:tcPr>
          <w:p>
            <w:pPr>
              <w:pStyle w:val="null3"/>
            </w:pPr>
            <w:r>
              <w:rPr/>
              <w:t>资格证明文件</w:t>
            </w:r>
          </w:p>
        </w:tc>
      </w:tr>
    </w:tbl>
    <w:p>
      <w:pPr>
        <w:pStyle w:val="null3"/>
      </w:pPr>
      <w:r>
        <w:rPr/>
        <w:t xml:space="preserve"> </w:t>
        <w:br/>
        <w:br w:type="page"/>
      </w:r>
    </w:p>
    <w:p>
      <w:pPr>
        <w:pStyle w:val="null3"/>
        <w:jc w:val="center"/>
        <w:outlineLvl w:val="1"/>
      </w:pPr>
      <w:r>
        <w:rPr>
          <w:sz w:val="36"/>
          <w:b/>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br/>
        <w:br w:type="page"/>
      </w:r>
    </w:p>
    <w:p>
      <w:pPr>
        <w:pStyle w:val="null3"/>
        <w:jc w:val="center"/>
        <w:outlineLvl w:val="1"/>
      </w:pPr>
      <w:r>
        <w:rPr>
          <w:sz w:val="36"/>
          <w:b/>
        </w:rPr>
        <w:t>第六章 磋商办法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 xml:space="preserve"> 二、评审工作由代理机构组织，具体评审事务由依法组建的磋商小组负责。</w:t>
      </w:r>
    </w:p>
    <w:p>
      <w:pPr>
        <w:pStyle w:val="null3"/>
        <w:ind w:firstLine="480"/>
      </w:pPr>
      <w:r>
        <w:rPr/>
        <w:t xml:space="preserve"> 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 xml:space="preserve"> 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（三）根据需要要求供应商对响应文件中含义不明确、同类问题表述不一致或者有明显文字和计算错误的内容等作出必要的澄清、说明或者更正；</w:t>
      </w:r>
    </w:p>
    <w:p>
      <w:pPr>
        <w:pStyle w:val="null3"/>
        <w:ind w:firstLine="480"/>
      </w:pPr>
      <w:r>
        <w:rPr/>
        <w:t>（四）推荐成交候选供应商，或者受采购人委托确定成交供应商；</w:t>
      </w:r>
    </w:p>
    <w:p>
      <w:pPr>
        <w:pStyle w:val="null3"/>
        <w:ind w:firstLine="480"/>
      </w:pPr>
      <w:r>
        <w:rPr/>
        <w:t>（五）起草评审报告并进行签署；</w:t>
      </w:r>
    </w:p>
    <w:p>
      <w:pPr>
        <w:pStyle w:val="null3"/>
        <w:ind w:firstLine="480"/>
      </w:pPr>
      <w:r>
        <w:rPr/>
        <w:t xml:space="preserve"> （六）向采购人、代理机构、财政部门或者其他监督部门报告非法干预评审工作的行为；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6.3.1审查磋商文件和停止评审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（一）磋商文件的规定存在歧义、重大缺陷，导致评审无法进行的；</w:t>
      </w:r>
    </w:p>
    <w:p>
      <w:pPr>
        <w:pStyle w:val="null3"/>
        <w:ind w:firstLine="480"/>
      </w:pPr>
      <w:r>
        <w:rPr/>
        <w:t xml:space="preserve"> （二）磋商文件明显以不合理条件对供应商实行差别待遇或者歧视待遇的；</w:t>
      </w:r>
    </w:p>
    <w:p>
      <w:pPr>
        <w:pStyle w:val="null3"/>
        <w:ind w:firstLine="480"/>
      </w:pPr>
      <w:r>
        <w:rPr/>
        <w:t xml:space="preserve"> （三）采购项目属于国家规定的优先、强制采购范围，但是磋商文件未依法体现优先、强制采购相关规定的；</w:t>
      </w:r>
    </w:p>
    <w:p>
      <w:pPr>
        <w:pStyle w:val="null3"/>
        <w:ind w:firstLine="480"/>
      </w:pPr>
      <w:r>
        <w:rPr/>
        <w:t xml:space="preserve"> （四）采购项目属于政府采购促进中小企业发展的范围，但是磋商文件未依法体现促进中小企业发展相关规定的；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sz w:val="24"/>
          <w:b/>
        </w:rPr>
        <w:t>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磋商响应文件按磋商文件要求的数量、计量单位、报价货币及签字盖章</w:t>
            </w:r>
          </w:p>
        </w:tc>
        <w:tc>
          <w:tcPr>
            <w:tcW w:type="dxa" w:w="3322"/>
          </w:tcPr>
          <w:p>
            <w:pPr>
              <w:pStyle w:val="null3"/>
            </w:pPr>
            <w:r>
              <w:rPr/>
              <w:t>磋商响应文件按磋商文件要求的数量、计量单位、报价货币及签字盖章</w:t>
            </w:r>
          </w:p>
        </w:tc>
        <w:tc>
          <w:tcPr>
            <w:tcW w:type="dxa" w:w="1661"/>
          </w:tcPr>
          <w:p>
            <w:pPr>
              <w:pStyle w:val="null3"/>
            </w:pPr>
            <w:r>
              <w:rPr/>
              <w:t>分项报价表 标的清单 报价表 封面 供应商承诺书 响应函</w:t>
            </w:r>
          </w:p>
        </w:tc>
      </w:tr>
      <w:tr>
        <w:tc>
          <w:tcPr>
            <w:tcW w:type="dxa" w:w="831"/>
          </w:tcPr>
          <w:p>
            <w:pPr>
              <w:pStyle w:val="null3"/>
            </w:pPr>
            <w:r>
              <w:rPr/>
              <w:t>2</w:t>
            </w:r>
          </w:p>
        </w:tc>
        <w:tc>
          <w:tcPr>
            <w:tcW w:type="dxa" w:w="2492"/>
          </w:tcPr>
          <w:p>
            <w:pPr>
              <w:pStyle w:val="null3"/>
            </w:pPr>
            <w:r>
              <w:rPr/>
              <w:t>不正当竞争预防措施（实质性要求）</w:t>
            </w:r>
          </w:p>
        </w:tc>
        <w:tc>
          <w:tcPr>
            <w:tcW w:type="dxa" w:w="3322"/>
          </w:tcPr>
          <w:p>
            <w:pPr>
              <w:pStyle w:val="null3"/>
            </w:pPr>
            <w:r>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分项报价表 标的清单 报价表 响应函</w:t>
            </w:r>
          </w:p>
        </w:tc>
      </w:tr>
      <w:tr>
        <w:tc>
          <w:tcPr>
            <w:tcW w:type="dxa" w:w="831"/>
          </w:tcPr>
          <w:p>
            <w:pPr>
              <w:pStyle w:val="null3"/>
            </w:pPr>
            <w:r>
              <w:rPr/>
              <w:t>3</w:t>
            </w:r>
          </w:p>
        </w:tc>
        <w:tc>
          <w:tcPr>
            <w:tcW w:type="dxa" w:w="2492"/>
          </w:tcPr>
          <w:p>
            <w:pPr>
              <w:pStyle w:val="null3"/>
            </w:pPr>
            <w:r>
              <w:rPr/>
              <w:t>有效期</w:t>
            </w:r>
          </w:p>
        </w:tc>
        <w:tc>
          <w:tcPr>
            <w:tcW w:type="dxa" w:w="3322"/>
          </w:tcPr>
          <w:p>
            <w:pPr>
              <w:pStyle w:val="null3"/>
            </w:pPr>
            <w:r>
              <w:rPr/>
              <w:t>磋商响应文件的有效期达到磋商文件要求</w:t>
            </w:r>
          </w:p>
        </w:tc>
        <w:tc>
          <w:tcPr>
            <w:tcW w:type="dxa" w:w="1661"/>
          </w:tcPr>
          <w:p>
            <w:pPr>
              <w:pStyle w:val="null3"/>
            </w:pPr>
            <w:r>
              <w:rPr/>
              <w:t>分项报价表 响应函</w:t>
            </w:r>
          </w:p>
        </w:tc>
      </w:tr>
      <w:tr>
        <w:tc>
          <w:tcPr>
            <w:tcW w:type="dxa" w:w="831"/>
          </w:tcPr>
          <w:p>
            <w:pPr>
              <w:pStyle w:val="null3"/>
            </w:pPr>
            <w:r>
              <w:rPr/>
              <w:t>4</w:t>
            </w:r>
          </w:p>
        </w:tc>
        <w:tc>
          <w:tcPr>
            <w:tcW w:type="dxa" w:w="2492"/>
          </w:tcPr>
          <w:p>
            <w:pPr>
              <w:pStyle w:val="null3"/>
            </w:pPr>
            <w:r>
              <w:rPr/>
              <w:t>其他实质性要求</w:t>
            </w:r>
          </w:p>
        </w:tc>
        <w:tc>
          <w:tcPr>
            <w:tcW w:type="dxa" w:w="3322"/>
          </w:tcPr>
          <w:p>
            <w:pPr>
              <w:pStyle w:val="null3"/>
            </w:pPr>
            <w:r>
              <w:rPr/>
              <w:t>符合法律、法规和磋商文件中规定的其他实质性要求</w:t>
            </w:r>
          </w:p>
        </w:tc>
        <w:tc>
          <w:tcPr>
            <w:tcW w:type="dxa" w:w="1661"/>
          </w:tcPr>
          <w:p>
            <w:pPr>
              <w:pStyle w:val="null3"/>
            </w:pPr>
            <w:r>
              <w:rPr/>
              <w:t>供应商认为需要提供的其他资料 技术规格响应偏离表 商务条款响应偏离表</w:t>
            </w:r>
          </w:p>
        </w:tc>
      </w:tr>
    </w:tbl>
    <w:p>
      <w:pPr>
        <w:pStyle w:val="null3"/>
        <w:outlineLvl w:val="3"/>
      </w:pPr>
      <w:r>
        <w:rPr>
          <w:sz w:val="24"/>
          <w:b/>
        </w:rPr>
        <w:t>6.3.3磋商</w:t>
      </w:r>
    </w:p>
    <w:p>
      <w:pPr>
        <w:pStyle w:val="null3"/>
        <w:ind w:firstLine="480"/>
      </w:pPr>
      <w:r>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 xml:space="preserve"> 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 xml:space="preserve"> 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二、磋商小组开启报价后，供应商应随时关注项目电子化交易系统信息或短信提醒，登录项目电子化交易系统，通过“等候大厅”进行报价并签章后提交。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pPr>
      <w:r>
        <w:rPr/>
        <w:t xml:space="preserve"> 五、供应商未在响应文件提交截止时间内提交报价或未按要求进行报价的，视为无效响应，由供应商自行承担不利后果。</w:t>
      </w:r>
    </w:p>
    <w:p>
      <w:pPr>
        <w:pStyle w:val="null3"/>
        <w:ind w:firstLine="480"/>
      </w:pPr>
      <w:r>
        <w:rPr/>
        <w:t xml:space="preserve"> 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 xml:space="preserve"> （二）单价金额小数点或者百分比有明显错位的，应以总价为准，并修改单价；</w:t>
      </w:r>
    </w:p>
    <w:p>
      <w:pPr>
        <w:pStyle w:val="null3"/>
        <w:ind w:firstLine="480"/>
      </w:pPr>
      <w:r>
        <w:rPr/>
        <w:t xml:space="preserve"> （三）总价金额与按单价汇总金额不一致的，以单价汇总金额计算结果为准；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 xml:space="preserve"> （一）供应商响应文件中不响应磋商文件规定的技术参数指标和商务应答；</w:t>
      </w:r>
    </w:p>
    <w:p>
      <w:pPr>
        <w:pStyle w:val="null3"/>
        <w:ind w:firstLine="480"/>
      </w:pPr>
      <w:r>
        <w:rPr/>
        <w:t xml:space="preserve"> （二）供应商响应文件中未提供的证明其是否符合磋商文件资格、符合性规定要求的相关材料。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 xml:space="preserve"> 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sz w:val="24"/>
          <w:b/>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sz w:val="24"/>
          <w:b/>
        </w:rPr>
        <w:t>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sz w:val="24"/>
          <w:b/>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sz w:val="24"/>
          <w:b/>
        </w:rPr>
        <w:t>6.3.9编写磋商报告</w:t>
      </w:r>
    </w:p>
    <w:p>
      <w:pPr>
        <w:pStyle w:val="null3"/>
        <w:ind w:firstLine="480"/>
      </w:pPr>
      <w:r>
        <w:rPr/>
        <w:t xml:space="preserve"> 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 xml:space="preserve"> （四）评审情况记录和说明，包括对供应商响应文件审查情况、磋商情况、报价情况等；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sz w:val="24"/>
          <w:b/>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sz w:val="28"/>
          <w:b/>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sz w:val="24"/>
          <w:b/>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sz w:val="24"/>
          <w:b/>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详细评审65.0000分</w:t>
            </w:r>
          </w:p>
          <w:p>
            <w:pPr>
              <w:pStyle w:val="null3"/>
            </w:pPr>
            <w:r>
              <w:rPr/>
              <w:t>报价得分35.0000分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技术响应</w:t>
            </w:r>
          </w:p>
        </w:tc>
        <w:tc>
          <w:tcPr>
            <w:tcW w:type="dxa" w:w="2492"/>
          </w:tcPr>
          <w:p>
            <w:pPr>
              <w:pStyle w:val="null3"/>
            </w:pPr>
            <w:r>
              <w:rPr/>
              <w:t>基本分：所投产品的技术参数完全符合、响应招标文件 要求，没有负偏离计35分。 1、技术参数中标“★”项（3个）为为实质性要求，不满足废标； 2、技术参数中非“★”项（14）满分35分，负偏离一项扣2.5分； 加分项：技术参数性能优于磋商文件要求，具有实际使用价值的提升，经磋商小组一致认定每项可加分，满分13分。 1、标“★”项参数技术指标和性能优于磋商文件要求，加2分，满分6分； 2、非“★”项参数技术指标和性能优于磋商文件要求，每项加0.5分，满分7分。 备注：所有“★”项和优于参数须提供佐证材料（佐证材料不限于产品彩页、检测报告、厂家盖章的说明书、官网功能截图等任意一种），否则不予得分或加分。</w:t>
            </w:r>
          </w:p>
        </w:tc>
        <w:tc>
          <w:tcPr>
            <w:tcW w:type="dxa" w:w="831"/>
          </w:tcPr>
          <w:p>
            <w:pPr>
              <w:pStyle w:val="null3"/>
              <w:jc w:val="right"/>
            </w:pPr>
            <w:r>
              <w:rPr/>
              <w:t>48.0000</w:t>
            </w:r>
          </w:p>
        </w:tc>
        <w:tc>
          <w:tcPr>
            <w:tcW w:type="dxa" w:w="831"/>
          </w:tcPr>
          <w:p>
            <w:pPr>
              <w:pStyle w:val="null3"/>
            </w:pPr>
            <w:r>
              <w:rPr/>
              <w:t>客观</w:t>
            </w:r>
          </w:p>
        </w:tc>
        <w:tc>
          <w:tcPr>
            <w:tcW w:type="dxa" w:w="1661"/>
          </w:tcPr>
          <w:p>
            <w:pPr>
              <w:pStyle w:val="null3"/>
            </w:pPr>
            <w:r>
              <w:rPr/>
              <w:t>技术规格响应偏离表</w:t>
            </w:r>
          </w:p>
          <w:p>
            <w:pPr>
              <w:pStyle w:val="null3"/>
            </w:pPr>
            <w:r>
              <w:rPr/>
              <w:t>产品的技术文件</w:t>
            </w:r>
          </w:p>
          <w:p>
            <w:pPr>
              <w:pStyle w:val="null3"/>
            </w:pPr>
            <w:r>
              <w:rPr/>
              <w:t>供应商认为需要提供的其他资料</w:t>
            </w:r>
          </w:p>
        </w:tc>
      </w:tr>
      <w:tr>
        <w:tc>
          <w:tcPr>
            <w:tcW w:type="dxa" w:w="831"/>
            <w:vMerge/>
          </w:tcPr>
          <w:p/>
        </w:tc>
        <w:tc>
          <w:tcPr>
            <w:tcW w:type="dxa" w:w="1661"/>
          </w:tcPr>
          <w:p>
            <w:pPr>
              <w:pStyle w:val="null3"/>
            </w:pPr>
            <w:r>
              <w:rPr/>
              <w:t>实施方案</w:t>
            </w:r>
          </w:p>
        </w:tc>
        <w:tc>
          <w:tcPr>
            <w:tcW w:type="dxa" w:w="2492"/>
          </w:tcPr>
          <w:p>
            <w:pPr>
              <w:pStyle w:val="null3"/>
            </w:pPr>
            <w:r>
              <w:rPr/>
              <w:t>一、评审内容 投标人需针对本项目提供完整的项目实施方案。内容包含：①供货组织安排、物力调配及保障措施②安装调试验收 二、评审标准 1、完整性：方案须全面，对评审内容中的各项要求描述详细； 2、可实施性：切合本项目实际情况，实施步骤清晰、合理； 3、针对性：方案能够紧扣项目实际情况，内容科学合理。 三、赋分依据（满分3分） ①供货组织安排、物力调配及保障措施：每完全满足一个评审标准得0.5分，满分1.5分；未提供不得分； ②安装调试验收:每完全满足一个评审标准得0.5分，满分1.5分；未提供不得分；</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项目实施方案</w:t>
            </w:r>
          </w:p>
        </w:tc>
      </w:tr>
      <w:tr>
        <w:tc>
          <w:tcPr>
            <w:tcW w:type="dxa" w:w="831"/>
            <w:vMerge/>
          </w:tcPr>
          <w:p/>
        </w:tc>
        <w:tc>
          <w:tcPr>
            <w:tcW w:type="dxa" w:w="1661"/>
          </w:tcPr>
          <w:p>
            <w:pPr>
              <w:pStyle w:val="null3"/>
            </w:pPr>
            <w:r>
              <w:rPr/>
              <w:t>质量保证</w:t>
            </w:r>
          </w:p>
        </w:tc>
        <w:tc>
          <w:tcPr>
            <w:tcW w:type="dxa" w:w="2492"/>
          </w:tcPr>
          <w:p>
            <w:pPr>
              <w:pStyle w:val="null3"/>
            </w:pPr>
            <w:r>
              <w:rPr/>
              <w:t>一、评审内容 根据项目实际需求，提供质量保证方案。内容包含：①产品性能、使用寿命及效果②质量保证措施。 二、评审标准 1、完整性：方案须全面，对评审内容中的各项要求有详细描述； 2、可实施性：切合本项目实际情况，实施步骤清晰、合理； 3、针对性：方案能够紧扣项目实际情况，内容科学合理。 三、赋分依据（满分3分） ①产品性能、使用寿命及效果：每完全满足一个评审标准得0.5分，满分1.5分；未提供不得分； ②质量保证措施:每完全满足一个评审标准得0.5分，满分1.5分；未提供不得分。</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质量保证承诺</w:t>
            </w:r>
          </w:p>
        </w:tc>
      </w:tr>
      <w:tr>
        <w:tc>
          <w:tcPr>
            <w:tcW w:type="dxa" w:w="831"/>
            <w:vMerge/>
          </w:tcPr>
          <w:p/>
        </w:tc>
        <w:tc>
          <w:tcPr>
            <w:tcW w:type="dxa" w:w="1661"/>
          </w:tcPr>
          <w:p>
            <w:pPr>
              <w:pStyle w:val="null3"/>
            </w:pPr>
            <w:r>
              <w:rPr/>
              <w:t>质保期</w:t>
            </w:r>
          </w:p>
        </w:tc>
        <w:tc>
          <w:tcPr>
            <w:tcW w:type="dxa" w:w="2492"/>
          </w:tcPr>
          <w:p>
            <w:pPr>
              <w:pStyle w:val="null3"/>
            </w:pPr>
            <w:r>
              <w:rPr/>
              <w:t>在满足磋商文件要求质保期的基础上，供应商可根据自身情况延长质保年限，评标委员会根据各投标人响应的延长质保年限进行综合评定，以延长质保年限最长者为基准，计2分，其他供应商的延长质保年限分统一按照下列公式计算：（延长质保期／基准)×2=响应得分。仅满足磋商文件要求的质保期不计分。 计算分数时四舍五入取小数点后两位。</w:t>
            </w:r>
          </w:p>
        </w:tc>
        <w:tc>
          <w:tcPr>
            <w:tcW w:type="dxa" w:w="831"/>
          </w:tcPr>
          <w:p>
            <w:pPr>
              <w:pStyle w:val="null3"/>
              <w:jc w:val="right"/>
            </w:pPr>
            <w:r>
              <w:rPr/>
              <w:t>2.0000</w:t>
            </w:r>
          </w:p>
        </w:tc>
        <w:tc>
          <w:tcPr>
            <w:tcW w:type="dxa" w:w="831"/>
          </w:tcPr>
          <w:p>
            <w:pPr>
              <w:pStyle w:val="null3"/>
            </w:pPr>
            <w:r>
              <w:rPr/>
              <w:t>客观</w:t>
            </w:r>
          </w:p>
        </w:tc>
        <w:tc>
          <w:tcPr>
            <w:tcW w:type="dxa" w:w="1661"/>
          </w:tcPr>
          <w:p>
            <w:pPr>
              <w:pStyle w:val="null3"/>
            </w:pPr>
            <w:r>
              <w:rPr/>
              <w:t>分项报价表</w:t>
            </w:r>
          </w:p>
          <w:p>
            <w:pPr>
              <w:pStyle w:val="null3"/>
            </w:pPr>
            <w:r>
              <w:rPr/>
              <w:t>质量保证承诺</w:t>
            </w:r>
          </w:p>
          <w:p>
            <w:pPr>
              <w:pStyle w:val="null3"/>
            </w:pPr>
            <w:r>
              <w:rPr/>
              <w:t>售后服务</w:t>
            </w:r>
          </w:p>
        </w:tc>
      </w:tr>
      <w:tr>
        <w:tc>
          <w:tcPr>
            <w:tcW w:type="dxa" w:w="831"/>
            <w:vMerge/>
          </w:tcPr>
          <w:p/>
        </w:tc>
        <w:tc>
          <w:tcPr>
            <w:tcW w:type="dxa" w:w="1661"/>
          </w:tcPr>
          <w:p>
            <w:pPr>
              <w:pStyle w:val="null3"/>
            </w:pPr>
            <w:r>
              <w:rPr/>
              <w:t>业绩</w:t>
            </w:r>
          </w:p>
        </w:tc>
        <w:tc>
          <w:tcPr>
            <w:tcW w:type="dxa" w:w="2492"/>
          </w:tcPr>
          <w:p>
            <w:pPr>
              <w:pStyle w:val="null3"/>
            </w:pPr>
            <w:r>
              <w:rPr/>
              <w:t>提供投标人2021年12月1日至今同类项目合同，每提供1个得1分，最高得5分。（以合同签订日期为准） 备注：投标文件中提供合同复印件加盖公章。</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业绩</w:t>
            </w:r>
          </w:p>
        </w:tc>
      </w:tr>
      <w:tr>
        <w:tc>
          <w:tcPr>
            <w:tcW w:type="dxa" w:w="831"/>
            <w:vMerge/>
          </w:tcPr>
          <w:p/>
        </w:tc>
        <w:tc>
          <w:tcPr>
            <w:tcW w:type="dxa" w:w="1661"/>
          </w:tcPr>
          <w:p>
            <w:pPr>
              <w:pStyle w:val="null3"/>
            </w:pPr>
            <w:r>
              <w:rPr/>
              <w:t>售后服务</w:t>
            </w:r>
          </w:p>
        </w:tc>
        <w:tc>
          <w:tcPr>
            <w:tcW w:type="dxa" w:w="2492"/>
          </w:tcPr>
          <w:p>
            <w:pPr>
              <w:pStyle w:val="null3"/>
            </w:pPr>
            <w:r>
              <w:rPr/>
              <w:t>一、评审内容 根据项目实际需求提供售后服务方案。内容包含：①售后服务范围、响应时间、方式及保障措施②售后培训方案 二、评审标准 1.完整性：方案须全面，对评审内容中的各项要求有详细描述； 2.可实施性：切合本项目实际情况，提出步骤清晰、合理的方案； 3.针对性：方案能够紧扣项目实际情况，内容科学合理。 三、赋分依据（满分3分） ①售后服务范围、响应时间、方式及保障措施：每完全满足一个评审标准得0.5分，满分1.5分；未提供不得分； ②售后培训方案：每完全满足一个评审标准得0.5分，满分1.5分；未提供不得分。</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售后服务</w:t>
            </w:r>
          </w:p>
        </w:tc>
      </w:tr>
      <w:tr>
        <w:tc>
          <w:tcPr>
            <w:tcW w:type="dxa" w:w="831"/>
            <w:vMerge/>
          </w:tcPr>
          <w:p/>
        </w:tc>
        <w:tc>
          <w:tcPr>
            <w:tcW w:type="dxa" w:w="1661"/>
          </w:tcPr>
          <w:p>
            <w:pPr>
              <w:pStyle w:val="null3"/>
            </w:pPr>
            <w:r>
              <w:rPr/>
              <w:t>节能环保</w:t>
            </w:r>
          </w:p>
        </w:tc>
        <w:tc>
          <w:tcPr>
            <w:tcW w:type="dxa" w:w="2492"/>
          </w:tcPr>
          <w:p>
            <w:pPr>
              <w:pStyle w:val="null3"/>
            </w:pPr>
            <w:r>
              <w:rPr/>
              <w:t>所投产品属于《节能产品政府采购品目清单》内产品，提供有效期内的节能产品证书，每提供1项得0.5分，属于《环境标志产品政府采购品目清单》内产品的，提供有效期内的环境标志产品证书，每提供1项得0.5分。（备注：以《中国政府采购网》颁布品目清单为准。）</w:t>
            </w:r>
          </w:p>
        </w:tc>
        <w:tc>
          <w:tcPr>
            <w:tcW w:type="dxa" w:w="831"/>
          </w:tcPr>
          <w:p>
            <w:pPr>
              <w:pStyle w:val="null3"/>
              <w:jc w:val="right"/>
            </w:pPr>
            <w:r>
              <w:rPr/>
              <w:t>1.0000</w:t>
            </w:r>
          </w:p>
        </w:tc>
        <w:tc>
          <w:tcPr>
            <w:tcW w:type="dxa" w:w="831"/>
          </w:tcPr>
          <w:p>
            <w:pPr>
              <w:pStyle w:val="null3"/>
            </w:pPr>
            <w:r>
              <w:rPr/>
              <w:t>客观</w:t>
            </w:r>
          </w:p>
        </w:tc>
        <w:tc>
          <w:tcPr>
            <w:tcW w:type="dxa" w:w="1661"/>
          </w:tcPr>
          <w:p>
            <w:pPr>
              <w:pStyle w:val="null3"/>
            </w:pPr>
            <w:r>
              <w:rPr/>
              <w:t>供应商认为需要提供的其他资料</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满足竞争性磋商文件要求且最后报价最低的供应商的价格为磋商基准价，其他供应商的价格分统一按照下列公式计算。磋商报价得分=(评标基准价／磋商报价)×35，（落实政府采购政策进行价格调整的，以调整后的价格计算）</w:t>
            </w:r>
          </w:p>
        </w:tc>
        <w:tc>
          <w:tcPr>
            <w:tcW w:type="dxa" w:w="831"/>
          </w:tcPr>
          <w:p>
            <w:pPr>
              <w:pStyle w:val="null3"/>
              <w:jc w:val="right"/>
            </w:pPr>
            <w:r>
              <w:rPr/>
              <w:t>35.0000</w:t>
            </w:r>
          </w:p>
        </w:tc>
        <w:tc>
          <w:tcPr>
            <w:tcW w:type="dxa" w:w="831"/>
          </w:tcPr>
          <w:p>
            <w:pPr>
              <w:pStyle w:val="null3"/>
            </w:pPr>
            <w:r>
              <w:rPr/>
              <w:t>客观</w:t>
            </w:r>
          </w:p>
        </w:tc>
        <w:tc>
          <w:tcPr>
            <w:tcW w:type="dxa" w:w="1661"/>
          </w:tcPr>
          <w:p>
            <w:pPr>
              <w:pStyle w:val="null3"/>
            </w:pPr>
            <w:r>
              <w:rPr/>
              <w:t>报价表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中小企业声明函 残疾人福利性单位声明函 监狱企业的证明文件</w:t>
            </w:r>
          </w:p>
        </w:tc>
      </w:tr>
    </w:tbl>
    <w:p>
      <w:pPr>
        <w:pStyle w:val="null3"/>
        <w:outlineLvl w:val="2"/>
      </w:pPr>
      <w:r>
        <w:rPr>
          <w:sz w:val="28"/>
          <w:b/>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sz w:val="28"/>
          <w:b/>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6.7评审专家在政府采购活动中承担以下义务</w:t>
      </w:r>
    </w:p>
    <w:p>
      <w:pPr>
        <w:pStyle w:val="null3"/>
        <w:ind w:firstLine="480"/>
      </w:pPr>
      <w:r>
        <w:rPr/>
        <w:t>（一）遵守评审工作纪律；</w:t>
      </w:r>
    </w:p>
    <w:p>
      <w:pPr>
        <w:pStyle w:val="null3"/>
        <w:ind w:firstLine="480"/>
      </w:pPr>
      <w:r>
        <w:rPr/>
        <w:t xml:space="preserve"> （二）按照客观、公正、审慎的原则，根据采购文件规定的评审程序、评审方法和评审标准进行独立评审；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 xml:space="preserve"> 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 xml:space="preserve"> （二）评审前，应当将通讯工具或者相关电子设备交由采购组织单位统一保管。</w:t>
      </w:r>
    </w:p>
    <w:p>
      <w:pPr>
        <w:pStyle w:val="null3"/>
        <w:ind w:firstLine="480"/>
      </w:pPr>
      <w:r>
        <w:rPr/>
        <w:t xml:space="preserve"> （三）评审过程中，不得与外界联系，因发生不可预见情况，确实需要与外界联系的， 应当在监督人员监督之下办理。</w:t>
      </w:r>
    </w:p>
    <w:p>
      <w:pPr>
        <w:pStyle w:val="null3"/>
        <w:ind w:firstLine="480"/>
      </w:pPr>
      <w:r>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 xml:space="preserve"> （六）服从评审现场采购组织单位的现场秩序管理，接受评审现场监督人员的合法监督。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ind w:firstLine="480"/>
      </w:pPr>
      <w:r>
        <w:rPr/>
        <w:t>一、本章所制响应文件格式，除格式中明确将该格式作为实质性要求的，不具有强制性。</w:t>
      </w:r>
    </w:p>
    <w:p>
      <w:pPr>
        <w:pStyle w:val="null3"/>
        <w:ind w:firstLine="480"/>
      </w:pPr>
      <w:r>
        <w:rPr/>
        <w:t>二、本章所制响应文件格式有关表格中的备注栏，由供应商根据自身响应情况作解释性说明，不作为必填项。</w:t>
      </w:r>
    </w:p>
    <w:p>
      <w:pPr>
        <w:pStyle w:val="null3"/>
      </w:pPr>
      <w:r>
        <w:rPr/>
        <w:t>采购包1：</w:t>
      </w:r>
    </w:p>
    <w:p>
      <w:pPr>
        <w:pStyle w:val="null3"/>
      </w:pPr>
      <w:r>
        <w:rPr/>
        <w:t>分册名称：投标响应文件分册</w:t>
      </w:r>
    </w:p>
    <w:p>
      <w:pPr>
        <w:pStyle w:val="null3"/>
        <w:ind w:firstLine="960"/>
      </w:pPr>
      <w:r>
        <w:rPr/>
        <w:t>详见附件：封面</w:t>
      </w:r>
    </w:p>
    <w:p>
      <w:pPr>
        <w:pStyle w:val="null3"/>
        <w:ind w:firstLine="960"/>
      </w:pPr>
      <w:r>
        <w:rPr/>
        <w:t>详见附件：响应函</w:t>
      </w:r>
    </w:p>
    <w:p>
      <w:pPr>
        <w:pStyle w:val="null3"/>
        <w:ind w:firstLine="960"/>
      </w:pPr>
      <w:r>
        <w:rPr/>
        <w:t>详见附件：报价表</w:t>
      </w:r>
    </w:p>
    <w:p>
      <w:pPr>
        <w:pStyle w:val="null3"/>
        <w:ind w:firstLine="960"/>
      </w:pPr>
      <w:r>
        <w:rPr/>
        <w:t>详见附件：标的清单</w:t>
      </w:r>
    </w:p>
    <w:p>
      <w:pPr>
        <w:pStyle w:val="null3"/>
        <w:ind w:firstLine="960"/>
      </w:pPr>
      <w:r>
        <w:rPr/>
        <w:t>详见附件：分项报价表</w:t>
      </w:r>
    </w:p>
    <w:p>
      <w:pPr>
        <w:pStyle w:val="null3"/>
        <w:ind w:firstLine="960"/>
      </w:pPr>
      <w:r>
        <w:rPr/>
        <w:t>详见附件：技术规格响应偏离表</w:t>
      </w:r>
    </w:p>
    <w:p>
      <w:pPr>
        <w:pStyle w:val="null3"/>
        <w:ind w:firstLine="960"/>
      </w:pPr>
      <w:r>
        <w:rPr/>
        <w:t>详见附件：商务条款响应偏离表</w:t>
      </w:r>
    </w:p>
    <w:p>
      <w:pPr>
        <w:pStyle w:val="null3"/>
        <w:ind w:firstLine="960"/>
      </w:pPr>
      <w:r>
        <w:rPr/>
        <w:t>详见附件：资格证明文件</w:t>
      </w:r>
    </w:p>
    <w:p>
      <w:pPr>
        <w:pStyle w:val="null3"/>
        <w:ind w:firstLine="960"/>
      </w:pPr>
      <w:r>
        <w:rPr/>
        <w:t>详见附件：业绩</w:t>
      </w:r>
    </w:p>
    <w:p>
      <w:pPr>
        <w:pStyle w:val="null3"/>
        <w:ind w:firstLine="960"/>
      </w:pPr>
      <w:r>
        <w:rPr/>
        <w:t>详见附件：产品的技术文件</w:t>
      </w:r>
    </w:p>
    <w:p>
      <w:pPr>
        <w:pStyle w:val="null3"/>
        <w:ind w:firstLine="960"/>
      </w:pPr>
      <w:r>
        <w:rPr/>
        <w:t>详见附件：项目实施方案</w:t>
      </w:r>
    </w:p>
    <w:p>
      <w:pPr>
        <w:pStyle w:val="null3"/>
        <w:ind w:firstLine="960"/>
      </w:pPr>
      <w:r>
        <w:rPr/>
        <w:t>详见附件：质量保证承诺</w:t>
      </w:r>
    </w:p>
    <w:p>
      <w:pPr>
        <w:pStyle w:val="null3"/>
        <w:ind w:firstLine="960"/>
      </w:pPr>
      <w:r>
        <w:rPr/>
        <w:t>详见附件：售后服务</w:t>
      </w:r>
    </w:p>
    <w:p>
      <w:pPr>
        <w:pStyle w:val="null3"/>
        <w:ind w:firstLine="960"/>
      </w:pPr>
      <w:r>
        <w:rPr/>
        <w:t>详见附件：供应商认为需要提供的其他资料</w:t>
      </w:r>
    </w:p>
    <w:p>
      <w:pPr>
        <w:pStyle w:val="null3"/>
        <w:ind w:firstLine="960"/>
      </w:pPr>
      <w:r>
        <w:rPr/>
        <w:t>详见附件：供应商承诺书</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详见附件：合同范本.docx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