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版本号：241220001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双能X线骨密度仪采购项目</w:t>
      </w:r>
    </w:p>
    <w:p>
      <w:pPr>
        <w:pStyle w:val="null3"/>
        <w:jc w:val="center"/>
        <w:outlineLvl w:val="2"/>
      </w:pPr>
      <w:r>
        <w:rPr>
          <w:sz w:val="28"/>
          <w:b/>
        </w:rPr>
        <w:t>采购项目编号：</w:t>
      </w:r>
      <w:r>
        <w:rPr>
          <w:sz w:val="28"/>
          <w:b/>
        </w:rPr>
        <w:t>YC24101063（CGO）</w:t>
      </w:r>
      <w:r>
        <w:br/>
      </w:r>
      <w:r>
        <w:br/>
      </w:r>
      <w:r>
        <w:br/>
      </w:r>
    </w:p>
    <w:p>
      <w:pPr>
        <w:pStyle w:val="null3"/>
        <w:jc w:val="center"/>
        <w:outlineLvl w:val="2"/>
      </w:pPr>
      <w:r>
        <w:rPr>
          <w:sz w:val="28"/>
          <w:b/>
        </w:rPr>
        <w:t>陕西省中医医院</w:t>
      </w:r>
    </w:p>
    <w:p>
      <w:pPr>
        <w:pStyle w:val="null3"/>
        <w:jc w:val="center"/>
        <w:outlineLvl w:val="2"/>
      </w:pPr>
      <w:r>
        <w:rPr>
          <w:sz w:val="28"/>
          <w:b/>
        </w:rPr>
        <w:t>亿诚建设项目管理有限公司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亿诚建设项目管理有限公司</w:t>
      </w:r>
      <w:r>
        <w:rPr/>
        <w:t>（以下简称“代理机构”）受</w:t>
      </w:r>
      <w:r>
        <w:rPr/>
        <w:t>陕西省中医医院</w:t>
      </w:r>
      <w:r>
        <w:rPr/>
        <w:t>委托，拟对</w:t>
      </w:r>
      <w:r>
        <w:rPr/>
        <w:t>双能X线骨密度仪采购项目</w:t>
      </w:r>
      <w:r>
        <w:rPr/>
        <w:t>进行国内公开招标，兹邀请符合本次招标要求的供应商参加投标。</w:t>
      </w:r>
    </w:p>
    <w:p>
      <w:pPr>
        <w:pStyle w:val="null3"/>
        <w:outlineLvl w:val="2"/>
      </w:pPr>
      <w:r>
        <w:rPr>
          <w:sz w:val="28"/>
          <w:b/>
        </w:rPr>
        <w:t>一、采购项目编号：</w:t>
      </w:r>
      <w:r>
        <w:rPr>
          <w:sz w:val="28"/>
          <w:b/>
        </w:rPr>
        <w:t>YC24101063（CGO）</w:t>
      </w:r>
    </w:p>
    <w:p>
      <w:pPr>
        <w:pStyle w:val="null3"/>
        <w:outlineLvl w:val="2"/>
      </w:pPr>
      <w:r>
        <w:rPr>
          <w:sz w:val="28"/>
          <w:b/>
        </w:rPr>
        <w:t>二、采购项目名称：</w:t>
      </w:r>
      <w:r>
        <w:rPr>
          <w:sz w:val="28"/>
          <w:b/>
        </w:rPr>
        <w:t>双能X线骨密度仪采购项目</w:t>
      </w:r>
    </w:p>
    <w:p>
      <w:pPr>
        <w:pStyle w:val="null3"/>
        <w:outlineLvl w:val="2"/>
      </w:pPr>
      <w:r>
        <w:rPr>
          <w:sz w:val="28"/>
          <w:b/>
        </w:rPr>
        <w:t>三、招标项目简介</w:t>
      </w:r>
    </w:p>
    <w:p>
      <w:pPr>
        <w:pStyle w:val="null3"/>
        <w:ind w:firstLine="480"/>
      </w:pPr>
      <w:r>
        <w:rPr/>
        <w:t>陕西省中医医院拟购买1台双能X线骨密度仪供临床科室使用，详细采购需求见第三章。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采购包1（双能X线骨密度仪采购项目）：属于专门面向中小企业采购。</w:t>
      </w:r>
    </w:p>
    <w:p>
      <w:pPr>
        <w:pStyle w:val="null3"/>
        <w:ind w:firstLine="480"/>
      </w:pPr>
      <w:r>
        <w:rPr/>
        <w:t>（三）本项目的特定资格要求：</w:t>
      </w:r>
    </w:p>
    <w:p>
      <w:pPr>
        <w:pStyle w:val="null3"/>
      </w:pPr>
      <w:r>
        <w:rPr/>
        <w:t>采购包1：</w:t>
      </w:r>
    </w:p>
    <w:p>
      <w:pPr>
        <w:pStyle w:val="null3"/>
      </w:pPr>
      <w:r>
        <w:rPr/>
        <w:t>1、投标人资格要求：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p>
      <w:pPr>
        <w:pStyle w:val="null3"/>
      </w:pPr>
      <w:r>
        <w:rPr/>
        <w:t>2、投标人资格要求：投标保证金缴纳凭证</w:t>
      </w:r>
    </w:p>
    <w:p>
      <w:pPr>
        <w:pStyle w:val="null3"/>
      </w:pPr>
      <w:r>
        <w:rPr/>
        <w:t>3、投标人信用要求：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陕西省中医医院</w:t>
      </w:r>
    </w:p>
    <w:p>
      <w:pPr>
        <w:pStyle w:val="null3"/>
      </w:pPr>
      <w:r>
        <w:rPr/>
        <w:t xml:space="preserve"> 地址： </w:t>
      </w:r>
      <w:r>
        <w:rPr/>
        <w:t>陕西省西安市西华门2号</w:t>
      </w:r>
    </w:p>
    <w:p>
      <w:pPr>
        <w:pStyle w:val="null3"/>
      </w:pPr>
      <w:r>
        <w:rPr/>
        <w:t xml:space="preserve"> 邮编： </w:t>
      </w:r>
      <w:r>
        <w:rPr/>
        <w:t>710000</w:t>
      </w:r>
    </w:p>
    <w:p>
      <w:pPr>
        <w:pStyle w:val="null3"/>
      </w:pPr>
      <w:r>
        <w:rPr/>
        <w:t xml:space="preserve"> 联系人： </w:t>
      </w:r>
      <w:r>
        <w:rPr/>
        <w:t>于老师</w:t>
      </w:r>
    </w:p>
    <w:p>
      <w:pPr>
        <w:pStyle w:val="null3"/>
      </w:pPr>
      <w:r>
        <w:rPr/>
        <w:t xml:space="preserve"> 联系电话： </w:t>
      </w:r>
      <w:r>
        <w:rPr/>
        <w:t>029-87252581</w:t>
      </w:r>
    </w:p>
    <w:p>
      <w:pPr>
        <w:pStyle w:val="null3"/>
        <w:outlineLvl w:val="2"/>
      </w:pPr>
      <w:r>
        <w:rPr>
          <w:sz w:val="28"/>
          <w:b/>
        </w:rPr>
        <w:t>代理机构：</w:t>
      </w:r>
      <w:r>
        <w:rPr>
          <w:sz w:val="28"/>
          <w:b/>
        </w:rPr>
        <w:t>亿诚建设项目管理有限公司</w:t>
      </w:r>
    </w:p>
    <w:p>
      <w:pPr>
        <w:pStyle w:val="null3"/>
      </w:pPr>
      <w:r>
        <w:rPr/>
        <w:t xml:space="preserve"> 地址： </w:t>
      </w:r>
      <w:r>
        <w:rPr/>
        <w:t>陕西省西安市雁塔区:陕西省西安市高新区丈八五路高科尚都ONE尚城A座10F</w:t>
      </w:r>
    </w:p>
    <w:p>
      <w:pPr>
        <w:pStyle w:val="null3"/>
      </w:pPr>
      <w:r>
        <w:rPr/>
        <w:t xml:space="preserve"> 邮编： </w:t>
      </w:r>
      <w:r>
        <w:rPr/>
        <w:t>710000</w:t>
      </w:r>
    </w:p>
    <w:p>
      <w:pPr>
        <w:pStyle w:val="null3"/>
      </w:pPr>
      <w:r>
        <w:rPr/>
        <w:t xml:space="preserve"> 联系人： </w:t>
      </w:r>
      <w:r>
        <w:rPr/>
        <w:t>康迎</w:t>
      </w:r>
    </w:p>
    <w:p>
      <w:pPr>
        <w:pStyle w:val="null3"/>
      </w:pPr>
      <w:r>
        <w:rPr/>
        <w:t xml:space="preserve"> 联系电话： </w:t>
      </w:r>
      <w:r>
        <w:rPr/>
        <w:t>19929058987</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采购包1：530,000.00元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采购包1保证金金额：10,000.00元</w:t>
            </w:r>
          </w:p>
          <w:p>
            <w:pPr>
              <w:pStyle w:val="null3"/>
            </w:pPr>
            <w:r>
              <w:rPr/>
              <w:t>缴交渠道：电子保函,转账、支票、汇票等（需通过实体账户、户名及开户行信息）</w:t>
            </w:r>
          </w:p>
          <w:p>
            <w:pPr>
              <w:pStyle w:val="null3"/>
            </w:pPr>
            <w:r>
              <w:rPr/>
              <w:t>开户名称：亿诚建设项目管理有限公司</w:t>
            </w:r>
          </w:p>
          <w:p>
            <w:pPr>
              <w:pStyle w:val="null3"/>
            </w:pPr>
            <w:r>
              <w:rPr/>
              <w:t>开户银行：平安银行西安含光路支行</w:t>
            </w:r>
          </w:p>
          <w:p>
            <w:pPr>
              <w:pStyle w:val="null3"/>
            </w:pPr>
            <w:r>
              <w:rPr/>
              <w:t>银行账号：30205199004423</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依据《国家计委关于印发招标代理服务收费管理暂行办法的通知》（计价格〔2002〕1980号）和国家发改委办公厅《关于招标代理服务收费有关问题的通知》（发改办价格〔2003〕857号）文件规定标准下浮30%收取。具体收费金额将在中标公告中公布。</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陕西省中医医院</w:t>
      </w:r>
      <w:r>
        <w:rPr/>
        <w:t>和</w:t>
      </w:r>
      <w:r>
        <w:rPr/>
        <w:t>亿诚建设项目管理有限公司</w:t>
      </w:r>
      <w:r>
        <w:rPr/>
        <w:t>享有。对招标文件中供应商参加本次政府采购活动应当具备的条件，招标项目技术、服务、商务及其他要求，评标细则及标准由</w:t>
      </w:r>
      <w:r>
        <w:rPr/>
        <w:t>陕西省中医医院</w:t>
      </w:r>
      <w:r>
        <w:rPr/>
        <w:t>负责解释。除上述招标文件内容，其他内容由</w:t>
      </w:r>
      <w:r>
        <w:rPr/>
        <w:t>亿诚建设项目管理有限公司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陕西省中医医院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亿诚建设项目管理有限公司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根据招标文件要求、投标文件及合同约定执行。</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亿诚建设项目管理有限公司</w:t>
      </w:r>
      <w:r>
        <w:rPr/>
        <w:t xml:space="preserve"> 负责答复；供应商对除采购需求外的采购文件的询问、质疑由</w:t>
      </w:r>
      <w:r>
        <w:rPr/>
        <w:t>亿诚建设项目管理有限公司</w:t>
      </w:r>
      <w:r>
        <w:rPr/>
        <w:t xml:space="preserve"> 负责答复；供应商对采购过程、采购结果的询问、质疑由 </w:t>
      </w:r>
      <w:r>
        <w:rPr/>
        <w:t>亿诚建设项目管理有限公司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联系人：康迎</w:t>
      </w:r>
    </w:p>
    <w:p>
      <w:pPr>
        <w:pStyle w:val="null3"/>
      </w:pPr>
      <w:r>
        <w:rPr/>
        <w:t>联系电话：19929058987</w:t>
      </w:r>
    </w:p>
    <w:p>
      <w:pPr>
        <w:pStyle w:val="null3"/>
      </w:pPr>
      <w:r>
        <w:rPr/>
        <w:t>地址：陕西省西安市雁塔区:陕西省西安市高新区丈八五路高科尚都ONE尚城A座10F</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我院拟购买1台双能X线骨密度仪供临床科室使用</w:t>
      </w:r>
    </w:p>
    <w:p>
      <w:pPr>
        <w:pStyle w:val="null3"/>
        <w:outlineLvl w:val="2"/>
      </w:pPr>
      <w:r>
        <w:rPr>
          <w:sz w:val="28"/>
          <w:b/>
        </w:rPr>
        <w:t>3.2采购内容</w:t>
      </w:r>
    </w:p>
    <w:p>
      <w:pPr>
        <w:pStyle w:val="null3"/>
      </w:pPr>
      <w:r>
        <w:rPr/>
        <w:t>采购包1：</w:t>
      </w:r>
    </w:p>
    <w:p>
      <w:pPr>
        <w:pStyle w:val="null3"/>
      </w:pPr>
      <w:r>
        <w:rPr/>
        <w:t>采购包预算金额（元）: 530,000.00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双能X线骨密度仪</w:t>
            </w:r>
          </w:p>
        </w:tc>
        <w:tc>
          <w:tcPr>
            <w:tcW w:type="dxa" w:w="831"/>
          </w:tcPr>
          <w:p>
            <w:pPr>
              <w:pStyle w:val="null3"/>
              <w:jc w:val="right"/>
            </w:pPr>
            <w:r>
              <w:rPr/>
              <w:t>1.00</w:t>
            </w:r>
          </w:p>
        </w:tc>
        <w:tc>
          <w:tcPr>
            <w:tcW w:type="dxa" w:w="831"/>
          </w:tcPr>
          <w:p>
            <w:pPr>
              <w:pStyle w:val="null3"/>
              <w:jc w:val="right"/>
            </w:pPr>
            <w:r>
              <w:rPr/>
              <w:t>530,000.00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标的名称：双能X线骨密度仪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宋体" w:hAnsi="宋体" w:cs="宋体" w:eastAsia="宋体"/>
                <w:sz w:val="18"/>
                <w:b/>
              </w:rPr>
              <w:t>1 X射线系统</w:t>
            </w:r>
          </w:p>
          <w:p>
            <w:pPr>
              <w:pStyle w:val="null3"/>
              <w:ind w:firstLine="360"/>
            </w:pPr>
            <w:r>
              <w:rPr>
                <w:rFonts w:ascii="宋体" w:hAnsi="宋体" w:cs="宋体" w:eastAsia="宋体"/>
                <w:sz w:val="18"/>
              </w:rPr>
              <w:t>1.1 扫描方式：扇束；</w:t>
            </w:r>
          </w:p>
          <w:p>
            <w:pPr>
              <w:pStyle w:val="null3"/>
              <w:ind w:firstLine="360"/>
            </w:pPr>
            <w:r>
              <w:rPr>
                <w:rFonts w:ascii="宋体" w:hAnsi="宋体" w:cs="宋体" w:eastAsia="宋体"/>
                <w:sz w:val="18"/>
              </w:rPr>
              <w:t>1.2 测量部位：腰椎、股骨、前臂、全身；</w:t>
            </w:r>
          </w:p>
          <w:p>
            <w:pPr>
              <w:pStyle w:val="null3"/>
              <w:ind w:firstLine="360"/>
            </w:pPr>
            <w:r>
              <w:rPr>
                <w:rFonts w:ascii="宋体" w:hAnsi="宋体" w:cs="宋体" w:eastAsia="宋体"/>
                <w:sz w:val="18"/>
              </w:rPr>
              <w:t>1.3 双能产生方式：脉冲式电压方式或恒稳电压方式(K-缘过滤器)；</w:t>
            </w:r>
          </w:p>
          <w:p>
            <w:pPr>
              <w:pStyle w:val="null3"/>
              <w:ind w:firstLine="360"/>
            </w:pPr>
            <w:r>
              <w:rPr>
                <w:rFonts w:ascii="宋体" w:hAnsi="宋体" w:cs="宋体" w:eastAsia="宋体"/>
                <w:sz w:val="18"/>
              </w:rPr>
              <w:t>1.4 X射线管电压恒定：≤ 76KV；</w:t>
            </w:r>
          </w:p>
          <w:p>
            <w:pPr>
              <w:pStyle w:val="null3"/>
              <w:ind w:firstLine="360"/>
            </w:pPr>
            <w:r>
              <w:rPr>
                <w:rFonts w:ascii="宋体" w:hAnsi="宋体" w:cs="宋体" w:eastAsia="宋体"/>
                <w:sz w:val="18"/>
              </w:rPr>
              <w:t>1.5 最大输出功率：≤ 76W；</w:t>
            </w:r>
          </w:p>
          <w:p>
            <w:pPr>
              <w:pStyle w:val="null3"/>
              <w:ind w:firstLine="360"/>
            </w:pPr>
            <w:r>
              <w:rPr>
                <w:rFonts w:ascii="宋体" w:hAnsi="宋体" w:cs="宋体" w:eastAsia="宋体"/>
                <w:sz w:val="18"/>
              </w:rPr>
              <w:t>1.6 球管最大管电流：≤ 2mA；</w:t>
            </w:r>
          </w:p>
          <w:p>
            <w:pPr>
              <w:pStyle w:val="null3"/>
              <w:ind w:firstLine="360"/>
            </w:pPr>
            <w:r>
              <w:rPr>
                <w:rFonts w:ascii="宋体" w:hAnsi="宋体" w:cs="宋体" w:eastAsia="宋体"/>
                <w:sz w:val="18"/>
              </w:rPr>
              <w:t>1.7 球管组件热容量：≥ 32kJ；</w:t>
            </w:r>
          </w:p>
          <w:p>
            <w:pPr>
              <w:pStyle w:val="null3"/>
              <w:ind w:firstLine="360"/>
            </w:pPr>
            <w:r>
              <w:rPr>
                <w:rFonts w:ascii="宋体" w:hAnsi="宋体" w:cs="宋体" w:eastAsia="宋体"/>
                <w:sz w:val="18"/>
              </w:rPr>
              <w:t>1.8 球管冷却方式：油冷加风冷；</w:t>
            </w:r>
          </w:p>
          <w:p>
            <w:pPr>
              <w:pStyle w:val="null3"/>
              <w:ind w:firstLine="360"/>
            </w:pPr>
            <w:r>
              <w:rPr>
                <w:rFonts w:ascii="宋体" w:hAnsi="宋体" w:cs="宋体" w:eastAsia="宋体"/>
                <w:sz w:val="18"/>
              </w:rPr>
              <w:t>1.9 焦点大小：≤0.5mm；</w:t>
            </w:r>
          </w:p>
          <w:p>
            <w:pPr>
              <w:pStyle w:val="null3"/>
              <w:ind w:firstLine="360"/>
            </w:pPr>
            <w:r>
              <w:rPr>
                <w:rFonts w:ascii="宋体" w:hAnsi="宋体" w:cs="宋体" w:eastAsia="宋体"/>
                <w:sz w:val="18"/>
              </w:rPr>
              <w:t>1.10 X射线束的开角：≤ 25°；</w:t>
            </w:r>
          </w:p>
          <w:p>
            <w:pPr>
              <w:pStyle w:val="null3"/>
              <w:ind w:firstLine="360"/>
            </w:pPr>
            <w:r>
              <w:rPr>
                <w:rFonts w:ascii="宋体" w:hAnsi="宋体" w:cs="宋体" w:eastAsia="宋体"/>
                <w:sz w:val="18"/>
              </w:rPr>
              <w:t>1.11 X射线管电流具备为2档：1档≤1mA、2档：≤0.15mA；</w:t>
            </w:r>
          </w:p>
          <w:p>
            <w:pPr>
              <w:pStyle w:val="null3"/>
              <w:ind w:firstLine="360"/>
            </w:pPr>
            <w:r>
              <w:rPr>
                <w:rFonts w:ascii="宋体" w:hAnsi="宋体" w:cs="宋体" w:eastAsia="宋体"/>
                <w:sz w:val="18"/>
              </w:rPr>
              <w:t>1.12 焦点与皮肤之间的距离：≥ 150mm。</w:t>
            </w:r>
          </w:p>
          <w:p>
            <w:pPr>
              <w:pStyle w:val="null3"/>
            </w:pPr>
            <w:r>
              <w:rPr>
                <w:rFonts w:ascii="宋体" w:hAnsi="宋体" w:cs="宋体" w:eastAsia="宋体"/>
                <w:sz w:val="18"/>
                <w:b/>
              </w:rPr>
              <w:t>2 探测器部分</w:t>
            </w:r>
          </w:p>
          <w:p>
            <w:pPr>
              <w:pStyle w:val="null3"/>
              <w:ind w:firstLine="360"/>
            </w:pPr>
            <w:r>
              <w:rPr>
                <w:rFonts w:ascii="宋体" w:hAnsi="宋体" w:cs="宋体" w:eastAsia="宋体"/>
                <w:sz w:val="18"/>
              </w:rPr>
              <w:t>2.1 探测器类型：CZT探测器；</w:t>
            </w:r>
          </w:p>
          <w:p>
            <w:pPr>
              <w:pStyle w:val="null3"/>
              <w:ind w:firstLine="360"/>
            </w:pPr>
            <w:r>
              <w:rPr>
                <w:rFonts w:ascii="宋体" w:hAnsi="宋体" w:cs="宋体" w:eastAsia="宋体"/>
                <w:sz w:val="18"/>
              </w:rPr>
              <w:t>2.2 探测器通道数：≥24；</w:t>
            </w:r>
          </w:p>
          <w:p>
            <w:pPr>
              <w:pStyle w:val="null3"/>
              <w:ind w:firstLine="360"/>
            </w:pPr>
            <w:r>
              <w:rPr>
                <w:rFonts w:ascii="宋体" w:hAnsi="宋体" w:cs="宋体" w:eastAsia="宋体"/>
                <w:sz w:val="18"/>
              </w:rPr>
              <w:t>2.3 焦点与探测器之间的距离：≥ 60cm；</w:t>
            </w:r>
          </w:p>
          <w:p>
            <w:pPr>
              <w:pStyle w:val="null3"/>
              <w:ind w:firstLine="360"/>
            </w:pPr>
            <w:r>
              <w:rPr>
                <w:rFonts w:ascii="宋体" w:hAnsi="宋体" w:cs="宋体" w:eastAsia="宋体"/>
                <w:sz w:val="18"/>
              </w:rPr>
              <w:t>2.4 有效视野尺寸：≥64mm ×6mm；</w:t>
            </w:r>
          </w:p>
          <w:p>
            <w:pPr>
              <w:pStyle w:val="null3"/>
            </w:pPr>
            <w:r>
              <w:rPr>
                <w:rFonts w:ascii="宋体" w:hAnsi="宋体" w:cs="宋体" w:eastAsia="宋体"/>
                <w:sz w:val="18"/>
                <w:b/>
              </w:rPr>
              <w:t>3 扫描</w:t>
            </w:r>
          </w:p>
          <w:p>
            <w:pPr>
              <w:pStyle w:val="null3"/>
              <w:ind w:firstLine="360"/>
            </w:pPr>
            <w:r>
              <w:rPr>
                <w:rFonts w:ascii="宋体" w:hAnsi="宋体" w:cs="宋体" w:eastAsia="宋体"/>
                <w:sz w:val="18"/>
              </w:rPr>
              <w:t>3.1 扫描床尺寸长度：≥2600mm、宽度≥：1000mm；</w:t>
            </w:r>
          </w:p>
          <w:p>
            <w:pPr>
              <w:pStyle w:val="null3"/>
              <w:ind w:firstLine="360"/>
            </w:pPr>
            <w:r>
              <w:rPr>
                <w:rFonts w:ascii="宋体" w:hAnsi="宋体" w:cs="宋体" w:eastAsia="宋体"/>
                <w:sz w:val="18"/>
              </w:rPr>
              <w:t>3.2 扫描台病人承重： ≥135kg；</w:t>
            </w:r>
          </w:p>
          <w:p>
            <w:pPr>
              <w:pStyle w:val="null3"/>
              <w:ind w:firstLine="360"/>
            </w:pPr>
            <w:r>
              <w:rPr>
                <w:rFonts w:ascii="宋体" w:hAnsi="宋体" w:cs="宋体" w:eastAsia="宋体"/>
                <w:sz w:val="18"/>
              </w:rPr>
              <w:t>3.4 探测器纵向运动范围：≥570mm；</w:t>
            </w:r>
          </w:p>
          <w:p>
            <w:pPr>
              <w:pStyle w:val="null3"/>
              <w:ind w:firstLine="360"/>
            </w:pPr>
            <w:r>
              <w:rPr>
                <w:rFonts w:ascii="宋体" w:hAnsi="宋体" w:cs="宋体" w:eastAsia="宋体"/>
                <w:sz w:val="18"/>
              </w:rPr>
              <w:t>3.5 测量区域：≥1800mm× 560mm；</w:t>
            </w:r>
          </w:p>
          <w:p>
            <w:pPr>
              <w:pStyle w:val="null3"/>
              <w:ind w:firstLine="360"/>
            </w:pPr>
            <w:r>
              <w:rPr>
                <w:rFonts w:ascii="宋体" w:hAnsi="宋体" w:cs="宋体" w:eastAsia="宋体"/>
                <w:sz w:val="18"/>
              </w:rPr>
              <w:t>3.6 单部位扫描时间：腰椎：≤45秒，股骨：≤35秒，前臂：≤30秒；</w:t>
            </w:r>
          </w:p>
          <w:p>
            <w:pPr>
              <w:pStyle w:val="null3"/>
              <w:ind w:firstLine="360"/>
            </w:pPr>
            <w:r>
              <w:rPr>
                <w:rFonts w:ascii="宋体" w:hAnsi="宋体" w:cs="宋体" w:eastAsia="宋体"/>
                <w:sz w:val="18"/>
              </w:rPr>
              <w:t>3.7 定位：激光定位；</w:t>
            </w:r>
          </w:p>
          <w:p>
            <w:pPr>
              <w:pStyle w:val="null3"/>
              <w:ind w:firstLine="360"/>
            </w:pPr>
            <w:r>
              <w:rPr>
                <w:rFonts w:ascii="宋体" w:hAnsi="宋体" w:cs="宋体" w:eastAsia="宋体"/>
                <w:sz w:val="18"/>
              </w:rPr>
              <w:t>3.8 床面距离地面高度：≥60cm；</w:t>
            </w:r>
          </w:p>
          <w:p>
            <w:pPr>
              <w:pStyle w:val="null3"/>
            </w:pPr>
            <w:r>
              <w:rPr>
                <w:rFonts w:ascii="宋体" w:hAnsi="宋体" w:cs="宋体" w:eastAsia="宋体"/>
                <w:sz w:val="18"/>
                <w:b/>
              </w:rPr>
              <w:t>4 校准系统</w:t>
            </w:r>
          </w:p>
          <w:p>
            <w:pPr>
              <w:pStyle w:val="null3"/>
              <w:ind w:firstLine="360"/>
            </w:pPr>
            <w:r>
              <w:rPr>
                <w:rFonts w:ascii="宋体" w:hAnsi="宋体" w:cs="宋体" w:eastAsia="宋体"/>
                <w:sz w:val="18"/>
              </w:rPr>
              <w:t>4.1 每次校准时间：≤20分钟；</w:t>
            </w:r>
          </w:p>
          <w:p>
            <w:pPr>
              <w:pStyle w:val="null3"/>
              <w:ind w:firstLine="360"/>
            </w:pPr>
            <w:r>
              <w:rPr>
                <w:rFonts w:ascii="宋体" w:hAnsi="宋体" w:cs="宋体" w:eastAsia="宋体"/>
                <w:sz w:val="18"/>
              </w:rPr>
              <w:t>4.2 质控软件：质控测试程序，质控趋势分析；</w:t>
            </w:r>
          </w:p>
          <w:p>
            <w:pPr>
              <w:pStyle w:val="null3"/>
              <w:ind w:firstLine="360"/>
            </w:pPr>
            <w:r>
              <w:rPr>
                <w:rFonts w:ascii="宋体" w:hAnsi="宋体" w:cs="宋体" w:eastAsia="宋体"/>
                <w:sz w:val="18"/>
              </w:rPr>
              <w:t>4.3 质控模块：QA模块校准；</w:t>
            </w:r>
          </w:p>
          <w:p>
            <w:pPr>
              <w:pStyle w:val="null3"/>
              <w:ind w:firstLine="360"/>
            </w:pPr>
            <w:r>
              <w:rPr>
                <w:rFonts w:ascii="宋体" w:hAnsi="宋体" w:cs="宋体" w:eastAsia="宋体"/>
                <w:sz w:val="18"/>
              </w:rPr>
              <w:t>4.4 重复性：变异系数：≤1%；</w:t>
            </w:r>
          </w:p>
          <w:p>
            <w:pPr>
              <w:pStyle w:val="null3"/>
              <w:ind w:firstLine="360"/>
            </w:pPr>
            <w:r>
              <w:rPr>
                <w:rFonts w:ascii="宋体" w:hAnsi="宋体" w:cs="宋体" w:eastAsia="宋体"/>
                <w:sz w:val="18"/>
              </w:rPr>
              <w:t>4.5 准确度：≤5%。</w:t>
            </w:r>
          </w:p>
          <w:p>
            <w:pPr>
              <w:pStyle w:val="null3"/>
            </w:pPr>
            <w:r>
              <w:rPr>
                <w:rFonts w:ascii="宋体" w:hAnsi="宋体" w:cs="宋体" w:eastAsia="宋体"/>
                <w:sz w:val="18"/>
                <w:b/>
              </w:rPr>
              <w:t>5 软件应用软件包</w:t>
            </w:r>
          </w:p>
          <w:p>
            <w:pPr>
              <w:pStyle w:val="null3"/>
              <w:ind w:firstLine="360"/>
            </w:pPr>
            <w:r>
              <w:rPr>
                <w:rFonts w:ascii="宋体" w:hAnsi="宋体" w:cs="宋体" w:eastAsia="宋体"/>
                <w:sz w:val="18"/>
              </w:rPr>
              <w:t>5.1 全中文操作软件：全中文操作界面；</w:t>
            </w:r>
          </w:p>
          <w:p>
            <w:pPr>
              <w:pStyle w:val="null3"/>
              <w:ind w:firstLine="360"/>
            </w:pPr>
            <w:r>
              <w:rPr>
                <w:rFonts w:ascii="宋体" w:hAnsi="宋体" w:cs="宋体" w:eastAsia="宋体"/>
                <w:sz w:val="18"/>
              </w:rPr>
              <w:t>5.2 多部位集成报告软件：将多部位的检测结果打印在一张报告上进行联合评估（提供报告单证明）；</w:t>
            </w:r>
          </w:p>
          <w:p>
            <w:pPr>
              <w:pStyle w:val="null3"/>
              <w:ind w:firstLine="360"/>
            </w:pPr>
            <w:r>
              <w:rPr>
                <w:rFonts w:ascii="宋体" w:hAnsi="宋体" w:cs="宋体" w:eastAsia="宋体"/>
                <w:sz w:val="18"/>
              </w:rPr>
              <w:t>5.3 报告软件：生成图像及数据报告，支持报告编辑书写；</w:t>
            </w:r>
          </w:p>
          <w:p>
            <w:pPr>
              <w:pStyle w:val="null3"/>
              <w:ind w:firstLine="360"/>
            </w:pPr>
            <w:r>
              <w:rPr>
                <w:rFonts w:ascii="宋体" w:hAnsi="宋体" w:cs="宋体" w:eastAsia="宋体"/>
                <w:sz w:val="18"/>
              </w:rPr>
              <w:t>5.4 人种数据库：中国人, 非洲人, 欧洲人, 中东人;</w:t>
            </w:r>
          </w:p>
          <w:p>
            <w:pPr>
              <w:pStyle w:val="null3"/>
              <w:ind w:firstLine="360"/>
            </w:pPr>
            <w:r>
              <w:rPr>
                <w:rFonts w:ascii="宋体" w:hAnsi="宋体" w:cs="宋体" w:eastAsia="宋体"/>
                <w:sz w:val="18"/>
              </w:rPr>
              <w:t>5.5 具备自动确定骨边缘软件,自动区分ROI（感兴趣区域）;</w:t>
            </w:r>
          </w:p>
          <w:p>
            <w:pPr>
              <w:pStyle w:val="null3"/>
              <w:ind w:firstLine="360"/>
            </w:pPr>
            <w:r>
              <w:rPr>
                <w:rFonts w:ascii="宋体" w:hAnsi="宋体" w:cs="宋体" w:eastAsia="宋体"/>
                <w:sz w:val="18"/>
              </w:rPr>
              <w:t>5.6 具备扫描部位实时调整功能,通过软件在屏幕上对扫描部位做精细调整，保证测量的精确性;</w:t>
            </w:r>
          </w:p>
          <w:p>
            <w:pPr>
              <w:pStyle w:val="null3"/>
              <w:ind w:firstLine="360"/>
            </w:pPr>
            <w:r>
              <w:rPr>
                <w:rFonts w:ascii="宋体" w:hAnsi="宋体" w:cs="宋体" w:eastAsia="宋体"/>
                <w:sz w:val="18"/>
              </w:rPr>
              <w:t>5.7 具备检测结果趋势分析功能;</w:t>
            </w:r>
          </w:p>
          <w:p>
            <w:pPr>
              <w:pStyle w:val="null3"/>
              <w:ind w:firstLine="360"/>
            </w:pPr>
            <w:r>
              <w:rPr>
                <w:rFonts w:ascii="宋体" w:hAnsi="宋体" w:cs="宋体" w:eastAsia="宋体"/>
                <w:sz w:val="18"/>
              </w:rPr>
              <w:t>5.8 具备支持Dicom3.0传输;</w:t>
            </w:r>
          </w:p>
          <w:p>
            <w:pPr>
              <w:pStyle w:val="null3"/>
              <w:ind w:firstLine="360"/>
            </w:pPr>
            <w:r>
              <w:rPr>
                <w:rFonts w:ascii="宋体" w:hAnsi="宋体" w:cs="宋体" w:eastAsia="宋体"/>
                <w:sz w:val="18"/>
              </w:rPr>
              <w:t>5.9 数据可发送至PACS系统:DICOM3.0 开放式接口；可与 PACS 连接。</w:t>
            </w:r>
          </w:p>
          <w:p>
            <w:pPr>
              <w:pStyle w:val="null3"/>
            </w:pPr>
            <w:r>
              <w:rPr>
                <w:rFonts w:ascii="宋体" w:hAnsi="宋体" w:cs="宋体" w:eastAsia="宋体"/>
                <w:sz w:val="18"/>
                <w:b/>
              </w:rPr>
              <w:t>6 临床应用功能</w:t>
            </w:r>
          </w:p>
          <w:p>
            <w:pPr>
              <w:pStyle w:val="null3"/>
              <w:ind w:firstLine="360"/>
            </w:pPr>
            <w:r>
              <w:rPr>
                <w:rFonts w:ascii="宋体" w:hAnsi="宋体" w:cs="宋体" w:eastAsia="宋体"/>
                <w:sz w:val="18"/>
              </w:rPr>
              <w:t>6.1 具有全身评估&amp;人体成分分析;</w:t>
            </w:r>
          </w:p>
          <w:p>
            <w:pPr>
              <w:pStyle w:val="null3"/>
              <w:ind w:firstLine="360"/>
            </w:pPr>
            <w:r>
              <w:rPr>
                <w:rFonts w:ascii="宋体" w:hAnsi="宋体" w:cs="宋体" w:eastAsia="宋体"/>
                <w:sz w:val="18"/>
              </w:rPr>
              <w:t>身体成分的颜色编码和绘图，脂肪含量、软组织、肌肉、脂肪百分比等，提供报告单证明</w:t>
            </w:r>
            <w:r>
              <w:rPr>
                <w:rFonts w:ascii="宋体" w:hAnsi="宋体" w:cs="宋体" w:eastAsia="宋体"/>
                <w:sz w:val="18"/>
              </w:rPr>
              <w:t>;</w:t>
            </w:r>
          </w:p>
          <w:p>
            <w:pPr>
              <w:pStyle w:val="null3"/>
              <w:ind w:firstLine="360"/>
            </w:pPr>
            <w:r>
              <w:rPr>
                <w:rFonts w:ascii="宋体" w:hAnsi="宋体" w:cs="宋体" w:eastAsia="宋体"/>
                <w:sz w:val="18"/>
              </w:rPr>
              <w:t>6.2 腰椎评估:正位腰椎测量及评估;</w:t>
            </w:r>
          </w:p>
          <w:p>
            <w:pPr>
              <w:pStyle w:val="null3"/>
              <w:ind w:firstLine="360"/>
            </w:pPr>
            <w:r>
              <w:rPr>
                <w:rFonts w:ascii="宋体" w:hAnsi="宋体" w:cs="宋体" w:eastAsia="宋体"/>
                <w:sz w:val="18"/>
              </w:rPr>
              <w:t>6.3 股骨评估:双侧股骨测量及评估;</w:t>
            </w:r>
          </w:p>
          <w:p>
            <w:pPr>
              <w:pStyle w:val="null3"/>
              <w:ind w:firstLine="360"/>
            </w:pPr>
            <w:r>
              <w:rPr>
                <w:rFonts w:ascii="宋体" w:hAnsi="宋体" w:cs="宋体" w:eastAsia="宋体"/>
                <w:sz w:val="18"/>
              </w:rPr>
              <w:t>6.4 前臂评估:前臂测量及评估 ；</w:t>
            </w:r>
          </w:p>
          <w:p>
            <w:pPr>
              <w:pStyle w:val="null3"/>
              <w:ind w:firstLine="360"/>
            </w:pPr>
            <w:r>
              <w:rPr>
                <w:rFonts w:ascii="宋体" w:hAnsi="宋体" w:cs="宋体" w:eastAsia="宋体"/>
                <w:sz w:val="18"/>
              </w:rPr>
              <w:t>6.5 髋关节具有扩展Gruen区域分析：髋关节具有扩展Gruen区域分析，区数：≥16个；</w:t>
            </w:r>
          </w:p>
          <w:p>
            <w:pPr>
              <w:pStyle w:val="null3"/>
              <w:ind w:firstLine="360"/>
            </w:pPr>
            <w:r>
              <w:rPr>
                <w:rFonts w:ascii="宋体" w:hAnsi="宋体" w:cs="宋体" w:eastAsia="宋体"/>
                <w:sz w:val="18"/>
              </w:rPr>
              <w:t>6.6 智能优化模式：去除假体、金属紧固件和其他构件对人体骨密度测量影响；</w:t>
            </w:r>
          </w:p>
          <w:p>
            <w:pPr>
              <w:pStyle w:val="null3"/>
              <w:ind w:firstLine="360"/>
            </w:pPr>
            <w:r>
              <w:rPr>
                <w:rFonts w:ascii="宋体" w:hAnsi="宋体" w:cs="宋体" w:eastAsia="宋体"/>
                <w:sz w:val="18"/>
              </w:rPr>
              <w:t>6.7 多部位自动化连扫：一次定位即可测定腰椎，双侧股骨；</w:t>
            </w:r>
          </w:p>
          <w:p>
            <w:pPr>
              <w:pStyle w:val="null3"/>
              <w:ind w:firstLine="360"/>
            </w:pPr>
            <w:r>
              <w:rPr>
                <w:rFonts w:ascii="宋体" w:hAnsi="宋体" w:cs="宋体" w:eastAsia="宋体"/>
                <w:sz w:val="18"/>
              </w:rPr>
              <w:t>6.8 FRAX骨折风险评估分析软件：FRAX骨折风险评估分析软件（提供软件界面证明）。</w:t>
            </w:r>
          </w:p>
          <w:p>
            <w:pPr>
              <w:pStyle w:val="null3"/>
            </w:pPr>
            <w:r>
              <w:rPr>
                <w:rFonts w:ascii="宋体" w:hAnsi="宋体" w:cs="宋体" w:eastAsia="宋体"/>
                <w:sz w:val="18"/>
                <w:b/>
              </w:rPr>
              <w:t>7 辐射剂量</w:t>
            </w:r>
          </w:p>
          <w:p>
            <w:pPr>
              <w:pStyle w:val="null3"/>
              <w:ind w:firstLine="360"/>
            </w:pPr>
            <w:r>
              <w:rPr>
                <w:rFonts w:ascii="宋体" w:hAnsi="宋体" w:cs="宋体" w:eastAsia="宋体"/>
                <w:sz w:val="18"/>
              </w:rPr>
              <w:t>7.1 腰椎扫描放射剂量：≤12μGy/s；</w:t>
            </w:r>
          </w:p>
          <w:p>
            <w:pPr>
              <w:pStyle w:val="null3"/>
              <w:ind w:firstLine="360"/>
            </w:pPr>
            <w:r>
              <w:rPr>
                <w:rFonts w:ascii="宋体" w:hAnsi="宋体" w:cs="宋体" w:eastAsia="宋体"/>
                <w:sz w:val="18"/>
              </w:rPr>
              <w:t>7.2 散射剂量（外溢剂量）距扫描床1米处外溢剂量：≤0.4μSv/hr；</w:t>
            </w:r>
          </w:p>
          <w:p>
            <w:pPr>
              <w:pStyle w:val="null3"/>
            </w:pPr>
            <w:r>
              <w:rPr>
                <w:rFonts w:ascii="宋体" w:hAnsi="宋体" w:cs="宋体" w:eastAsia="宋体"/>
                <w:sz w:val="18"/>
                <w:b/>
              </w:rPr>
              <w:t>8 工作站</w:t>
            </w:r>
            <w:r>
              <w:rPr/>
              <w:t xml:space="preserve"> </w:t>
            </w:r>
            <w:r>
              <w:rPr>
                <w:rFonts w:ascii="宋体" w:hAnsi="宋体" w:cs="宋体" w:eastAsia="宋体"/>
                <w:sz w:val="18"/>
                <w:b/>
              </w:rPr>
              <w:t>电脑主机及全中文操作平台软件及全中文报告集成软件</w:t>
            </w:r>
            <w:r>
              <w:rPr>
                <w:rFonts w:ascii="宋体" w:hAnsi="宋体" w:cs="宋体" w:eastAsia="宋体"/>
                <w:sz w:val="18"/>
                <w:b/>
              </w:rPr>
              <w:t>1套</w:t>
            </w:r>
          </w:p>
          <w:p>
            <w:pPr>
              <w:pStyle w:val="null3"/>
              <w:ind w:firstLine="360"/>
            </w:pPr>
            <w:r>
              <w:rPr>
                <w:rFonts w:ascii="宋体" w:hAnsi="宋体" w:cs="宋体" w:eastAsia="宋体"/>
                <w:sz w:val="18"/>
              </w:rPr>
              <w:t>8.1 CPU类型：Intel  主频：≥2.8GHZ；</w:t>
            </w:r>
          </w:p>
          <w:p>
            <w:pPr>
              <w:pStyle w:val="null3"/>
              <w:ind w:firstLine="360"/>
            </w:pPr>
            <w:r>
              <w:rPr>
                <w:rFonts w:ascii="宋体" w:hAnsi="宋体" w:cs="宋体" w:eastAsia="宋体"/>
                <w:sz w:val="18"/>
              </w:rPr>
              <w:t>8.2 内存：≥4G；</w:t>
            </w:r>
          </w:p>
          <w:p>
            <w:pPr>
              <w:pStyle w:val="null3"/>
              <w:ind w:firstLine="360"/>
            </w:pPr>
            <w:r>
              <w:rPr>
                <w:rFonts w:ascii="宋体" w:hAnsi="宋体" w:cs="宋体" w:eastAsia="宋体"/>
                <w:sz w:val="18"/>
              </w:rPr>
              <w:t>8.3 硬盘：≥500GB；</w:t>
            </w:r>
          </w:p>
          <w:p>
            <w:pPr>
              <w:pStyle w:val="null3"/>
              <w:ind w:firstLine="360"/>
            </w:pPr>
            <w:r>
              <w:rPr>
                <w:rFonts w:ascii="宋体" w:hAnsi="宋体" w:cs="宋体" w:eastAsia="宋体"/>
                <w:sz w:val="18"/>
              </w:rPr>
              <w:t>8.4 显示器：≥19″液晶显示器；</w:t>
            </w:r>
          </w:p>
          <w:p>
            <w:pPr>
              <w:pStyle w:val="null3"/>
              <w:ind w:firstLine="360"/>
            </w:pPr>
            <w:r>
              <w:rPr>
                <w:rFonts w:ascii="宋体" w:hAnsi="宋体" w:cs="宋体" w:eastAsia="宋体"/>
                <w:sz w:val="18"/>
              </w:rPr>
              <w:t>8.5 彩色激光打印机一台。</w:t>
            </w:r>
          </w:p>
          <w:p>
            <w:pPr>
              <w:pStyle w:val="null3"/>
            </w:pPr>
            <w:r>
              <w:rPr>
                <w:rFonts w:ascii="宋体" w:hAnsi="宋体" w:cs="宋体" w:eastAsia="宋体"/>
                <w:sz w:val="18"/>
                <w:b/>
              </w:rPr>
              <w:t>9 网络</w:t>
            </w:r>
          </w:p>
          <w:p>
            <w:pPr>
              <w:pStyle w:val="null3"/>
              <w:ind w:firstLine="360"/>
            </w:pPr>
            <w:r>
              <w:rPr>
                <w:rFonts w:ascii="宋体" w:hAnsi="宋体" w:cs="宋体" w:eastAsia="宋体"/>
                <w:sz w:val="18"/>
              </w:rPr>
              <w:t>9.1 开放DICOM3.0格式；</w:t>
            </w:r>
          </w:p>
          <w:p>
            <w:pPr>
              <w:pStyle w:val="null3"/>
              <w:ind w:firstLine="360"/>
            </w:pPr>
            <w:r>
              <w:rPr>
                <w:rFonts w:ascii="宋体" w:hAnsi="宋体" w:cs="宋体" w:eastAsia="宋体"/>
                <w:sz w:val="18"/>
              </w:rPr>
              <w:t>9.2 提供DICOM打印服务软件；</w:t>
            </w:r>
          </w:p>
          <w:p>
            <w:pPr>
              <w:pStyle w:val="null3"/>
              <w:ind w:firstLine="360"/>
            </w:pPr>
            <w:r>
              <w:rPr>
                <w:rFonts w:ascii="宋体" w:hAnsi="宋体" w:cs="宋体" w:eastAsia="宋体"/>
                <w:sz w:val="18"/>
              </w:rPr>
              <w:t>9.3 提供DICOM存储服务类软件；</w:t>
            </w:r>
          </w:p>
          <w:p>
            <w:pPr>
              <w:pStyle w:val="null3"/>
              <w:ind w:firstLine="360"/>
            </w:pPr>
            <w:r>
              <w:rPr>
                <w:rFonts w:ascii="宋体" w:hAnsi="宋体" w:cs="宋体" w:eastAsia="宋体"/>
                <w:sz w:val="18"/>
              </w:rPr>
              <w:t>9.4 提供DICOM Worklist 工作清单管理软件。</w:t>
            </w:r>
          </w:p>
          <w:p>
            <w:pPr>
              <w:pStyle w:val="null3"/>
              <w:jc w:val="both"/>
            </w:pPr>
            <w:r>
              <w:rPr>
                <w:rFonts w:ascii="宋体" w:hAnsi="宋体" w:cs="宋体" w:eastAsia="宋体"/>
                <w:sz w:val="18"/>
                <w:b/>
              </w:rPr>
              <w:t>10 辅助定位器：辅助定位器1个</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3.扫描</w:t>
            </w:r>
          </w:p>
          <w:p>
            <w:pPr>
              <w:pStyle w:val="null3"/>
            </w:pPr>
            <w:r>
              <w:rPr>
                <w:rFonts w:ascii="宋体" w:hAnsi="宋体" w:cs="宋体" w:eastAsia="宋体"/>
                <w:sz w:val="18"/>
              </w:rPr>
              <w:t>▲3.3 扫描臂横向运动范围：≥1900mm；</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自合同签订之日起30日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货物全部运到甲方指定地方，安装完毕并经终验合格后，甲方收到发票</w:t>
      </w:r>
      <w:r>
        <w:rPr/>
        <w:t xml:space="preserve"> ，达到付款条件起 </w:t>
      </w:r>
      <w:r>
        <w:rPr/>
        <w:t>10</w:t>
      </w:r>
      <w:r>
        <w:rPr/>
        <w:t xml:space="preserve"> 日内，支付合同总金额的 </w:t>
      </w:r>
      <w:r>
        <w:rPr/>
        <w:t>90.00</w:t>
      </w:r>
      <w:r>
        <w:rPr/>
        <w:t>%。</w:t>
      </w:r>
    </w:p>
    <w:p>
      <w:pPr>
        <w:pStyle w:val="null3"/>
      </w:pPr>
      <w:r>
        <w:rPr/>
        <w:t>采购包1：</w:t>
      </w:r>
      <w:r>
        <w:rPr/>
        <w:t xml:space="preserve"> 付款条件说明： </w:t>
      </w:r>
      <w:r>
        <w:rPr/>
        <w:t>安装完毕并经终验合格后90日内</w:t>
      </w:r>
      <w:r>
        <w:rPr/>
        <w:t xml:space="preserve"> ，达到付款条件起 </w:t>
      </w:r>
      <w:r>
        <w:rPr/>
        <w:t>10</w:t>
      </w:r>
      <w:r>
        <w:rPr/>
        <w:t xml:space="preserve"> 日内，支付合同总金额的 </w:t>
      </w:r>
      <w:r>
        <w:rPr/>
        <w:t>10.00</w:t>
      </w:r>
      <w:r>
        <w:rPr/>
        <w:t>%。</w:t>
      </w:r>
    </w:p>
    <w:p>
      <w:pPr>
        <w:pStyle w:val="null3"/>
        <w:outlineLvl w:val="3"/>
      </w:pPr>
      <w:r>
        <w:rPr>
          <w:sz w:val="24"/>
          <w:b/>
        </w:rPr>
        <w:t>3.4.5验收标准和方法</w:t>
      </w:r>
    </w:p>
    <w:p>
      <w:pPr>
        <w:pStyle w:val="null3"/>
      </w:pPr>
      <w:r>
        <w:rPr/>
        <w:t>采购包1：</w:t>
      </w:r>
    </w:p>
    <w:p>
      <w:pPr>
        <w:pStyle w:val="null3"/>
      </w:pPr>
      <w:r>
        <w:rPr/>
        <w:t>根据招标文件要求、投标文件及合同约定执行。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自验收合格之日起，原厂质保3年。设备终身维修，软件终身免费使用及升级，提供永久的技术咨询、服务和备品备件。 （二）保修期内若主要配件故障，更换后配件的保修期从更换之日起重新计算。 （三）保修期过后只收取配件费用，免服务费，列出超出质保期后不同年限的主要配件的保修价格。 （四）维修响应时间：乙方接到故障报告后在 1 小时内响应， 24 小时内到达现场，提供备用机。 （五）乙方对甲方购买的设备至少每半年进行一次免费维护保养，并提供维护保养记录。</w:t>
      </w:r>
    </w:p>
    <w:p>
      <w:pPr>
        <w:pStyle w:val="null3"/>
        <w:outlineLvl w:val="3"/>
      </w:pPr>
      <w:r>
        <w:rPr>
          <w:sz w:val="24"/>
          <w:b/>
        </w:rPr>
        <w:t>3.4.8违约责任与解决争议的方法</w:t>
      </w:r>
    </w:p>
    <w:p>
      <w:pPr>
        <w:pStyle w:val="null3"/>
      </w:pPr>
      <w:r>
        <w:rPr/>
        <w:t>采购包1：</w:t>
      </w:r>
    </w:p>
    <w:p>
      <w:pPr>
        <w:pStyle w:val="null3"/>
      </w:pPr>
      <w:r>
        <w:rPr/>
        <w:t>（一）违约责任1.甲乙双方必须遵守本合同并执行合同中的各项规定，保证本合同的正常履行。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二）争议解决1.在执行本合同中发生的或与本合同有关的争端，双方应通过友好协商解决，经协商在XX 天内不能达成协议时，则采取以下第1种方式解决争议： （1）向甲方所在地有管辖权的人民法院提起诉讼； （2）向/ 仲裁委员会按其仲裁规则申请仲裁。2.在仲裁期间，本合同应继续履行。</w:t>
      </w:r>
    </w:p>
    <w:p>
      <w:pPr>
        <w:pStyle w:val="null3"/>
        <w:jc w:val="left"/>
        <w:outlineLvl w:val="2"/>
      </w:pPr>
      <w:r>
        <w:rPr>
          <w:sz w:val="28"/>
          <w:b/>
        </w:rPr>
        <w:t>3.5其他要求</w:t>
      </w:r>
    </w:p>
    <w:p>
      <w:pPr>
        <w:pStyle w:val="null3"/>
      </w:pPr>
      <w:r>
        <w:rPr/>
        <w:t>（1）中标人在领取中标通知书时须提供一套正本一套副本纸质投标文件，两套电子文件（光盘），应通过专用制作软件直接打印，确保与电子投标文件保持一致，不得修改和补充。</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（1）投标人的营业执照等证明文件，自然人的身份证明； （2）法定代表人（单位负责人）参加投标的，提供本人身份证复印件并出示身份证原件；法定代表人（单位负责人）授权他人参加投标的，提供法定代表人委托授权书并出示被授权代表的身份证原件； （3）财务状况报告：提供2023年度经审计的投标人财务会计报告或者基本账户开户银行出具的资信证明，投标人成立不到1年的，可提供企业任意时段财务报表； （4）税收缴纳证明：提供投标人自投标前6个月以来已缴纳任意时段完税凭证或税务机关开具的完税证明（任意税种）；依法免税的应提供相关文件证明； （5）社会保障资金缴纳证明：提供投标人自投标前6个月以来已缴存的任意时段的社会保障资金缴存单据或社保机构开具的社会保险参保缴费情况证明；依法不需要缴纳社会保障资金的投标人应提供相关文件证明； （6）投标人提供具备履行合同所必需的设备和专业技术能力的承诺函； （7）投标人参加本次采购前3年内，在经营活动中没有重大违法记录的书面声明。 供应商需在项目电子化交易系统中按要求填写《投标函》完成承诺并进行电子签章。</w:t>
            </w:r>
          </w:p>
        </w:tc>
        <w:tc>
          <w:tcPr>
            <w:tcW w:type="dxa" w:w="1661"/>
          </w:tcPr>
          <w:p>
            <w:pPr>
              <w:pStyle w:val="null3"/>
            </w:pPr>
            <w:r>
              <w:rPr/>
              <w:t>资格证明文件 投标函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投标人财务会计报告或者基本账户开户银行出具的资信证明，投标人成立不到1年的，可提供企业任意时段财务报表，供应商需在项目电子化交易系统中按要求上传相应证明文件并进行电子签章。</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投标人资格要求</w:t>
            </w:r>
          </w:p>
        </w:tc>
        <w:tc>
          <w:tcPr>
            <w:tcW w:type="dxa" w:w="3322"/>
          </w:tcPr>
          <w:p>
            <w:pPr>
              <w:pStyle w:val="null3"/>
            </w:pPr>
            <w:r>
              <w:rPr/>
              <w:t>投标人为制造厂家的应出具医疗器械生产许可证（提供的设备须在其生产范围内）和所投设备医疗器械注册证；投标人为经销商的应出具医疗器械经营许可证或《第二类医疗器械经营备案凭证》（提供的设备须在其经营范围内）和所投产品《医疗器械注册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投标人资格要求</w:t>
            </w:r>
          </w:p>
        </w:tc>
        <w:tc>
          <w:tcPr>
            <w:tcW w:type="dxa" w:w="3322"/>
          </w:tcPr>
          <w:p>
            <w:pPr>
              <w:pStyle w:val="null3"/>
            </w:pPr>
            <w:r>
              <w:rPr/>
              <w:t>投标保证金缴纳凭证</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投标人信用要求</w:t>
            </w:r>
          </w:p>
        </w:tc>
        <w:tc>
          <w:tcPr>
            <w:tcW w:type="dxa" w:w="3322"/>
          </w:tcPr>
          <w:p>
            <w:pPr>
              <w:pStyle w:val="null3"/>
            </w:pPr>
            <w:r>
              <w:rPr/>
              <w:t>截止至投标文件递交截止时间之前，投标人不得在“信用中国”网站（www.creditchina.gov.cn）中被列入严重失信主体名单查询、未在“中国执行信息公开网”（http：/zxgk.court.gov.cn/shixin/）中被列入失信被执行人、“中国政府采购网(www.ccgp.gov.cn)” 不得被列入政府采购严重违法失信行为记录名单；</w:t>
            </w:r>
          </w:p>
        </w:tc>
        <w:tc>
          <w:tcPr>
            <w:tcW w:type="dxa" w:w="1661"/>
          </w:tcPr>
          <w:p>
            <w:pPr>
              <w:pStyle w:val="null3"/>
            </w:pPr>
            <w:r>
              <w:rPr/>
              <w:t>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投标人名称是否与营业执照、资质证书一致</w:t>
            </w:r>
          </w:p>
        </w:tc>
        <w:tc>
          <w:tcPr>
            <w:tcW w:type="dxa" w:w="3322"/>
          </w:tcPr>
          <w:p>
            <w:pPr>
              <w:pStyle w:val="null3"/>
            </w:pPr>
            <w:r>
              <w:rPr/>
              <w:t>投标人名称与营业执照、资质证书一致</w:t>
            </w:r>
          </w:p>
        </w:tc>
        <w:tc>
          <w:tcPr>
            <w:tcW w:type="dxa" w:w="1661"/>
          </w:tcPr>
          <w:p>
            <w:pPr>
              <w:pStyle w:val="null3"/>
            </w:pPr>
            <w:r>
              <w:rPr/>
              <w:t>资格证明文件 投标文件封面 投标人应提交的相关资格证明材料</w:t>
            </w:r>
          </w:p>
        </w:tc>
      </w:tr>
      <w:tr>
        <w:tc>
          <w:tcPr>
            <w:tcW w:type="dxa" w:w="831"/>
          </w:tcPr>
          <w:p>
            <w:pPr>
              <w:pStyle w:val="null3"/>
            </w:pPr>
            <w:r>
              <w:rPr/>
              <w:t>3</w:t>
            </w:r>
          </w:p>
        </w:tc>
        <w:tc>
          <w:tcPr>
            <w:tcW w:type="dxa" w:w="2492"/>
          </w:tcPr>
          <w:p>
            <w:pPr>
              <w:pStyle w:val="null3"/>
            </w:pPr>
            <w:r>
              <w:rPr/>
              <w:t>投标报价是否超过预算或最高限价</w:t>
            </w:r>
          </w:p>
        </w:tc>
        <w:tc>
          <w:tcPr>
            <w:tcW w:type="dxa" w:w="3322"/>
          </w:tcPr>
          <w:p>
            <w:pPr>
              <w:pStyle w:val="null3"/>
            </w:pPr>
            <w:r>
              <w:rPr/>
              <w:t>投标报价未超过预算或最高限价</w:t>
            </w:r>
          </w:p>
        </w:tc>
        <w:tc>
          <w:tcPr>
            <w:tcW w:type="dxa" w:w="1661"/>
          </w:tcPr>
          <w:p>
            <w:pPr>
              <w:pStyle w:val="null3"/>
            </w:pPr>
            <w:r>
              <w:rPr/>
              <w:t>开标一览表</w:t>
            </w:r>
          </w:p>
        </w:tc>
      </w:tr>
      <w:tr>
        <w:tc>
          <w:tcPr>
            <w:tcW w:type="dxa" w:w="831"/>
          </w:tcPr>
          <w:p>
            <w:pPr>
              <w:pStyle w:val="null3"/>
            </w:pPr>
            <w:r>
              <w:rPr/>
              <w:t>4</w:t>
            </w:r>
          </w:p>
        </w:tc>
        <w:tc>
          <w:tcPr>
            <w:tcW w:type="dxa" w:w="2492"/>
          </w:tcPr>
          <w:p>
            <w:pPr>
              <w:pStyle w:val="null3"/>
            </w:pPr>
            <w:r>
              <w:rPr/>
              <w:t>投标文件有效期</w:t>
            </w:r>
          </w:p>
        </w:tc>
        <w:tc>
          <w:tcPr>
            <w:tcW w:type="dxa" w:w="3322"/>
          </w:tcPr>
          <w:p>
            <w:pPr>
              <w:pStyle w:val="null3"/>
            </w:pPr>
            <w:r>
              <w:rPr/>
              <w:t>均符合招标文件要求</w:t>
            </w:r>
          </w:p>
        </w:tc>
        <w:tc>
          <w:tcPr>
            <w:tcW w:type="dxa" w:w="1661"/>
          </w:tcPr>
          <w:p>
            <w:pPr>
              <w:pStyle w:val="null3"/>
            </w:pPr>
            <w:r>
              <w:rPr/>
              <w:t>投标函</w:t>
            </w:r>
          </w:p>
        </w:tc>
      </w:tr>
      <w:tr>
        <w:tc>
          <w:tcPr>
            <w:tcW w:type="dxa" w:w="831"/>
          </w:tcPr>
          <w:p>
            <w:pPr>
              <w:pStyle w:val="null3"/>
            </w:pPr>
            <w:r>
              <w:rPr/>
              <w:t>5</w:t>
            </w:r>
          </w:p>
        </w:tc>
        <w:tc>
          <w:tcPr>
            <w:tcW w:type="dxa" w:w="2492"/>
          </w:tcPr>
          <w:p>
            <w:pPr>
              <w:pStyle w:val="null3"/>
            </w:pPr>
            <w:r>
              <w:rPr/>
              <w:t>所投内容是否完整</w:t>
            </w:r>
          </w:p>
        </w:tc>
        <w:tc>
          <w:tcPr>
            <w:tcW w:type="dxa" w:w="3322"/>
          </w:tcPr>
          <w:p>
            <w:pPr>
              <w:pStyle w:val="null3"/>
            </w:pPr>
            <w:r>
              <w:rPr/>
              <w:t>所投内容完整</w:t>
            </w:r>
          </w:p>
        </w:tc>
        <w:tc>
          <w:tcPr>
            <w:tcW w:type="dxa" w:w="1661"/>
          </w:tcPr>
          <w:p>
            <w:pPr>
              <w:pStyle w:val="null3"/>
            </w:pPr>
            <w:r>
              <w:rPr/>
              <w:t>产品技术参数表 商务应答表 投标文件封面</w:t>
            </w:r>
          </w:p>
        </w:tc>
      </w:tr>
      <w:tr>
        <w:tc>
          <w:tcPr>
            <w:tcW w:type="dxa" w:w="831"/>
          </w:tcPr>
          <w:p>
            <w:pPr>
              <w:pStyle w:val="null3"/>
            </w:pPr>
            <w:r>
              <w:rPr/>
              <w:t>6</w:t>
            </w:r>
          </w:p>
        </w:tc>
        <w:tc>
          <w:tcPr>
            <w:tcW w:type="dxa" w:w="2492"/>
          </w:tcPr>
          <w:p>
            <w:pPr>
              <w:pStyle w:val="null3"/>
            </w:pPr>
            <w:r>
              <w:rPr/>
              <w:t>投标文件有效性</w:t>
            </w:r>
          </w:p>
        </w:tc>
        <w:tc>
          <w:tcPr>
            <w:tcW w:type="dxa" w:w="3322"/>
          </w:tcPr>
          <w:p>
            <w:pPr>
              <w:pStyle w:val="null3"/>
            </w:pPr>
            <w:r>
              <w:rPr/>
              <w:t>符合招标文件的要求</w:t>
            </w:r>
          </w:p>
        </w:tc>
        <w:tc>
          <w:tcPr>
            <w:tcW w:type="dxa" w:w="1661"/>
          </w:tcPr>
          <w:p>
            <w:pPr>
              <w:pStyle w:val="null3"/>
            </w:pPr>
            <w:r>
              <w:rPr/>
              <w:t>开标一览表 投标文件封面</w:t>
            </w:r>
          </w:p>
        </w:tc>
      </w:tr>
      <w:tr>
        <w:tc>
          <w:tcPr>
            <w:tcW w:type="dxa" w:w="831"/>
          </w:tcPr>
          <w:p>
            <w:pPr>
              <w:pStyle w:val="null3"/>
            </w:pPr>
            <w:r>
              <w:rPr/>
              <w:t>7</w:t>
            </w:r>
          </w:p>
        </w:tc>
        <w:tc>
          <w:tcPr>
            <w:tcW w:type="dxa" w:w="2492"/>
          </w:tcPr>
          <w:p>
            <w:pPr>
              <w:pStyle w:val="null3"/>
            </w:pPr>
            <w:r>
              <w:rPr/>
              <w:t>签字盖章是否满足招标文件要求</w:t>
            </w:r>
          </w:p>
        </w:tc>
        <w:tc>
          <w:tcPr>
            <w:tcW w:type="dxa" w:w="3322"/>
          </w:tcPr>
          <w:p>
            <w:pPr>
              <w:pStyle w:val="null3"/>
            </w:pPr>
            <w:r>
              <w:rPr/>
              <w:t>签字盖章均符合招标文件要求，且无遗漏</w:t>
            </w:r>
          </w:p>
        </w:tc>
        <w:tc>
          <w:tcPr>
            <w:tcW w:type="dxa" w:w="1661"/>
          </w:tcPr>
          <w:p>
            <w:pPr>
              <w:pStyle w:val="null3"/>
            </w:pPr>
            <w:r>
              <w:rPr/>
              <w:t>开标一览表 资格证明文件 投标文件封面 拒绝政府采购领域商业贿赂承诺书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详细评审65.0000分</w:t>
            </w:r>
          </w:p>
          <w:p>
            <w:pPr>
              <w:pStyle w:val="null3"/>
            </w:pPr>
            <w:r>
              <w:rPr/>
              <w:t>报价得分35.0000分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一、评审内容：所投设备（产品）技术参数。 二、评审标准：性能满足或优于招标文件要求，且稳定可靠，能够保证整体项目顺利实施，根据各投标人对其所投设备（产品）数量准确、规格进行描述，并提供生产厂家确认的、相应的功能证明材料（包括但不限于检测报告或测试报告或官网和功能截图等），描述无缺漏详细具体且证明材料完整。 三、赋分标准：全部满足得35分，每负偏离一项“▲”指标减3分，每负偏离一项非“▲”指标减1分，扣完为止。(正偏离不加分)。</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详细评审方案</w:t>
            </w:r>
          </w:p>
          <w:p>
            <w:pPr>
              <w:pStyle w:val="null3"/>
            </w:pPr>
            <w:r>
              <w:rPr/>
              <w:t>投标人认为需要提供的其他资料（若有）</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实施方案</w:t>
            </w:r>
          </w:p>
        </w:tc>
        <w:tc>
          <w:tcPr>
            <w:tcW w:type="dxa" w:w="2492"/>
          </w:tcPr>
          <w:p>
            <w:pPr>
              <w:pStyle w:val="null3"/>
            </w:pPr>
            <w:r>
              <w:rPr/>
              <w:t>一、评审内容：①针对本项目及使用单位实际需求提供详细具体可行的有针对性的实施方案；②由专业的技术人员提供设备（产品）安装服务，帮助使用单位将设备（产品）调试到最佳使用状态，保证项目的顺利运行。 二、评审标准：1、完整性：方案全面，对评审内容中的各项要求有详细描述；2、可实施性：切合本项目实际情况，实施步骤清晰，方法科学；3、针对性：方案能够紧扣项目实际情况，内容科学合理。 三、赋分标准：①针对本项目及使用单位实际需求提供详细具体可行的有针对性的实施方案：每完全满足一个评审标准得2分，满分6分； ②由专业的技术人员提供设备（产品）安装服务，帮助使用单位将设备（产品）调试到最佳使用状态，保证项目的顺利运行：每完全满足一个评审标准得2分，满分6分。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交货组织安排</w:t>
            </w:r>
          </w:p>
        </w:tc>
        <w:tc>
          <w:tcPr>
            <w:tcW w:type="dxa" w:w="2492"/>
          </w:tcPr>
          <w:p>
            <w:pPr>
              <w:pStyle w:val="null3"/>
            </w:pPr>
            <w:r>
              <w:rPr/>
              <w:t>一、评审内容：①投标人针对本项目有具体的交货组织安排，详细的人员、财力调配、运输、派送措施。 二、评审标准：1、完整性：方案全面，对评审内容中的各项要求有详细描述；2、可实施性：切合本项目实际情况，实施步骤清晰，方法科学；3、针对性：方案能够紧扣项目实际情况，内容科学合理。 三、赋分标准：①投标人针对本项目有具体的交货组织安排，详细的人员、财力调配、运输、派送措施：每完全满足一个评审标准得1分，满分3分。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培训方案</w:t>
            </w:r>
          </w:p>
        </w:tc>
        <w:tc>
          <w:tcPr>
            <w:tcW w:type="dxa" w:w="2492"/>
          </w:tcPr>
          <w:p>
            <w:pPr>
              <w:pStyle w:val="null3"/>
            </w:pPr>
            <w:r>
              <w:rPr/>
              <w:t>一、评审内容：①投标人提供的培训方案（包括但不限于培训人数、培训时间、培训及考核办法等），保证使用方能熟练操作。 二、评审标准：1、完整性：方案全面，对评审内容中的各项要求有详细描述；2、可实施性：切合本项目实际情况，实施步骤清晰，方法科学；3、针对性：方案能够紧扣项目实际情况，内容科学合理。 三、赋分标准：①投标人提供的培训方案（包括但不限于培训人数、培训时间、培训及考核办法等），保证使用方能熟练操作：每完全满足一个评审标准得1分，满分3分。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售后服务</w:t>
            </w:r>
          </w:p>
        </w:tc>
        <w:tc>
          <w:tcPr>
            <w:tcW w:type="dxa" w:w="2492"/>
          </w:tcPr>
          <w:p>
            <w:pPr>
              <w:pStyle w:val="null3"/>
            </w:pPr>
            <w:r>
              <w:rPr/>
              <w:t>一、评审内容：①售后服务机构健全，能够提供本地化服务；②具有相应的物力、人力保障，能够保证产、供、销，服务正常运转，有详细的在产品发生不同类型故障后的到达现场时间、解决故障时间、补救措施等方面的措施或方案，同时具有明确的承诺且符合实际需求。 二、评审标准：1、完整性：方案全面，对评审内容中的各项要求有详细描述；2、可实施性：切合本项目实际情况，实施步骤清晰，方法科学；3、针对性：方案能够紧扣项目实际情况，内容科学合理。 三、赋分标准：①售后服务机构健全，能够提供本地化服务：每完全满足一个评审标准得0.5分，满分1.5分。 ②具有相应的物力、人力保障，能够保证产、供、销，服务正常运转，有详细的在产品发生不同类型故障后的到达现场时间、解决故障时间、补救措施等方面的措施或方案，同时具有明确的承诺且符合实际需求：每完全满足一个评审标准得1.5分，满分4.5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详细评审方案</w:t>
            </w:r>
          </w:p>
          <w:p>
            <w:pPr>
              <w:pStyle w:val="null3"/>
            </w:pPr>
            <w:r>
              <w:rPr/>
              <w:t>投标人认为需要提供的其他资料（若有）</w:t>
            </w:r>
          </w:p>
        </w:tc>
      </w:tr>
      <w:tr>
        <w:tc>
          <w:tcPr>
            <w:tcW w:type="dxa" w:w="831"/>
            <w:vMerge/>
          </w:tcPr>
          <w:p/>
        </w:tc>
        <w:tc>
          <w:tcPr>
            <w:tcW w:type="dxa" w:w="1661"/>
          </w:tcPr>
          <w:p>
            <w:pPr>
              <w:pStyle w:val="null3"/>
            </w:pPr>
            <w:r>
              <w:rPr/>
              <w:t>业绩</w:t>
            </w:r>
          </w:p>
        </w:tc>
        <w:tc>
          <w:tcPr>
            <w:tcW w:type="dxa" w:w="2492"/>
          </w:tcPr>
          <w:p>
            <w:pPr>
              <w:pStyle w:val="null3"/>
            </w:pPr>
            <w:r>
              <w:rPr/>
              <w:t>提供自2021年1月1日至今的产品类似业绩（以制造商合同或销售商合同为准），每份业绩得2分，满分6分。未提供有效业绩的不得分。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价格分=(评标基准价／投标报价)×报价分值 注：1、计算分数时四舍五入取小数点后两位； 2、落实政府采购政策：参见投标人须知前附表。</w:t>
            </w:r>
          </w:p>
        </w:tc>
        <w:tc>
          <w:tcPr>
            <w:tcW w:type="dxa" w:w="831"/>
          </w:tcPr>
          <w:p>
            <w:pPr>
              <w:pStyle w:val="null3"/>
              <w:jc w:val="right"/>
            </w:pPr>
            <w:r>
              <w:rPr/>
              <w:t>35.0000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详见附件：分项报价表</w:t>
      </w:r>
    </w:p>
    <w:p>
      <w:pPr>
        <w:pStyle w:val="null3"/>
        <w:ind w:firstLine="960"/>
      </w:pPr>
      <w:r>
        <w:rPr/>
        <w:t>详见附件：资格证明文件</w:t>
      </w:r>
    </w:p>
    <w:p>
      <w:pPr>
        <w:pStyle w:val="null3"/>
        <w:ind w:firstLine="960"/>
      </w:pPr>
      <w:r>
        <w:rPr/>
        <w:t>详见附件：详细评审方案</w:t>
      </w:r>
    </w:p>
    <w:p>
      <w:pPr>
        <w:pStyle w:val="null3"/>
        <w:ind w:firstLine="960"/>
      </w:pPr>
      <w:r>
        <w:rPr/>
        <w:t>详见附件：业绩</w:t>
      </w:r>
    </w:p>
    <w:p>
      <w:pPr>
        <w:pStyle w:val="null3"/>
        <w:ind w:firstLine="960"/>
      </w:pPr>
      <w:r>
        <w:rPr/>
        <w:t>详见附件：拒绝政府采购领域商业贿赂承诺书</w:t>
      </w:r>
    </w:p>
    <w:p>
      <w:pPr>
        <w:pStyle w:val="null3"/>
        <w:ind w:firstLine="960"/>
      </w:pPr>
      <w:r>
        <w:rPr/>
        <w:t>详见附件：投标人认为需要提供的其他资料（若有）</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详见附件：陕西省中医医院双能X线骨密度仪采购项目拟签订的采购合同文本.docx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