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版本号：241219001</w:t>
      </w:r>
      <w:r>
        <w:br/>
      </w:r>
      <w:r>
        <w:br/>
      </w:r>
      <w:r>
        <w:br/>
      </w:r>
      <w:r>
        <w:br/>
      </w:r>
      <w:r>
        <w:br/>
      </w:r>
    </w:p>
    <w:p>
      <w:pPr>
        <w:pStyle w:val="null3"/>
        <w:jc w:val="center"/>
        <w:outlineLvl w:val="0"/>
      </w:pPr>
      <w:r>
        <w:rPr>
          <w:sz w:val="48"/>
          <w:b/>
        </w:rPr>
        <w:t>招 标 文 件</w:t>
      </w:r>
      <w:r>
        <w:br/>
      </w:r>
      <w:r>
        <w:br/>
      </w:r>
      <w:r>
        <w:br/>
      </w:r>
    </w:p>
    <w:p>
      <w:pPr>
        <w:pStyle w:val="null3"/>
        <w:jc w:val="center"/>
        <w:outlineLvl w:val="1"/>
      </w:pPr>
      <w:r>
        <w:rPr>
          <w:sz w:val="36"/>
          <w:b/>
        </w:rPr>
        <w:t>（货物类）</w:t>
      </w:r>
      <w:r>
        <w:br/>
      </w:r>
      <w:r>
        <w:br/>
      </w:r>
      <w:r>
        <w:br/>
      </w:r>
      <w:r>
        <w:br/>
      </w:r>
      <w:r>
        <w:br/>
      </w:r>
      <w:r>
        <w:br/>
      </w:r>
      <w:r>
        <w:br/>
      </w:r>
      <w:r>
        <w:br/>
      </w:r>
      <w:r>
        <w:br/>
      </w:r>
      <w:r>
        <w:br/>
      </w:r>
      <w:r>
        <w:br/>
      </w:r>
    </w:p>
    <w:p>
      <w:pPr>
        <w:pStyle w:val="null3"/>
        <w:jc w:val="center"/>
        <w:outlineLvl w:val="2"/>
      </w:pPr>
      <w:r>
        <w:rPr>
          <w:sz w:val="28"/>
          <w:b/>
        </w:rPr>
        <w:t>采购项目名称：</w:t>
      </w:r>
      <w:r>
        <w:rPr>
          <w:sz w:val="28"/>
          <w:b/>
        </w:rPr>
        <w:t>双梯度系统液相色谱仪采购(二次)</w:t>
      </w:r>
    </w:p>
    <w:p>
      <w:pPr>
        <w:pStyle w:val="null3"/>
        <w:jc w:val="center"/>
        <w:outlineLvl w:val="2"/>
      </w:pPr>
      <w:r>
        <w:rPr>
          <w:sz w:val="28"/>
          <w:b/>
        </w:rPr>
        <w:t>采购项目编号：</w:t>
      </w:r>
      <w:r>
        <w:rPr>
          <w:sz w:val="28"/>
          <w:b/>
        </w:rPr>
        <w:t>ZKGSF(ZB)-20242154.1B1</w:t>
      </w:r>
      <w:r>
        <w:br/>
      </w:r>
      <w:r>
        <w:br/>
      </w:r>
      <w:r>
        <w:br/>
      </w:r>
    </w:p>
    <w:p>
      <w:pPr>
        <w:pStyle w:val="null3"/>
        <w:jc w:val="center"/>
        <w:outlineLvl w:val="2"/>
      </w:pPr>
      <w:r>
        <w:rPr>
          <w:sz w:val="28"/>
          <w:b/>
        </w:rPr>
        <w:t>陕西省疾病预防控制中心</w:t>
      </w:r>
    </w:p>
    <w:p>
      <w:pPr>
        <w:pStyle w:val="null3"/>
        <w:jc w:val="center"/>
        <w:outlineLvl w:val="2"/>
      </w:pPr>
      <w:r>
        <w:rPr>
          <w:sz w:val="28"/>
          <w:b/>
        </w:rPr>
        <w:t>中科高盛咨询集团有限公司</w:t>
      </w:r>
      <w:r>
        <w:rPr>
          <w:sz w:val="28"/>
          <w:b/>
        </w:rPr>
        <w:t>共同编制</w:t>
      </w:r>
    </w:p>
    <w:p>
      <w:pPr>
        <w:pStyle w:val="null3"/>
        <w:jc w:val="center"/>
        <w:outlineLvl w:val="2"/>
      </w:pPr>
      <w:r>
        <w:rPr>
          <w:sz w:val="28"/>
          <w:b/>
        </w:rPr>
        <w:t>2024年12月19日</w:t>
      </w:r>
    </w:p>
    <w:p>
      <w:pPr>
        <w:pStyle w:val="null3"/>
      </w:pPr>
      <w:r>
        <w:rPr/>
        <w:t xml:space="preserve"> </w:t>
        <w:br/>
        <w:br w:type="page"/>
      </w:r>
    </w:p>
    <w:p>
      <w:pPr>
        <w:pStyle w:val="null3"/>
        <w:jc w:val="center"/>
        <w:outlineLvl w:val="1"/>
      </w:pPr>
      <w:r>
        <w:rPr>
          <w:sz w:val="36"/>
          <w:b/>
        </w:rPr>
        <w:t>第一章 投标邀请</w:t>
      </w:r>
    </w:p>
    <w:p>
      <w:pPr>
        <w:pStyle w:val="null3"/>
        <w:ind w:firstLine="480"/>
      </w:pPr>
      <w:r>
        <w:rPr/>
        <w:t>中科高盛咨询集团有限公司</w:t>
      </w:r>
      <w:r>
        <w:rPr/>
        <w:t>（以下简称“代理机构”）受</w:t>
      </w:r>
      <w:r>
        <w:rPr/>
        <w:t>陕西省疾病预防控制中心</w:t>
      </w:r>
      <w:r>
        <w:rPr/>
        <w:t>委托，拟对</w:t>
      </w:r>
      <w:r>
        <w:rPr/>
        <w:t>双梯度系统液相色谱仪采购(二次)</w:t>
      </w:r>
      <w:r>
        <w:rPr/>
        <w:t>进行国内公开招标，兹邀请符合本次招标要求的供应商参加投标。</w:t>
      </w:r>
    </w:p>
    <w:p>
      <w:pPr>
        <w:pStyle w:val="null3"/>
        <w:outlineLvl w:val="2"/>
      </w:pPr>
      <w:r>
        <w:rPr>
          <w:sz w:val="28"/>
          <w:b/>
        </w:rPr>
        <w:t>一、采购项目编号：</w:t>
      </w:r>
      <w:r>
        <w:rPr>
          <w:sz w:val="28"/>
          <w:b/>
        </w:rPr>
        <w:t>ZKGSF(ZB)-20242154.1B1</w:t>
      </w:r>
    </w:p>
    <w:p>
      <w:pPr>
        <w:pStyle w:val="null3"/>
        <w:outlineLvl w:val="2"/>
      </w:pPr>
      <w:r>
        <w:rPr>
          <w:sz w:val="28"/>
          <w:b/>
        </w:rPr>
        <w:t>二、采购项目名称：</w:t>
      </w:r>
      <w:r>
        <w:rPr>
          <w:sz w:val="28"/>
          <w:b/>
        </w:rPr>
        <w:t>双梯度系统液相色谱仪采购(二次)</w:t>
      </w:r>
    </w:p>
    <w:p>
      <w:pPr>
        <w:pStyle w:val="null3"/>
        <w:outlineLvl w:val="2"/>
      </w:pPr>
      <w:r>
        <w:rPr>
          <w:sz w:val="28"/>
          <w:b/>
        </w:rPr>
        <w:t>三、招标项目简介</w:t>
      </w:r>
    </w:p>
    <w:p>
      <w:pPr>
        <w:pStyle w:val="null3"/>
        <w:ind w:firstLine="480"/>
      </w:pPr>
      <w:r>
        <w:rPr/>
        <w:t>双梯度系统液相色谱仪采购</w:t>
      </w:r>
    </w:p>
    <w:p>
      <w:pPr>
        <w:pStyle w:val="null3"/>
        <w:outlineLvl w:val="2"/>
      </w:pPr>
      <w:r>
        <w:rPr>
          <w:sz w:val="28"/>
          <w:b/>
        </w:rPr>
        <w:t>四、供应商参加本次政府采购活动应具备的条件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1.执行政府采购促进中小企业发展的相关政策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1、法定代表人授权委托书：法定代表人授权书及授权代表身份证（法定代表人直接参加投标的须提供法定代表人证明及其身份证），非法人单位参照执行。</w:t>
      </w:r>
    </w:p>
    <w:p>
      <w:pPr>
        <w:pStyle w:val="null3"/>
      </w:pPr>
      <w:r>
        <w:rPr/>
        <w:t>2、信用记录：未被列入“信用中国”及“中国政府采购网”失信行为记录。</w:t>
      </w:r>
    </w:p>
    <w:p>
      <w:pPr>
        <w:pStyle w:val="null3"/>
      </w:pPr>
      <w:r>
        <w:rPr/>
        <w:t>3、企业资质：投标产品为进口的，提供投标产品的代理授权书（非制造商直接授权的，提供制造商对授权产品的完整授权链）</w:t>
      </w:r>
    </w:p>
    <w:p>
      <w:pPr>
        <w:pStyle w:val="null3"/>
        <w:outlineLvl w:val="2"/>
      </w:pPr>
      <w:r>
        <w:rPr>
          <w:sz w:val="28"/>
          <w:b/>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六、招标文件获取时间、方式及地址</w:t>
      </w:r>
    </w:p>
    <w:p>
      <w:pPr>
        <w:pStyle w:val="null3"/>
        <w:ind w:firstLine="480"/>
      </w:pPr>
      <w:r>
        <w:rPr/>
        <w:t>（一）招标文件获取时间：详见采购公告</w:t>
      </w:r>
    </w:p>
    <w:p>
      <w:pPr>
        <w:pStyle w:val="null3"/>
        <w:ind w:firstLine="480"/>
      </w:pPr>
      <w:r>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t>注：获取的招标文件主体格式包括pdf、word两种格式版本，其中以pdf格式为准。</w:t>
      </w:r>
    </w:p>
    <w:p>
      <w:pPr>
        <w:pStyle w:val="null3"/>
        <w:outlineLvl w:val="2"/>
      </w:pPr>
      <w:r>
        <w:rPr>
          <w:sz w:val="28"/>
          <w:b/>
        </w:rPr>
        <w:t>七、投标文件提交截止时间及开标时间、地点、方式</w:t>
      </w:r>
    </w:p>
    <w:p>
      <w:pPr>
        <w:pStyle w:val="null3"/>
        <w:ind w:firstLine="480"/>
      </w:pPr>
      <w:r>
        <w:rPr/>
        <w:t>（一）投标文件提交截止时间及开标时间：详见采购公告</w:t>
      </w:r>
    </w:p>
    <w:p>
      <w:pPr>
        <w:pStyle w:val="null3"/>
        <w:ind w:firstLine="480"/>
      </w:pPr>
      <w:r>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t>（三）本项目采取网上开标，即采购人或代理机构通过项目电子化交易系统“开标/开启大厅”组织在线开标。</w:t>
      </w:r>
    </w:p>
    <w:p>
      <w:pPr>
        <w:pStyle w:val="null3"/>
        <w:outlineLvl w:val="2"/>
      </w:pPr>
      <w:r>
        <w:rPr>
          <w:sz w:val="28"/>
          <w:b/>
        </w:rPr>
        <w:t>八、本投标邀请在陕西省政府采购网以公告形式发布</w:t>
      </w:r>
    </w:p>
    <w:p>
      <w:pPr>
        <w:pStyle w:val="null3"/>
        <w:outlineLvl w:val="2"/>
      </w:pPr>
      <w:r>
        <w:rPr>
          <w:sz w:val="28"/>
          <w:b/>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十、联系方式</w:t>
      </w:r>
    </w:p>
    <w:p>
      <w:pPr>
        <w:pStyle w:val="null3"/>
        <w:outlineLvl w:val="2"/>
      </w:pPr>
      <w:r>
        <w:rPr>
          <w:sz w:val="28"/>
          <w:b/>
        </w:rPr>
        <w:t xml:space="preserve">采购人： </w:t>
      </w:r>
      <w:r>
        <w:rPr>
          <w:sz w:val="28"/>
          <w:b/>
        </w:rPr>
        <w:t>陕西省疾病预防控制中心</w:t>
      </w:r>
    </w:p>
    <w:p>
      <w:pPr>
        <w:pStyle w:val="null3"/>
      </w:pPr>
      <w:r>
        <w:rPr/>
        <w:t xml:space="preserve"> 地址： </w:t>
      </w:r>
      <w:r>
        <w:rPr/>
        <w:t>陕西省西安市碑林区建东街98号</w:t>
      </w:r>
    </w:p>
    <w:p>
      <w:pPr>
        <w:pStyle w:val="null3"/>
      </w:pPr>
      <w:r>
        <w:rPr/>
        <w:t xml:space="preserve"> 邮编： </w:t>
      </w:r>
      <w:r>
        <w:rPr/>
        <w:t>710000</w:t>
      </w:r>
    </w:p>
    <w:p>
      <w:pPr>
        <w:pStyle w:val="null3"/>
      </w:pPr>
      <w:r>
        <w:rPr/>
        <w:t xml:space="preserve"> 联系人： </w:t>
      </w:r>
      <w:r>
        <w:rPr/>
        <w:t>宋斌</w:t>
      </w:r>
    </w:p>
    <w:p>
      <w:pPr>
        <w:pStyle w:val="null3"/>
      </w:pPr>
      <w:r>
        <w:rPr/>
        <w:t xml:space="preserve"> 联系电话： </w:t>
      </w:r>
      <w:r>
        <w:rPr/>
        <w:t>029-82475996</w:t>
      </w:r>
    </w:p>
    <w:p>
      <w:pPr>
        <w:pStyle w:val="null3"/>
        <w:outlineLvl w:val="2"/>
      </w:pPr>
      <w:r>
        <w:rPr>
          <w:sz w:val="28"/>
          <w:b/>
        </w:rPr>
        <w:t>代理机构：</w:t>
      </w:r>
      <w:r>
        <w:rPr>
          <w:sz w:val="28"/>
          <w:b/>
        </w:rPr>
        <w:t>中科高盛咨询集团有限公司</w:t>
      </w:r>
    </w:p>
    <w:p>
      <w:pPr>
        <w:pStyle w:val="null3"/>
      </w:pPr>
      <w:r>
        <w:rPr/>
        <w:t xml:space="preserve"> 地址： </w:t>
      </w:r>
      <w:r>
        <w:rPr/>
        <w:t xml:space="preserve"> 西安市未央区未央路中环大厦A座北梯24层</w:t>
      </w:r>
    </w:p>
    <w:p>
      <w:pPr>
        <w:pStyle w:val="null3"/>
      </w:pPr>
      <w:r>
        <w:rPr/>
        <w:t xml:space="preserve"> 邮编： </w:t>
      </w:r>
      <w:r>
        <w:rPr/>
        <w:t>710000</w:t>
      </w:r>
    </w:p>
    <w:p>
      <w:pPr>
        <w:pStyle w:val="null3"/>
      </w:pPr>
      <w:r>
        <w:rPr/>
        <w:t xml:space="preserve"> 联系人： </w:t>
      </w:r>
      <w:r>
        <w:rPr/>
        <w:t>张俊姣</w:t>
      </w:r>
    </w:p>
    <w:p>
      <w:pPr>
        <w:pStyle w:val="null3"/>
      </w:pPr>
      <w:r>
        <w:rPr/>
        <w:t xml:space="preserve"> 联系电话： </w:t>
      </w:r>
      <w:r>
        <w:rPr/>
        <w:t xml:space="preserve"> 029-81310033</w:t>
      </w:r>
    </w:p>
    <w:p>
      <w:pPr>
        <w:pStyle w:val="null3"/>
        <w:outlineLvl w:val="2"/>
      </w:pPr>
      <w:r>
        <w:rPr>
          <w:sz w:val="28"/>
          <w:b/>
        </w:rPr>
        <w:t>采购监督机构：</w:t>
      </w:r>
      <w:r>
        <w:rPr>
          <w:sz w:val="28"/>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投标人须知</w:t>
      </w:r>
    </w:p>
    <w:p>
      <w:pPr>
        <w:pStyle w:val="null3"/>
        <w:outlineLvl w:val="2"/>
      </w:pPr>
      <w:r>
        <w:rPr>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采购包1：750,000.00元</w:t>
            </w:r>
            <w:r>
              <w:rPr/>
              <w:t xml:space="preserve"> 投标人的采购包投标报价高于采购包采购预算的，其投标文件将按无效处理。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投标人的采购包投标报价高于最高限价的，其投标文件将按无效处理。</w:t>
            </w:r>
          </w:p>
        </w:tc>
      </w:tr>
      <w:tr>
        <w:tc>
          <w:tcPr>
            <w:tcW w:type="dxa" w:w="1051"/>
          </w:tcPr>
          <w:p>
            <w:pPr>
              <w:pStyle w:val="null3"/>
            </w:pPr>
            <w:r>
              <w:rPr/>
              <w:t>3</w:t>
            </w:r>
          </w:p>
        </w:tc>
        <w:tc>
          <w:tcPr>
            <w:tcW w:type="dxa" w:w="2252"/>
          </w:tcPr>
          <w:p>
            <w:pPr>
              <w:pStyle w:val="null3"/>
            </w:pPr>
            <w:r>
              <w:rPr/>
              <w:t>评标方法</w:t>
            </w:r>
          </w:p>
        </w:tc>
        <w:tc>
          <w:tcPr>
            <w:tcW w:type="dxa" w:w="5004"/>
          </w:tcPr>
          <w:p>
            <w:pPr>
              <w:pStyle w:val="null3"/>
            </w:pPr>
            <w:r>
              <w:rPr/>
              <w:t>采购包1：综合评分法</w:t>
            </w:r>
            <w:r>
              <w:rPr/>
              <w:t xml:space="preserve"> （详见第五章）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如以联合体投标的，联合体各方均应当具备本招标文件要求的资格条件和能力。</w:t>
            </w:r>
          </w:p>
          <w:p>
            <w:pPr>
              <w:pStyle w:val="null3"/>
            </w:pPr>
            <w:r>
              <w:rPr/>
              <w:t xml:space="preserve"> （1）联合体各方均应具有承担本项目必备的条件，如相应的人力、物力、资金等。</w:t>
            </w:r>
          </w:p>
          <w:p>
            <w:pPr>
              <w:pStyle w:val="null3"/>
            </w:pPr>
            <w:r>
              <w:rPr/>
              <w:t xml:space="preserve"> （2）招标文件对投标人资格条件有特殊要求的，联合体各个成员都应当具备规定的相应资格条件。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w:t>
            </w:r>
            <w:r>
              <w:rPr/>
              <w:t>产品属于节能产品政府采购品目清单中应强制采购的产品范围，供应商应当提供国家确定的认证机构出具的、处于有效期之内的节能产品认证证书，否则作无效投标处理。</w:t>
            </w:r>
          </w:p>
          <w:p>
            <w:pPr>
              <w:pStyle w:val="null3"/>
            </w:pPr>
            <w:r>
              <w:rPr/>
              <w:t xml:space="preserve"> 3.本项目采购的</w:t>
            </w:r>
            <w:r>
              <w:rPr/>
              <w:t>/</w:t>
            </w:r>
            <w:r>
              <w:rPr/>
              <w:t>产品属于节能产品政府采购品目清单中应优先采购的产品范围，本项目采购的</w:t>
            </w:r>
            <w:r>
              <w:rPr/>
              <w:t>/</w:t>
            </w:r>
            <w:r>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t>核心产品清单详见第三章。</w:t>
            </w:r>
          </w:p>
          <w:p>
            <w:pPr>
              <w:pStyle w:val="null3"/>
            </w:pPr>
            <w:r>
              <w:rPr/>
              <w:t>在符合性审查环节提供核心产品品牌不足3个的，视为有效投标人不足3家。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投标有效期（实质性要求）</w:t>
            </w:r>
          </w:p>
        </w:tc>
        <w:tc>
          <w:tcPr>
            <w:tcW w:type="dxa" w:w="5004"/>
          </w:tcPr>
          <w:p>
            <w:pPr>
              <w:pStyle w:val="null3"/>
            </w:pPr>
            <w:r>
              <w:rPr/>
              <w:t>提交投标文件的截止之日起不少于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参照国家计委关于印发《招标代理服务收费管理暂行办法》的通知（计价格〔2002〕1980号）、《国家发展和改革委员会办公厅关于招标代理服务收费有关问题的通知》（发改办价格〔2003〕857号）及（发改办价格〔2011〕534号）规定标准计取。</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中标通知书</w:t>
            </w:r>
          </w:p>
        </w:tc>
        <w:tc>
          <w:tcPr>
            <w:tcW w:type="dxa" w:w="5004"/>
          </w:tcPr>
          <w:p>
            <w:pPr>
              <w:pStyle w:val="null3"/>
            </w:pPr>
            <w:r>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允许。本项目允许采购进口产品，进口产品的清单详见第3章。</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 出现下列情形之一的，采购人或者采购代理机构应当中止电子化采购活动，并保留相关证明材料备查：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一、本招标文件仅适用于本次公开招标采购项目。</w:t>
      </w:r>
    </w:p>
    <w:p>
      <w:pPr>
        <w:pStyle w:val="null3"/>
        <w:ind w:firstLine="480"/>
      </w:pPr>
      <w:r>
        <w:rPr/>
        <w:t xml:space="preserve"> 二、本招标文件的最终解释权由</w:t>
      </w:r>
      <w:r>
        <w:rPr/>
        <w:t>陕西省疾病预防控制中心</w:t>
      </w:r>
      <w:r>
        <w:rPr/>
        <w:t>和</w:t>
      </w:r>
      <w:r>
        <w:rPr/>
        <w:t>中科高盛咨询集团有限公司</w:t>
      </w:r>
      <w:r>
        <w:rPr/>
        <w:t>享有。对招标文件中供应商参加本次政府采购活动应当具备的条件，招标项目技术、服务、商务及其他要求，评标细则及标准由</w:t>
      </w:r>
      <w:r>
        <w:rPr/>
        <w:t>陕西省疾病预防控制中心</w:t>
      </w:r>
      <w:r>
        <w:rPr/>
        <w:t>负责解释。除上述招标文件内容，其他内容由</w:t>
      </w:r>
      <w:r>
        <w:rPr/>
        <w:t>中科高盛咨询集团有限公司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一、“采购人”是指依法进行政府采购的各级国家机关、事业单位、团体组织。本次招标的采购人是</w:t>
      </w:r>
      <w:r>
        <w:rPr/>
        <w:t>陕西省疾病预防控制中心</w:t>
      </w:r>
      <w:r>
        <w:rPr/>
        <w:t>。</w:t>
      </w:r>
    </w:p>
    <w:p>
      <w:pPr>
        <w:pStyle w:val="null3"/>
        <w:ind w:firstLine="480"/>
      </w:pPr>
      <w:r>
        <w:rPr/>
        <w:t xml:space="preserve"> 二、“投标人”是指按照采购公告规定获取了招标文件，拟参加投标和向采购人提供货物、工程或服务的法人、其他组织或者自然人。</w:t>
      </w:r>
    </w:p>
    <w:p>
      <w:pPr>
        <w:pStyle w:val="null3"/>
        <w:ind w:firstLine="480"/>
      </w:pPr>
      <w:r>
        <w:rPr/>
        <w:t xml:space="preserve"> 三、“代理机构”是指政府采购集中采购机构和从事政府采购代理业务的社会中介机构。本项目的代理机构是</w:t>
      </w:r>
      <w:r>
        <w:rPr/>
        <w:t>中科高盛咨询集团有限公司</w:t>
      </w:r>
      <w:r>
        <w:rPr/>
        <w:t>。</w:t>
      </w:r>
    </w:p>
    <w:p>
      <w:pPr>
        <w:pStyle w:val="null3"/>
        <w:ind w:firstLine="480"/>
      </w:pPr>
      <w:r>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sz w:val="28"/>
          <w:b/>
        </w:rPr>
        <w:t>2.3招标文件</w:t>
      </w:r>
    </w:p>
    <w:p>
      <w:pPr>
        <w:pStyle w:val="null3"/>
        <w:outlineLvl w:val="3"/>
      </w:pPr>
      <w:r>
        <w:rPr>
          <w:sz w:val="24"/>
          <w:b/>
        </w:rPr>
        <w:t xml:space="preserve"> 2.3.1招标文件的构成</w:t>
      </w:r>
    </w:p>
    <w:p>
      <w:pPr>
        <w:pStyle w:val="null3"/>
        <w:ind w:firstLine="480"/>
      </w:pPr>
      <w:r>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t>（一）投标邀请；</w:t>
      </w:r>
    </w:p>
    <w:p>
      <w:pPr>
        <w:pStyle w:val="null3"/>
        <w:ind w:firstLine="480"/>
      </w:pPr>
      <w:r>
        <w:rPr/>
        <w:t>（二）投标人须知；</w:t>
      </w:r>
    </w:p>
    <w:p>
      <w:pPr>
        <w:pStyle w:val="null3"/>
        <w:ind w:firstLine="480"/>
      </w:pPr>
      <w:r>
        <w:rPr/>
        <w:t>（三）招标项目技术、服务、商务及其他要求；</w:t>
      </w:r>
    </w:p>
    <w:p>
      <w:pPr>
        <w:pStyle w:val="null3"/>
        <w:ind w:firstLine="480"/>
      </w:pPr>
      <w:r>
        <w:rPr/>
        <w:t>（四）资格审查；</w:t>
      </w:r>
    </w:p>
    <w:p>
      <w:pPr>
        <w:pStyle w:val="null3"/>
        <w:ind w:firstLine="480"/>
      </w:pPr>
      <w:r>
        <w:rPr/>
        <w:t>（五）评标办法；</w:t>
      </w:r>
    </w:p>
    <w:p>
      <w:pPr>
        <w:pStyle w:val="null3"/>
        <w:ind w:firstLine="480"/>
      </w:pPr>
      <w:r>
        <w:rPr/>
        <w:t>（六）投标文件格式；</w:t>
      </w:r>
    </w:p>
    <w:p>
      <w:pPr>
        <w:pStyle w:val="null3"/>
        <w:ind w:firstLine="480"/>
      </w:pPr>
      <w:r>
        <w:rPr/>
        <w:t>（七）拟签订采购合同文本。</w:t>
      </w:r>
    </w:p>
    <w:p>
      <w:pPr>
        <w:pStyle w:val="null3"/>
        <w:ind w:firstLine="480"/>
      </w:pPr>
      <w:r>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sz w:val="24"/>
          <w:b/>
        </w:rPr>
        <w:t xml:space="preserve"> 2.3.2招标文件的澄清和修改</w:t>
      </w:r>
    </w:p>
    <w:p>
      <w:pPr>
        <w:pStyle w:val="null3"/>
        <w:ind w:firstLine="480"/>
      </w:pPr>
      <w:r>
        <w:rPr/>
        <w:t>一、在投标文件提交截止时间前，采购人或者代理机构可以对已发出的招标文件进行必要的澄清或者修改。</w:t>
      </w:r>
    </w:p>
    <w:p>
      <w:pPr>
        <w:pStyle w:val="null3"/>
        <w:ind w:firstLine="480"/>
      </w:pPr>
      <w:r>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sz w:val="28"/>
          <w:b/>
        </w:rPr>
        <w:t>2.4投标文件</w:t>
      </w:r>
    </w:p>
    <w:p>
      <w:pPr>
        <w:pStyle w:val="null3"/>
        <w:outlineLvl w:val="3"/>
      </w:pPr>
      <w:r>
        <w:rPr>
          <w:sz w:val="24"/>
          <w:b/>
        </w:rPr>
        <w:t xml:space="preserve"> 2.4.1投标文件的语言</w:t>
      </w:r>
    </w:p>
    <w:p>
      <w:pPr>
        <w:pStyle w:val="null3"/>
        <w:ind w:firstLine="480"/>
      </w:pPr>
      <w:r>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三、如因未翻译而造成对投标人的不利后果，由投标人承担。</w:t>
      </w:r>
    </w:p>
    <w:p>
      <w:pPr>
        <w:pStyle w:val="null3"/>
        <w:outlineLvl w:val="3"/>
      </w:pPr>
      <w:r>
        <w:rPr>
          <w:sz w:val="24"/>
          <w:b/>
        </w:rPr>
        <w:t>2.4.2计量单位</w:t>
      </w:r>
    </w:p>
    <w:p>
      <w:pPr>
        <w:pStyle w:val="null3"/>
        <w:ind w:firstLine="480"/>
      </w:pPr>
      <w:r>
        <w:rPr/>
        <w:t>除招标文件中另有规定外，本项目均采用国家法定的计量单位。</w:t>
      </w:r>
    </w:p>
    <w:p>
      <w:pPr>
        <w:pStyle w:val="null3"/>
        <w:outlineLvl w:val="3"/>
      </w:pPr>
      <w:r>
        <w:rPr>
          <w:sz w:val="24"/>
          <w:b/>
        </w:rPr>
        <w:t>2.4.3投标货币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t>三、如采用投标人所不拥有的知识产权，则在投标报价中必须包括合法使用该知识产权的相关费用。</w:t>
      </w:r>
    </w:p>
    <w:p>
      <w:pPr>
        <w:pStyle w:val="null3"/>
        <w:outlineLvl w:val="3"/>
      </w:pPr>
      <w:r>
        <w:rPr>
          <w:sz w:val="24"/>
          <w:b/>
        </w:rPr>
        <w:t>2.4.5投标文件的组成</w:t>
      </w:r>
    </w:p>
    <w:p>
      <w:pPr>
        <w:pStyle w:val="null3"/>
        <w:ind w:firstLine="480"/>
      </w:pPr>
      <w:r>
        <w:rPr/>
        <w:t>投标人应当按照招标文件的要求编制投标文件。投标文件应当对招标文件提出的要求和条件作出明确响应。</w:t>
      </w:r>
    </w:p>
    <w:p>
      <w:pPr>
        <w:pStyle w:val="null3"/>
        <w:ind w:firstLine="480"/>
      </w:pPr>
      <w:r>
        <w:rPr/>
        <w:t>投标文件具体内容详见第六章。</w:t>
      </w:r>
    </w:p>
    <w:p>
      <w:pPr>
        <w:pStyle w:val="null3"/>
        <w:outlineLvl w:val="3"/>
      </w:pPr>
      <w:r>
        <w:rPr>
          <w:sz w:val="24"/>
          <w:b/>
        </w:rPr>
        <w:t xml:space="preserve"> 2.4.6投标文件格式</w:t>
      </w:r>
    </w:p>
    <w:p>
      <w:pPr>
        <w:pStyle w:val="null3"/>
        <w:ind w:firstLine="480"/>
      </w:pPr>
      <w:r>
        <w:rPr/>
        <w:t>一、投标人应按照招标文件第六章中提供的“投标文件格式”填写相关内容。</w:t>
      </w:r>
    </w:p>
    <w:p>
      <w:pPr>
        <w:pStyle w:val="null3"/>
        <w:ind w:firstLine="480"/>
      </w:pPr>
      <w:r>
        <w:rPr/>
        <w:t>二、对于没有格式要求的投标文件由投标人自行编写。</w:t>
      </w:r>
    </w:p>
    <w:p>
      <w:pPr>
        <w:pStyle w:val="null3"/>
        <w:outlineLvl w:val="3"/>
      </w:pPr>
      <w:r>
        <w:rPr>
          <w:sz w:val="24"/>
          <w:b/>
        </w:rPr>
        <w:t>2.4.7投标报价（实质性要求）</w:t>
      </w:r>
    </w:p>
    <w:p>
      <w:pPr>
        <w:pStyle w:val="null3"/>
        <w:ind w:firstLine="480"/>
      </w:pPr>
      <w:r>
        <w:rPr/>
        <w:t>一、投标人的报价是投标人响应招标项目要 求的全部工作内容的价格体现，包括投标人完成本项目所需的一切费用。</w:t>
      </w:r>
    </w:p>
    <w:p>
      <w:pPr>
        <w:pStyle w:val="null3"/>
        <w:ind w:firstLine="480"/>
      </w:pPr>
      <w:r>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sz w:val="24"/>
          <w:b/>
        </w:rPr>
        <w:t>2.4.8投标有效期（实质性要求）</w:t>
      </w:r>
    </w:p>
    <w:p>
      <w:pPr>
        <w:pStyle w:val="null3"/>
        <w:ind w:firstLine="480"/>
      </w:pPr>
      <w:r>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sz w:val="24"/>
          <w:b/>
        </w:rPr>
        <w:t xml:space="preserve"> 2.4.9投标文件的制作、签章和加密（实质性要求）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t xml:space="preserve"> 三、投标人完成投标文件编制后，应按照招标文件第一章明确的签章要求，使用互认的证书及签章对投标文件进行电子签章和加密。</w:t>
      </w:r>
    </w:p>
    <w:p>
      <w:pPr>
        <w:pStyle w:val="null3"/>
        <w:ind w:firstLine="480"/>
      </w:pPr>
      <w:r>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sz w:val="24"/>
          <w:b/>
        </w:rPr>
        <w:t>2.4.10投标文件的提交</w:t>
      </w:r>
    </w:p>
    <w:p>
      <w:pPr>
        <w:pStyle w:val="null3"/>
        <w:ind w:firstLine="480"/>
      </w:pPr>
      <w:r>
        <w:rPr/>
        <w:t>一、（实质性要求）投标人应当在投标文件提交截止时间前，通过项目电子化交易系统完成投标文件提交。</w:t>
      </w:r>
    </w:p>
    <w:p>
      <w:pPr>
        <w:pStyle w:val="null3"/>
        <w:ind w:firstLine="480"/>
      </w:pPr>
      <w:r>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sz w:val="24"/>
          <w:b/>
        </w:rPr>
        <w:t>2.4.11投标文件的补充、修改、撤回（实质性要求）</w:t>
      </w:r>
    </w:p>
    <w:p>
      <w:pPr>
        <w:pStyle w:val="null3"/>
        <w:ind w:firstLine="480"/>
      </w:pPr>
      <w:r>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t>供应商投标文件撤回后，视为未提交过投标文件。</w:t>
      </w:r>
    </w:p>
    <w:p>
      <w:pPr>
        <w:pStyle w:val="null3"/>
        <w:outlineLvl w:val="2"/>
      </w:pPr>
      <w:r>
        <w:rPr>
          <w:sz w:val="28"/>
          <w:b/>
        </w:rPr>
        <w:t>2.5开标、资格审查、评标和中标</w:t>
      </w:r>
    </w:p>
    <w:p>
      <w:pPr>
        <w:pStyle w:val="null3"/>
        <w:outlineLvl w:val="3"/>
      </w:pPr>
      <w:r>
        <w:rPr>
          <w:sz w:val="24"/>
          <w:b/>
        </w:rPr>
        <w:t>2.5.1开标及开标程序</w:t>
      </w:r>
    </w:p>
    <w:p>
      <w:pPr>
        <w:pStyle w:val="null3"/>
        <w:ind w:firstLine="480"/>
      </w:pPr>
      <w:r>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t>二、开标准备工作</w:t>
      </w:r>
    </w:p>
    <w:p>
      <w:pPr>
        <w:pStyle w:val="null3"/>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三、解密投标文件（实质性要求）</w:t>
      </w:r>
    </w:p>
    <w:p>
      <w:pPr>
        <w:pStyle w:val="null3"/>
        <w:ind w:firstLine="480"/>
      </w:pPr>
      <w:r>
        <w:rPr/>
        <w:t xml:space="preserve"> 投标文件提交截止时间后，成功提交投标文件的投标人符合招标文件规定数量的，代理机构将启动投标文件解密程序，解密时间为</w:t>
      </w:r>
      <w:r>
        <w:rPr/>
        <w:t>30</w:t>
      </w:r>
      <w:r>
        <w:rPr/>
        <w:t>分钟；投标人应在规定的解密时间内，使用互认的证书及签章通过项目电子化采购系统进行投标文件解密。</w:t>
      </w:r>
    </w:p>
    <w:p>
      <w:pPr>
        <w:pStyle w:val="null3"/>
        <w:ind w:firstLine="480"/>
      </w:pPr>
      <w:r>
        <w:rPr/>
        <w:t>四、开标</w:t>
      </w:r>
    </w:p>
    <w:p>
      <w:pPr>
        <w:pStyle w:val="null3"/>
        <w:ind w:firstLine="480"/>
      </w:pPr>
      <w:r>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t>投标人完成投标文件解密后，自主决定是否参加网上在线开标，未参加的，视同认可开标结果。</w:t>
      </w:r>
    </w:p>
    <w:p>
      <w:pPr>
        <w:pStyle w:val="null3"/>
        <w:outlineLvl w:val="3"/>
      </w:pPr>
      <w:r>
        <w:rPr>
          <w:sz w:val="24"/>
          <w:b/>
        </w:rPr>
        <w:t>2.5.2查询及使用信用记录</w:t>
      </w:r>
    </w:p>
    <w:p>
      <w:pPr>
        <w:pStyle w:val="null3"/>
        <w:ind w:firstLine="480"/>
      </w:pPr>
      <w:r>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详见招标文件第四章。</w:t>
      </w:r>
    </w:p>
    <w:p>
      <w:pPr>
        <w:pStyle w:val="null3"/>
        <w:outlineLvl w:val="3"/>
      </w:pPr>
      <w:r>
        <w:rPr>
          <w:sz w:val="24"/>
          <w:b/>
        </w:rPr>
        <w:t>2.5.4评标</w:t>
      </w:r>
    </w:p>
    <w:p>
      <w:pPr>
        <w:pStyle w:val="null3"/>
        <w:ind w:firstLine="480"/>
      </w:pPr>
      <w:r>
        <w:rPr/>
        <w:t>详见招标文件第五章。</w:t>
      </w:r>
    </w:p>
    <w:p>
      <w:pPr>
        <w:pStyle w:val="null3"/>
        <w:outlineLvl w:val="3"/>
      </w:pPr>
      <w:r>
        <w:rPr>
          <w:sz w:val="24"/>
          <w:b/>
        </w:rPr>
        <w:t>2.5.5中标通知书</w:t>
      </w:r>
    </w:p>
    <w:p>
      <w:pPr>
        <w:pStyle w:val="null3"/>
        <w:ind w:firstLine="480"/>
      </w:pPr>
      <w:r>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t>三、中标通知书对采购人和中标供应商均具有法律效力。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一、采购人应在中标通知书发出之日起三十日内与中标人签订采购合同。</w:t>
      </w:r>
    </w:p>
    <w:p>
      <w:pPr>
        <w:pStyle w:val="null3"/>
        <w:ind w:firstLine="480"/>
      </w:pPr>
      <w:r>
        <w:rPr/>
        <w:t>二、采购人和中标人签订的采购合同不得对招标文件确定的事项以及中标人的投标文件作实质性修改。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t>二、分包履行合同的部分应当为采购项目的非主体、非关键性工作，不属于中标人的主要合同义务。</w:t>
      </w:r>
    </w:p>
    <w:p>
      <w:pPr>
        <w:pStyle w:val="null3"/>
        <w:ind w:firstLine="480"/>
      </w:pPr>
      <w:r>
        <w:rPr/>
        <w:t>三、采购合同实行分包履行的，中标人就采购项目和分包项目向采购人负责，分包供应商就分包项目承担责任。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一、严禁中标人将本项目转包。本项目所称转包，是指将本项目转给他人或者将本项目全部肢解以后以分包的名义分别转给他人的行为。</w:t>
      </w:r>
    </w:p>
    <w:p>
      <w:pPr>
        <w:pStyle w:val="null3"/>
        <w:ind w:firstLine="480"/>
      </w:pPr>
      <w:r>
        <w:rPr/>
        <w:t>二、中标人转包的，视同拒绝履行政府采购合同，将依法追究法律责任。</w:t>
      </w:r>
    </w:p>
    <w:p>
      <w:pPr>
        <w:pStyle w:val="null3"/>
        <w:outlineLvl w:val="3"/>
      </w:pPr>
      <w:r>
        <w:rPr>
          <w:sz w:val="24"/>
          <w:b/>
        </w:rPr>
        <w:t>2.6.3采购人增加合同标的的权利</w:t>
      </w:r>
    </w:p>
    <w:p>
      <w:pPr>
        <w:pStyle w:val="null3"/>
        <w:ind w:firstLine="480"/>
      </w:pPr>
      <w:r>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sz w:val="24"/>
          <w:b/>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 xml:space="preserve"> 2.6.5履约验收方案</w:t>
      </w:r>
    </w:p>
    <w:p>
      <w:pPr>
        <w:pStyle w:val="null3"/>
      </w:pPr>
      <w:r>
        <w:rPr/>
        <w:t>采购包1：</w:t>
      </w:r>
    </w:p>
    <w:p>
      <w:pPr>
        <w:pStyle w:val="null3"/>
      </w:pPr>
      <w:r>
        <w:rPr/>
        <w:t>货物为原厂商未启封全新包装, 出具出厂合格证,序列号、包装箱号与出厂批号一致,并可追索查阅。所有随设备的附件必须齐全。</w:t>
      </w:r>
    </w:p>
    <w:p>
      <w:pPr>
        <w:pStyle w:val="null3"/>
        <w:outlineLvl w:val="3"/>
      </w:pPr>
      <w:r>
        <w:rPr>
          <w:sz w:val="24"/>
          <w:b/>
        </w:rPr>
        <w:t>2.6.6资金支付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2.7.1评标活动纪律要求</w:t>
      </w:r>
    </w:p>
    <w:p>
      <w:pPr>
        <w:pStyle w:val="null3"/>
        <w:ind w:firstLine="480"/>
      </w:pPr>
      <w:r>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t>对各投标人的商业秘密，评标委员会成员应予以保密，不得泄露给其他投标人。</w:t>
      </w:r>
    </w:p>
    <w:p>
      <w:pPr>
        <w:pStyle w:val="null3"/>
        <w:outlineLvl w:val="3"/>
      </w:pPr>
      <w:r>
        <w:rPr>
          <w:sz w:val="24"/>
          <w:b/>
        </w:rPr>
        <w:t xml:space="preserve"> 2.7.2投标人不得具有的情形（实质性要求）</w:t>
      </w:r>
    </w:p>
    <w:p>
      <w:pPr>
        <w:pStyle w:val="null3"/>
        <w:ind w:firstLine="480"/>
      </w:pPr>
      <w:r>
        <w:rPr/>
        <w:t>一、有下列情形之一的，视为投标人串通投标：</w:t>
      </w:r>
    </w:p>
    <w:p>
      <w:pPr>
        <w:pStyle w:val="null3"/>
        <w:ind w:firstLine="480"/>
      </w:pPr>
      <w:r>
        <w:rPr/>
        <w:t>（一）不同投标人的投标文件由同一单位或者个人编制；</w:t>
      </w:r>
    </w:p>
    <w:p>
      <w:pPr>
        <w:pStyle w:val="null3"/>
        <w:ind w:firstLine="480"/>
      </w:pPr>
      <w:r>
        <w:rPr/>
        <w:t>（二）不同投标人委托同一单位或者个人办理投标事宜；</w:t>
      </w:r>
    </w:p>
    <w:p>
      <w:pPr>
        <w:pStyle w:val="null3"/>
        <w:ind w:firstLine="480"/>
      </w:pPr>
      <w:r>
        <w:rPr/>
        <w:t>（三）不同投标人的投标文件载明的项目管理成员或者联系人员为同一人；</w:t>
      </w:r>
    </w:p>
    <w:p>
      <w:pPr>
        <w:pStyle w:val="null3"/>
        <w:ind w:firstLine="480"/>
      </w:pPr>
      <w:r>
        <w:rPr/>
        <w:t>（四）不同投标人的投标文件异常一致或者投标报价呈规律性差异；</w:t>
      </w:r>
    </w:p>
    <w:p>
      <w:pPr>
        <w:pStyle w:val="null3"/>
        <w:ind w:firstLine="480"/>
      </w:pPr>
      <w:r>
        <w:rPr/>
        <w:t>（五）不同投标人的投标文件相互混装。</w:t>
      </w:r>
    </w:p>
    <w:p>
      <w:pPr>
        <w:pStyle w:val="null3"/>
        <w:ind w:firstLine="480"/>
      </w:pPr>
      <w:r>
        <w:rPr/>
        <w:t>二、提供虚假材料谋取中标；</w:t>
      </w:r>
    </w:p>
    <w:p>
      <w:pPr>
        <w:pStyle w:val="null3"/>
        <w:ind w:firstLine="480"/>
      </w:pPr>
      <w:r>
        <w:rPr/>
        <w:t>三、采取不正当手段诋毁、排挤其他投标人；</w:t>
      </w:r>
    </w:p>
    <w:p>
      <w:pPr>
        <w:pStyle w:val="null3"/>
        <w:ind w:firstLine="480"/>
      </w:pPr>
      <w:r>
        <w:rPr/>
        <w:t>四、与采购人或代理机构、其他投标人恶意串通；</w:t>
      </w:r>
    </w:p>
    <w:p>
      <w:pPr>
        <w:pStyle w:val="null3"/>
        <w:ind w:firstLine="480"/>
      </w:pPr>
      <w:r>
        <w:rPr/>
        <w:t>五、向采购人或代理机构、评标委员会成员行贿或者提供其他不正当利益；</w:t>
      </w:r>
    </w:p>
    <w:p>
      <w:pPr>
        <w:pStyle w:val="null3"/>
        <w:ind w:firstLine="480"/>
      </w:pPr>
      <w:r>
        <w:rPr/>
        <w:t>六、在招标过程中与采购人或代理机构进行协商谈判；</w:t>
      </w:r>
    </w:p>
    <w:p>
      <w:pPr>
        <w:pStyle w:val="null3"/>
        <w:ind w:firstLine="480"/>
      </w:pPr>
      <w:r>
        <w:rPr/>
        <w:t>七、中标后无正当理由拒不与采购人签订政府采购合同；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投标人有上述情形的，按照规定追究法律责任，具备一至十一条情形之一的，其投标文件无效，或取消被确认为中标供应商的资格或认定中标无效。</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根据委托代理协议约定，供应商对招标文件中采购需求的询问、质疑由 </w:t>
      </w:r>
      <w:r>
        <w:rPr/>
        <w:t>中科高盛咨询集团有限公司</w:t>
      </w:r>
      <w:r>
        <w:rPr/>
        <w:t xml:space="preserve"> 负责答复；供应商对除采购需求外的采购文件的询问、质疑由</w:t>
      </w:r>
      <w:r>
        <w:rPr/>
        <w:t>中科高盛咨询集团有限公司</w:t>
      </w:r>
      <w:r>
        <w:rPr/>
        <w:t xml:space="preserve"> 负责答复；供应商对采购过程、采购结果的询问、质疑由 </w:t>
      </w:r>
      <w:r>
        <w:rPr/>
        <w:t>中科高盛咨询集团有限公司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（一）质疑书正本1份；（政府采购供应商质疑函范本详见附件一）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（五）针对质疑事项必要的证明材料（针对招标文件提出的质疑，需提交从项目电子化交易系统获取的招标文件回执单）。</w:t>
      </w:r>
    </w:p>
    <w:p>
      <w:pPr>
        <w:pStyle w:val="null3"/>
      </w:pPr>
      <w:r>
        <w:rPr/>
        <w:t>答复主体：代理机构</w:t>
      </w:r>
    </w:p>
    <w:p>
      <w:pPr>
        <w:pStyle w:val="null3"/>
      </w:pPr>
      <w:r>
        <w:rPr/>
        <w:t>联系人：张俊姣</w:t>
      </w:r>
    </w:p>
    <w:p>
      <w:pPr>
        <w:pStyle w:val="null3"/>
      </w:pPr>
      <w:r>
        <w:rPr/>
        <w:t>联系电话：029-81310033</w:t>
      </w:r>
    </w:p>
    <w:p>
      <w:pPr>
        <w:pStyle w:val="null3"/>
      </w:pPr>
      <w:r>
        <w:rPr/>
        <w:t>地址：西安市未央区未央路中环大厦A座北梯24层A区</w:t>
      </w:r>
    </w:p>
    <w:p>
      <w:pPr>
        <w:pStyle w:val="null3"/>
      </w:pPr>
      <w:r>
        <w:rPr/>
        <w:t>邮编：710000</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招标项目技术、服务、商务及其他要求</w:t>
      </w:r>
    </w:p>
    <w:p>
      <w:pPr>
        <w:pStyle w:val="null3"/>
        <w:ind w:firstLine="480"/>
      </w:pPr>
      <w:r>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sz w:val="28"/>
          <w:b/>
        </w:rPr>
        <w:t>3.1采购项目概况</w:t>
      </w:r>
    </w:p>
    <w:p>
      <w:pPr>
        <w:pStyle w:val="null3"/>
        <w:ind w:firstLine="480"/>
      </w:pPr>
      <w:r>
        <w:rPr/>
        <w:t>双梯度系统液相色谱仪采购</w:t>
      </w:r>
    </w:p>
    <w:p>
      <w:pPr>
        <w:pStyle w:val="null3"/>
        <w:outlineLvl w:val="2"/>
      </w:pPr>
      <w:r>
        <w:rPr>
          <w:sz w:val="28"/>
          <w:b/>
        </w:rPr>
        <w:t>3.2采购内容</w:t>
      </w:r>
    </w:p>
    <w:p>
      <w:pPr>
        <w:pStyle w:val="null3"/>
      </w:pPr>
      <w:r>
        <w:rPr/>
        <w:t>采购包1：</w:t>
      </w:r>
    </w:p>
    <w:p>
      <w:pPr>
        <w:pStyle w:val="null3"/>
      </w:pPr>
      <w:r>
        <w:rPr/>
        <w:t>采购包预算金额（元）: 750,000.00</w:t>
      </w:r>
    </w:p>
    <w:p>
      <w:pPr>
        <w:pStyle w:val="null3"/>
      </w:pPr>
      <w:r>
        <w:rPr/>
        <w:t>采购包最高限价（元）: 750,000.00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双梯度系统液相色谱仪采购</w:t>
            </w:r>
          </w:p>
        </w:tc>
        <w:tc>
          <w:tcPr>
            <w:tcW w:type="dxa" w:w="831"/>
          </w:tcPr>
          <w:p>
            <w:pPr>
              <w:pStyle w:val="null3"/>
              <w:jc w:val="right"/>
            </w:pPr>
            <w:r>
              <w:rPr/>
              <w:t>1.00</w:t>
            </w:r>
          </w:p>
        </w:tc>
        <w:tc>
          <w:tcPr>
            <w:tcW w:type="dxa" w:w="831"/>
          </w:tcPr>
          <w:p>
            <w:pPr>
              <w:pStyle w:val="null3"/>
              <w:jc w:val="right"/>
            </w:pPr>
            <w:r>
              <w:rPr/>
              <w:t>750,000.00</w:t>
            </w:r>
          </w:p>
        </w:tc>
        <w:tc>
          <w:tcPr>
            <w:tcW w:type="dxa" w:w="831"/>
          </w:tcPr>
          <w:p>
            <w:pPr>
              <w:pStyle w:val="null3"/>
            </w:pPr>
            <w:r>
              <w:rPr/>
              <w:t>套</w:t>
            </w:r>
          </w:p>
        </w:tc>
        <w:tc>
          <w:tcPr>
            <w:tcW w:type="dxa" w:w="831"/>
          </w:tcPr>
          <w:p>
            <w:pPr>
              <w:pStyle w:val="null3"/>
            </w:pPr>
            <w:r>
              <w:rPr/>
              <w:t>工业</w:t>
            </w:r>
          </w:p>
        </w:tc>
        <w:tc>
          <w:tcPr>
            <w:tcW w:type="dxa" w:w="831"/>
          </w:tcPr>
          <w:p>
            <w:pPr>
              <w:pStyle w:val="null3"/>
            </w:pPr>
            <w:r>
              <w:rPr/>
              <w:t>否</w:t>
            </w:r>
          </w:p>
        </w:tc>
        <w:tc>
          <w:tcPr>
            <w:tcW w:type="dxa" w:w="831"/>
          </w:tcPr>
          <w:p>
            <w:pPr>
              <w:pStyle w:val="null3"/>
            </w:pPr>
            <w:r>
              <w:rPr/>
              <w:t>是</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标的名称：双梯度系统液相色谱仪采购</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347"/>
              <w:gridCol w:w="270"/>
              <w:gridCol w:w="1936"/>
            </w:tblGrid>
            <w:tr>
              <w:tc>
                <w:tcPr>
                  <w:tcW w:type="dxa" w:w="34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1"/>
                    </w:rPr>
                    <w:t xml:space="preserve"> </w:t>
                  </w:r>
                  <w:r>
                    <w:rPr>
                      <w:rFonts w:ascii="宋体" w:hAnsi="宋体" w:cs="宋体" w:eastAsia="宋体"/>
                      <w:sz w:val="21"/>
                    </w:rPr>
                    <w:t>参数性质</w:t>
                  </w:r>
                </w:p>
              </w:tc>
              <w:tc>
                <w:tcPr>
                  <w:tcW w:type="dxa" w:w="27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1"/>
                    </w:rPr>
                    <w:t xml:space="preserve"> </w:t>
                  </w:r>
                  <w:r>
                    <w:rPr>
                      <w:rFonts w:ascii="宋体" w:hAnsi="宋体" w:cs="宋体" w:eastAsia="宋体"/>
                      <w:sz w:val="21"/>
                    </w:rPr>
                    <w:t>序号</w:t>
                  </w:r>
                </w:p>
              </w:tc>
              <w:tc>
                <w:tcPr>
                  <w:tcW w:type="dxa" w:w="193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1"/>
                    </w:rPr>
                    <w:t xml:space="preserve"> </w:t>
                  </w:r>
                  <w:r>
                    <w:rPr>
                      <w:rFonts w:ascii="宋体" w:hAnsi="宋体" w:cs="宋体" w:eastAsia="宋体"/>
                      <w:sz w:val="21"/>
                    </w:rPr>
                    <w:t>技术参数与性能指标</w:t>
                  </w:r>
                </w:p>
              </w:tc>
            </w:tr>
            <w:tr>
              <w:tc>
                <w:tcPr>
                  <w:tcW w:type="dxa" w:w="3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calibri" w:hAnsi="calibri" w:cs="calibri" w:eastAsia="calibri"/>
                      <w:sz w:val="21"/>
                    </w:rPr>
                    <w:t>1</w:t>
                  </w:r>
                </w:p>
              </w:tc>
              <w:tc>
                <w:tcPr>
                  <w:tcW w:type="dxa" w:w="19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b/>
                    </w:rPr>
                    <w:t>一、液相系统配置：</w:t>
                  </w:r>
                  <w:r>
                    <w:rPr>
                      <w:rFonts w:ascii="宋体" w:hAnsi="宋体" w:cs="宋体" w:eastAsia="宋体"/>
                      <w:sz w:val="21"/>
                    </w:rPr>
                    <w:t>双三元泵或两个二</w:t>
                  </w:r>
                  <w:r>
                    <w:rPr>
                      <w:rFonts w:ascii="宋体" w:hAnsi="宋体" w:cs="宋体" w:eastAsia="宋体"/>
                      <w:sz w:val="21"/>
                    </w:rPr>
                    <w:t>元泵、自动进样器、柱温箱、</w:t>
                  </w:r>
                  <w:r>
                    <w:rPr>
                      <w:rFonts w:ascii="宋体" w:hAnsi="宋体" w:cs="宋体" w:eastAsia="宋体"/>
                      <w:sz w:val="21"/>
                    </w:rPr>
                    <w:t>二极管阵列</w:t>
                  </w:r>
                  <w:r>
                    <w:rPr>
                      <w:rFonts w:ascii="宋体" w:hAnsi="宋体" w:cs="宋体" w:eastAsia="宋体"/>
                      <w:sz w:val="21"/>
                    </w:rPr>
                    <w:t>检测器、荧光检测器、色谱软件、电脑。</w:t>
                  </w:r>
                </w:p>
              </w:tc>
            </w:tr>
            <w:tr>
              <w:tc>
                <w:tcPr>
                  <w:tcW w:type="dxa" w:w="3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calibri" w:hAnsi="calibri" w:cs="calibri" w:eastAsia="calibri"/>
                      <w:sz w:val="21"/>
                    </w:rPr>
                    <w:t>2</w:t>
                  </w:r>
                </w:p>
              </w:tc>
              <w:tc>
                <w:tcPr>
                  <w:tcW w:type="dxa" w:w="19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b/>
                    </w:rPr>
                    <w:t>二、液相系统部分</w:t>
                  </w:r>
                </w:p>
                <w:p>
                  <w:pPr>
                    <w:pStyle w:val="null3"/>
                    <w:spacing w:before="120" w:after="120"/>
                    <w:jc w:val="both"/>
                  </w:pPr>
                  <w:r>
                    <w:rPr>
                      <w:rFonts w:ascii="calibri" w:hAnsi="calibri" w:cs="calibri" w:eastAsia="calibri"/>
                      <w:sz w:val="21"/>
                      <w:b/>
                    </w:rPr>
                    <w:t>1</w:t>
                  </w:r>
                  <w:r>
                    <w:rPr>
                      <w:rFonts w:ascii="宋体" w:hAnsi="宋体" w:cs="宋体" w:eastAsia="宋体"/>
                      <w:sz w:val="21"/>
                      <w:b/>
                    </w:rPr>
                    <w:t>、色谱泵参数</w:t>
                  </w:r>
                </w:p>
                <w:p>
                  <w:pPr>
                    <w:pStyle w:val="null3"/>
                    <w:jc w:val="both"/>
                  </w:pPr>
                  <w:r>
                    <w:rPr>
                      <w:rFonts w:ascii="calibri" w:hAnsi="calibri" w:cs="calibri" w:eastAsia="calibri"/>
                      <w:sz w:val="21"/>
                    </w:rPr>
                    <w:t>1.1</w:t>
                  </w:r>
                  <w:r>
                    <w:rPr>
                      <w:rFonts w:ascii="宋体" w:hAnsi="宋体" w:cs="宋体" w:eastAsia="宋体"/>
                      <w:sz w:val="21"/>
                    </w:rPr>
                    <w:t>工作原理：串联双柱塞</w:t>
                  </w:r>
                </w:p>
                <w:p>
                  <w:pPr>
                    <w:pStyle w:val="null3"/>
                    <w:jc w:val="both"/>
                  </w:pPr>
                  <w:r>
                    <w:rPr>
                      <w:rFonts w:ascii="calibri" w:hAnsi="calibri" w:cs="calibri" w:eastAsia="calibri"/>
                      <w:sz w:val="21"/>
                    </w:rPr>
                    <w:t>1.2</w:t>
                  </w:r>
                  <w:r>
                    <w:rPr>
                      <w:rFonts w:ascii="宋体" w:hAnsi="宋体" w:cs="宋体" w:eastAsia="宋体"/>
                      <w:sz w:val="21"/>
                    </w:rPr>
                    <w:t>流路</w:t>
                  </w:r>
                  <w:r>
                    <w:rPr>
                      <w:rFonts w:ascii="宋体" w:hAnsi="宋体" w:cs="宋体" w:eastAsia="宋体"/>
                      <w:sz w:val="21"/>
                    </w:rPr>
                    <w:t>数量：</w:t>
                  </w:r>
                  <w:r>
                    <w:rPr>
                      <w:rFonts w:ascii="宋体" w:hAnsi="宋体" w:cs="宋体" w:eastAsia="宋体"/>
                      <w:sz w:val="21"/>
                    </w:rPr>
                    <w:t>≥</w:t>
                  </w:r>
                  <w:r>
                    <w:rPr>
                      <w:rFonts w:ascii="calibri" w:hAnsi="calibri" w:cs="calibri" w:eastAsia="calibri"/>
                      <w:sz w:val="21"/>
                    </w:rPr>
                    <w:t>6</w:t>
                  </w:r>
                  <w:r>
                    <w:rPr>
                      <w:rFonts w:ascii="宋体" w:hAnsi="宋体" w:cs="宋体" w:eastAsia="宋体"/>
                      <w:sz w:val="21"/>
                    </w:rPr>
                    <w:t>个</w:t>
                  </w:r>
                </w:p>
                <w:p>
                  <w:pPr>
                    <w:pStyle w:val="null3"/>
                    <w:jc w:val="both"/>
                  </w:pPr>
                  <w:r>
                    <w:rPr>
                      <w:rFonts w:ascii="calibri" w:hAnsi="calibri" w:cs="calibri" w:eastAsia="calibri"/>
                      <w:sz w:val="21"/>
                    </w:rPr>
                    <w:t>1.3</w:t>
                  </w:r>
                  <w:r>
                    <w:rPr>
                      <w:rFonts w:ascii="宋体" w:hAnsi="宋体" w:cs="宋体" w:eastAsia="宋体"/>
                      <w:sz w:val="21"/>
                    </w:rPr>
                    <w:t>流量范围：</w:t>
                  </w:r>
                  <w:r>
                    <w:rPr>
                      <w:rFonts w:ascii="calibri" w:hAnsi="calibri" w:cs="calibri" w:eastAsia="calibri"/>
                      <w:sz w:val="21"/>
                    </w:rPr>
                    <w:t>0.001-7.000 mL/min</w:t>
                  </w:r>
                  <w:r>
                    <w:rPr>
                      <w:rFonts w:ascii="宋体" w:hAnsi="宋体" w:cs="宋体" w:eastAsia="宋体"/>
                      <w:sz w:val="21"/>
                    </w:rPr>
                    <w:t>，步进</w:t>
                  </w:r>
                  <w:r>
                    <w:rPr>
                      <w:rFonts w:ascii="calibri" w:hAnsi="calibri" w:cs="calibri" w:eastAsia="calibri"/>
                      <w:sz w:val="21"/>
                    </w:rPr>
                    <w:t>0.001 mL/min</w:t>
                  </w:r>
                </w:p>
                <w:p>
                  <w:pPr>
                    <w:pStyle w:val="null3"/>
                    <w:jc w:val="both"/>
                  </w:pPr>
                  <w:r>
                    <w:rPr>
                      <w:rFonts w:ascii="宋体" w:hAnsi="宋体" w:cs="宋体" w:eastAsia="宋体"/>
                      <w:sz w:val="21"/>
                    </w:rPr>
                    <w:t>▲</w:t>
                  </w:r>
                  <w:r>
                    <w:rPr>
                      <w:rFonts w:ascii="calibri" w:hAnsi="calibri" w:cs="calibri" w:eastAsia="calibri"/>
                      <w:sz w:val="21"/>
                    </w:rPr>
                    <w:t>1.4</w:t>
                  </w:r>
                  <w:r>
                    <w:rPr>
                      <w:rFonts w:ascii="宋体" w:hAnsi="宋体" w:cs="宋体" w:eastAsia="宋体"/>
                      <w:sz w:val="21"/>
                    </w:rPr>
                    <w:t>压力：</w:t>
                  </w:r>
                  <w:r>
                    <w:rPr>
                      <w:rFonts w:ascii="calibri" w:hAnsi="calibri" w:cs="calibri" w:eastAsia="calibri"/>
                      <w:sz w:val="21"/>
                    </w:rPr>
                    <w:t>2-100Mpa (20-1000 bar, 290-14500 psi)</w:t>
                  </w:r>
                </w:p>
                <w:p>
                  <w:pPr>
                    <w:pStyle w:val="null3"/>
                    <w:jc w:val="both"/>
                  </w:pPr>
                  <w:r>
                    <w:rPr>
                      <w:rFonts w:ascii="calibri" w:hAnsi="calibri" w:cs="calibri" w:eastAsia="calibri"/>
                      <w:sz w:val="21"/>
                    </w:rPr>
                    <w:t>1.5</w:t>
                  </w:r>
                  <w:r>
                    <w:rPr>
                      <w:rFonts w:ascii="宋体" w:hAnsi="宋体" w:cs="宋体" w:eastAsia="宋体"/>
                      <w:sz w:val="21"/>
                    </w:rPr>
                    <w:t>压力波动：</w:t>
                  </w:r>
                  <w:r>
                    <w:rPr>
                      <w:rFonts w:ascii="宋体" w:hAnsi="宋体" w:cs="宋体" w:eastAsia="宋体"/>
                      <w:sz w:val="21"/>
                    </w:rPr>
                    <w:t>≤</w:t>
                  </w:r>
                  <w:r>
                    <w:rPr>
                      <w:rFonts w:ascii="calibri" w:hAnsi="calibri" w:cs="calibri" w:eastAsia="calibri"/>
                      <w:sz w:val="21"/>
                    </w:rPr>
                    <w:t>1%</w:t>
                  </w:r>
                </w:p>
                <w:p>
                  <w:pPr>
                    <w:pStyle w:val="null3"/>
                    <w:jc w:val="both"/>
                  </w:pPr>
                  <w:r>
                    <w:rPr>
                      <w:rFonts w:ascii="宋体" w:hAnsi="宋体" w:cs="宋体" w:eastAsia="宋体"/>
                      <w:sz w:val="21"/>
                    </w:rPr>
                    <w:t>▲</w:t>
                  </w:r>
                  <w:r>
                    <w:rPr>
                      <w:rFonts w:ascii="calibri" w:hAnsi="calibri" w:cs="calibri" w:eastAsia="calibri"/>
                      <w:sz w:val="21"/>
                    </w:rPr>
                    <w:t>1.6</w:t>
                  </w:r>
                  <w:r>
                    <w:rPr>
                      <w:rFonts w:ascii="宋体" w:hAnsi="宋体" w:cs="宋体" w:eastAsia="宋体"/>
                      <w:sz w:val="21"/>
                    </w:rPr>
                    <w:t>流量准确度：</w:t>
                  </w:r>
                  <w:r>
                    <w:rPr>
                      <w:rFonts w:ascii="calibri" w:hAnsi="calibri" w:cs="calibri" w:eastAsia="calibri"/>
                      <w:sz w:val="21"/>
                    </w:rPr>
                    <w:t>±0.1%</w:t>
                  </w:r>
                </w:p>
                <w:p>
                  <w:pPr>
                    <w:pStyle w:val="null3"/>
                    <w:jc w:val="both"/>
                  </w:pPr>
                  <w:r>
                    <w:rPr>
                      <w:rFonts w:ascii="calibri" w:hAnsi="calibri" w:cs="calibri" w:eastAsia="calibri"/>
                      <w:sz w:val="21"/>
                    </w:rPr>
                    <w:t>1.7</w:t>
                  </w:r>
                  <w:r>
                    <w:rPr>
                      <w:rFonts w:ascii="宋体" w:hAnsi="宋体" w:cs="宋体" w:eastAsia="宋体"/>
                      <w:sz w:val="21"/>
                    </w:rPr>
                    <w:t>流量精密度：</w:t>
                  </w:r>
                  <w:r>
                    <w:rPr>
                      <w:rFonts w:ascii="宋体" w:hAnsi="宋体" w:cs="宋体" w:eastAsia="宋体"/>
                      <w:sz w:val="21"/>
                    </w:rPr>
                    <w:t>≤</w:t>
                  </w:r>
                  <w:r>
                    <w:rPr>
                      <w:rFonts w:ascii="calibri" w:hAnsi="calibri" w:cs="calibri" w:eastAsia="calibri"/>
                      <w:sz w:val="21"/>
                    </w:rPr>
                    <w:t xml:space="preserve">0.05% RSD or </w:t>
                  </w:r>
                  <w:r>
                    <w:rPr>
                      <w:rFonts w:ascii="宋体" w:hAnsi="宋体" w:cs="宋体" w:eastAsia="宋体"/>
                      <w:sz w:val="21"/>
                    </w:rPr>
                    <w:t>＜</w:t>
                  </w:r>
                  <w:r>
                    <w:rPr>
                      <w:rFonts w:ascii="calibri" w:hAnsi="calibri" w:cs="calibri" w:eastAsia="calibri"/>
                      <w:sz w:val="21"/>
                    </w:rPr>
                    <w:t>0.01 min SD</w:t>
                  </w:r>
                </w:p>
                <w:p>
                  <w:pPr>
                    <w:pStyle w:val="null3"/>
                    <w:jc w:val="both"/>
                  </w:pPr>
                  <w:r>
                    <w:rPr>
                      <w:rFonts w:ascii="calibri" w:hAnsi="calibri" w:cs="calibri" w:eastAsia="calibri"/>
                      <w:sz w:val="21"/>
                    </w:rPr>
                    <w:t>1.8</w:t>
                  </w:r>
                  <w:r>
                    <w:rPr>
                      <w:rFonts w:ascii="宋体" w:hAnsi="宋体" w:cs="宋体" w:eastAsia="宋体"/>
                      <w:sz w:val="21"/>
                    </w:rPr>
                    <w:t>梯度准确度：</w:t>
                  </w:r>
                  <w:r>
                    <w:rPr>
                      <w:rFonts w:ascii="calibri" w:hAnsi="calibri" w:cs="calibri" w:eastAsia="calibri"/>
                      <w:sz w:val="21"/>
                    </w:rPr>
                    <w:t>±0.5%</w:t>
                  </w:r>
                  <w:r>
                    <w:rPr>
                      <w:rFonts w:ascii="宋体" w:hAnsi="宋体" w:cs="宋体" w:eastAsia="宋体"/>
                      <w:sz w:val="21"/>
                    </w:rPr>
                    <w:t>（全流域范围内）</w:t>
                  </w:r>
                </w:p>
                <w:p>
                  <w:pPr>
                    <w:pStyle w:val="null3"/>
                    <w:jc w:val="both"/>
                  </w:pPr>
                  <w:r>
                    <w:rPr>
                      <w:rFonts w:ascii="calibri" w:hAnsi="calibri" w:cs="calibri" w:eastAsia="calibri"/>
                      <w:sz w:val="21"/>
                    </w:rPr>
                    <w:t>1.9</w:t>
                  </w:r>
                  <w:r>
                    <w:rPr>
                      <w:rFonts w:ascii="宋体" w:hAnsi="宋体" w:cs="宋体" w:eastAsia="宋体"/>
                      <w:sz w:val="21"/>
                    </w:rPr>
                    <w:t>梯度精密度：</w:t>
                  </w:r>
                  <w:r>
                    <w:rPr>
                      <w:rFonts w:ascii="宋体" w:hAnsi="宋体" w:cs="宋体" w:eastAsia="宋体"/>
                      <w:sz w:val="21"/>
                    </w:rPr>
                    <w:t>≤</w:t>
                  </w:r>
                  <w:r>
                    <w:rPr>
                      <w:rFonts w:ascii="calibri" w:hAnsi="calibri" w:cs="calibri" w:eastAsia="calibri"/>
                      <w:sz w:val="21"/>
                    </w:rPr>
                    <w:t>0.15%</w:t>
                  </w:r>
                  <w:r>
                    <w:rPr>
                      <w:rFonts w:ascii="calibri" w:hAnsi="calibri" w:cs="calibri" w:eastAsia="calibri"/>
                      <w:sz w:val="21"/>
                    </w:rPr>
                    <w:t>R</w:t>
                  </w:r>
                  <w:r>
                    <w:rPr>
                      <w:rFonts w:ascii="calibri" w:hAnsi="calibri" w:cs="calibri" w:eastAsia="calibri"/>
                      <w:sz w:val="21"/>
                    </w:rPr>
                    <w:t>SD</w:t>
                  </w:r>
                </w:p>
                <w:p>
                  <w:pPr>
                    <w:pStyle w:val="null3"/>
                    <w:jc w:val="both"/>
                  </w:pPr>
                  <w:r>
                    <w:rPr>
                      <w:rFonts w:ascii="宋体" w:hAnsi="宋体" w:cs="宋体" w:eastAsia="宋体"/>
                      <w:sz w:val="21"/>
                    </w:rPr>
                    <w:t>▲</w:t>
                  </w:r>
                  <w:r>
                    <w:rPr>
                      <w:rFonts w:ascii="calibri" w:hAnsi="calibri" w:cs="calibri" w:eastAsia="calibri"/>
                      <w:sz w:val="21"/>
                    </w:rPr>
                    <w:t>1.10</w:t>
                  </w:r>
                  <w:r>
                    <w:rPr>
                      <w:rFonts w:ascii="宋体" w:hAnsi="宋体" w:cs="宋体" w:eastAsia="宋体"/>
                      <w:sz w:val="21"/>
                    </w:rPr>
                    <w:t>泵清洗系统：主动式单独流路清洗柱塞</w:t>
                  </w:r>
                </w:p>
                <w:p>
                  <w:pPr>
                    <w:pStyle w:val="null3"/>
                    <w:jc w:val="both"/>
                  </w:pPr>
                  <w:r>
                    <w:rPr>
                      <w:rFonts w:ascii="calibri" w:hAnsi="calibri" w:cs="calibri" w:eastAsia="calibri"/>
                      <w:sz w:val="21"/>
                    </w:rPr>
                    <w:t>1.11</w:t>
                  </w:r>
                  <w:r>
                    <w:rPr>
                      <w:rFonts w:ascii="宋体" w:hAnsi="宋体" w:cs="宋体" w:eastAsia="宋体"/>
                      <w:sz w:val="21"/>
                    </w:rPr>
                    <w:t>液滴计数器：自动监控泵漏液情况和泵清洗液情况</w:t>
                  </w:r>
                </w:p>
                <w:p>
                  <w:pPr>
                    <w:pStyle w:val="null3"/>
                    <w:jc w:val="both"/>
                  </w:pPr>
                  <w:r>
                    <w:rPr>
                      <w:rFonts w:ascii="calibri" w:hAnsi="calibri" w:cs="calibri" w:eastAsia="calibri"/>
                      <w:sz w:val="21"/>
                    </w:rPr>
                    <w:t xml:space="preserve">1.12 </w:t>
                  </w:r>
                  <w:r>
                    <w:rPr>
                      <w:rFonts w:ascii="宋体" w:hAnsi="宋体" w:cs="宋体" w:eastAsia="宋体"/>
                      <w:sz w:val="21"/>
                    </w:rPr>
                    <w:t>溶剂脱气：内置</w:t>
                  </w:r>
                  <w:r>
                    <w:rPr>
                      <w:rFonts w:ascii="宋体" w:hAnsi="宋体" w:cs="宋体" w:eastAsia="宋体"/>
                      <w:sz w:val="21"/>
                    </w:rPr>
                    <w:t>≥</w:t>
                  </w:r>
                  <w:r>
                    <w:rPr>
                      <w:rFonts w:ascii="calibri" w:hAnsi="calibri" w:cs="calibri" w:eastAsia="calibri"/>
                      <w:sz w:val="21"/>
                    </w:rPr>
                    <w:t>6</w:t>
                  </w:r>
                  <w:r>
                    <w:rPr>
                      <w:rFonts w:ascii="宋体" w:hAnsi="宋体" w:cs="宋体" w:eastAsia="宋体"/>
                      <w:sz w:val="21"/>
                    </w:rPr>
                    <w:t>通道脱气机</w:t>
                  </w:r>
                </w:p>
                <w:p>
                  <w:pPr>
                    <w:pStyle w:val="null3"/>
                    <w:jc w:val="both"/>
                  </w:pPr>
                  <w:r>
                    <w:rPr>
                      <w:rFonts w:ascii="calibri" w:hAnsi="calibri" w:cs="calibri" w:eastAsia="calibri"/>
                      <w:sz w:val="21"/>
                    </w:rPr>
                    <w:t xml:space="preserve">1.13 </w:t>
                  </w:r>
                  <w:r>
                    <w:rPr>
                      <w:rFonts w:ascii="宋体" w:hAnsi="宋体" w:cs="宋体" w:eastAsia="宋体"/>
                      <w:sz w:val="21"/>
                    </w:rPr>
                    <w:t>压缩性补偿</w:t>
                  </w:r>
                  <w:r>
                    <w:rPr>
                      <w:rFonts w:ascii="宋体" w:hAnsi="宋体" w:cs="宋体" w:eastAsia="宋体"/>
                      <w:sz w:val="21"/>
                    </w:rPr>
                    <w:t>全自动，与流动相组成无关</w:t>
                  </w:r>
                </w:p>
                <w:p>
                  <w:pPr>
                    <w:pStyle w:val="null3"/>
                    <w:jc w:val="both"/>
                  </w:pPr>
                  <w:r>
                    <w:rPr>
                      <w:rFonts w:ascii="calibri" w:hAnsi="calibri" w:cs="calibri" w:eastAsia="calibri"/>
                      <w:sz w:val="21"/>
                    </w:rPr>
                    <w:t xml:space="preserve">1.14 </w:t>
                  </w:r>
                  <w:r>
                    <w:rPr>
                      <w:rFonts w:ascii="宋体" w:hAnsi="宋体" w:cs="宋体" w:eastAsia="宋体"/>
                      <w:sz w:val="21"/>
                    </w:rPr>
                    <w:t>混合器体积：标配</w:t>
                  </w:r>
                  <w:r>
                    <w:rPr>
                      <w:rFonts w:ascii="calibri" w:hAnsi="calibri" w:cs="calibri" w:eastAsia="calibri"/>
                      <w:sz w:val="21"/>
                    </w:rPr>
                    <w:t>400</w:t>
                  </w:r>
                  <w:r>
                    <w:rPr>
                      <w:rFonts w:ascii="calibri" w:hAnsi="calibri" w:cs="calibri" w:eastAsia="calibri"/>
                      <w:sz w:val="21"/>
                    </w:rPr>
                    <w:t xml:space="preserve"> </w:t>
                  </w:r>
                  <w:r>
                    <w:rPr>
                      <w:rFonts w:ascii="calibri" w:hAnsi="calibri" w:cs="calibri" w:eastAsia="calibri"/>
                      <w:sz w:val="21"/>
                    </w:rPr>
                    <w:t>μL</w:t>
                  </w:r>
                </w:p>
                <w:p>
                  <w:pPr>
                    <w:pStyle w:val="null3"/>
                    <w:spacing w:before="120" w:after="120"/>
                    <w:jc w:val="both"/>
                  </w:pPr>
                  <w:r>
                    <w:rPr>
                      <w:rFonts w:ascii="calibri" w:hAnsi="calibri" w:cs="calibri" w:eastAsia="calibri"/>
                      <w:sz w:val="21"/>
                      <w:b/>
                    </w:rPr>
                    <w:t>2</w:t>
                  </w:r>
                  <w:r>
                    <w:rPr>
                      <w:rFonts w:ascii="宋体" w:hAnsi="宋体" w:cs="宋体" w:eastAsia="宋体"/>
                      <w:sz w:val="21"/>
                      <w:b/>
                    </w:rPr>
                    <w:t>、</w:t>
                  </w:r>
                  <w:r>
                    <w:rPr>
                      <w:rFonts w:ascii="宋体" w:hAnsi="宋体" w:cs="宋体" w:eastAsia="宋体"/>
                      <w:sz w:val="21"/>
                      <w:b/>
                    </w:rPr>
                    <w:t>温控</w:t>
                  </w:r>
                  <w:r>
                    <w:rPr>
                      <w:rFonts w:ascii="宋体" w:hAnsi="宋体" w:cs="宋体" w:eastAsia="宋体"/>
                      <w:sz w:val="21"/>
                      <w:b/>
                    </w:rPr>
                    <w:t>自动进样器</w:t>
                  </w:r>
                  <w:r>
                    <w:rPr>
                      <w:rFonts w:ascii="宋体" w:hAnsi="宋体" w:cs="宋体" w:eastAsia="宋体"/>
                      <w:sz w:val="21"/>
                      <w:b/>
                    </w:rPr>
                    <w:t>参数</w:t>
                  </w:r>
                </w:p>
                <w:p>
                  <w:pPr>
                    <w:pStyle w:val="null3"/>
                    <w:jc w:val="both"/>
                  </w:pPr>
                  <w:r>
                    <w:rPr>
                      <w:rFonts w:ascii="calibri" w:hAnsi="calibri" w:cs="calibri" w:eastAsia="calibri"/>
                      <w:sz w:val="21"/>
                    </w:rPr>
                    <w:t>2.</w:t>
                  </w:r>
                  <w:r>
                    <w:rPr>
                      <w:rFonts w:ascii="calibri" w:hAnsi="calibri" w:cs="calibri" w:eastAsia="calibri"/>
                      <w:sz w:val="21"/>
                    </w:rPr>
                    <w:t>1</w:t>
                  </w:r>
                  <w:r>
                    <w:rPr>
                      <w:rFonts w:ascii="宋体" w:hAnsi="宋体" w:cs="宋体" w:eastAsia="宋体"/>
                      <w:sz w:val="21"/>
                    </w:rPr>
                    <w:t>压力范围：</w:t>
                  </w:r>
                  <w:r>
                    <w:rPr>
                      <w:rFonts w:ascii="calibri" w:hAnsi="calibri" w:cs="calibri" w:eastAsia="calibri"/>
                      <w:sz w:val="21"/>
                    </w:rPr>
                    <w:t>2-100 MPa</w:t>
                  </w:r>
                  <w:r>
                    <w:rPr>
                      <w:rFonts w:ascii="宋体" w:hAnsi="宋体" w:cs="宋体" w:eastAsia="宋体"/>
                      <w:sz w:val="21"/>
                    </w:rPr>
                    <w:t>，</w:t>
                  </w:r>
                </w:p>
                <w:p>
                  <w:pPr>
                    <w:pStyle w:val="null3"/>
                    <w:jc w:val="both"/>
                  </w:pPr>
                  <w:r>
                    <w:rPr>
                      <w:rFonts w:ascii="calibri" w:hAnsi="calibri" w:cs="calibri" w:eastAsia="calibri"/>
                      <w:sz w:val="21"/>
                    </w:rPr>
                    <w:t>2.</w:t>
                  </w:r>
                  <w:r>
                    <w:rPr>
                      <w:rFonts w:ascii="calibri" w:hAnsi="calibri" w:cs="calibri" w:eastAsia="calibri"/>
                      <w:sz w:val="21"/>
                    </w:rPr>
                    <w:t>2</w:t>
                  </w:r>
                  <w:r>
                    <w:rPr>
                      <w:rFonts w:ascii="calibri" w:hAnsi="calibri" w:cs="calibri" w:eastAsia="calibri"/>
                      <w:sz w:val="21"/>
                    </w:rPr>
                    <w:t xml:space="preserve"> </w:t>
                  </w:r>
                  <w:r>
                    <w:rPr>
                      <w:rFonts w:ascii="宋体" w:hAnsi="宋体" w:cs="宋体" w:eastAsia="宋体"/>
                      <w:sz w:val="21"/>
                    </w:rPr>
                    <w:t>进样量范围：</w:t>
                  </w:r>
                  <w:r>
                    <w:rPr>
                      <w:rFonts w:ascii="calibri" w:hAnsi="calibri" w:cs="calibri" w:eastAsia="calibri"/>
                      <w:sz w:val="21"/>
                    </w:rPr>
                    <w:t>0.01-25 μL</w:t>
                  </w:r>
                  <w:r>
                    <w:rPr>
                      <w:rFonts w:ascii="宋体" w:hAnsi="宋体" w:cs="宋体" w:eastAsia="宋体"/>
                      <w:sz w:val="21"/>
                    </w:rPr>
                    <w:t>，最小步距</w:t>
                  </w:r>
                  <w:r>
                    <w:rPr>
                      <w:rFonts w:ascii="宋体" w:hAnsi="宋体" w:cs="宋体" w:eastAsia="宋体"/>
                      <w:sz w:val="21"/>
                    </w:rPr>
                    <w:t>≤</w:t>
                  </w:r>
                  <w:r>
                    <w:rPr>
                      <w:rFonts w:ascii="calibri" w:hAnsi="calibri" w:cs="calibri" w:eastAsia="calibri"/>
                      <w:sz w:val="21"/>
                    </w:rPr>
                    <w:t>0.01 μL</w:t>
                  </w:r>
                  <w:r>
                    <w:rPr>
                      <w:rFonts w:ascii="宋体" w:hAnsi="宋体" w:cs="宋体" w:eastAsia="宋体"/>
                      <w:sz w:val="21"/>
                    </w:rPr>
                    <w:t xml:space="preserve">； </w:t>
                  </w:r>
                  <w:r>
                    <w:rPr>
                      <w:rFonts w:ascii="宋体" w:hAnsi="宋体" w:cs="宋体" w:eastAsia="宋体"/>
                      <w:sz w:val="21"/>
                    </w:rPr>
                    <w:t>根据实际情况，可随时扩展。</w:t>
                  </w:r>
                </w:p>
                <w:p>
                  <w:pPr>
                    <w:pStyle w:val="null3"/>
                    <w:jc w:val="both"/>
                  </w:pPr>
                  <w:r>
                    <w:rPr>
                      <w:rFonts w:ascii="calibri" w:hAnsi="calibri" w:cs="calibri" w:eastAsia="calibri"/>
                      <w:sz w:val="21"/>
                    </w:rPr>
                    <w:t>2.</w:t>
                  </w:r>
                  <w:r>
                    <w:rPr>
                      <w:rFonts w:ascii="calibri" w:hAnsi="calibri" w:cs="calibri" w:eastAsia="calibri"/>
                      <w:sz w:val="21"/>
                    </w:rPr>
                    <w:t>3</w:t>
                  </w:r>
                  <w:r>
                    <w:rPr>
                      <w:rFonts w:ascii="宋体" w:hAnsi="宋体" w:cs="宋体" w:eastAsia="宋体"/>
                      <w:sz w:val="21"/>
                    </w:rPr>
                    <w:t>进样量准确度：</w:t>
                  </w:r>
                  <w:r>
                    <w:rPr>
                      <w:rFonts w:ascii="宋体" w:hAnsi="宋体" w:cs="宋体" w:eastAsia="宋体"/>
                      <w:sz w:val="21"/>
                    </w:rPr>
                    <w:t>对水</w:t>
                  </w:r>
                  <w:r>
                    <w:rPr>
                      <w:rFonts w:ascii="calibri" w:hAnsi="calibri" w:cs="calibri" w:eastAsia="calibri"/>
                      <w:sz w:val="21"/>
                    </w:rPr>
                    <w:t>10 μL</w:t>
                  </w:r>
                  <w:r>
                    <w:rPr>
                      <w:rFonts w:ascii="宋体" w:hAnsi="宋体" w:cs="宋体" w:eastAsia="宋体"/>
                      <w:sz w:val="21"/>
                    </w:rPr>
                    <w:t xml:space="preserve">， </w:t>
                  </w:r>
                  <w:r>
                    <w:rPr>
                      <w:rFonts w:ascii="宋体" w:hAnsi="宋体" w:cs="宋体" w:eastAsia="宋体"/>
                      <w:sz w:val="21"/>
                    </w:rPr>
                    <w:t>≤</w:t>
                  </w:r>
                  <w:r>
                    <w:rPr>
                      <w:rFonts w:ascii="calibri" w:hAnsi="calibri" w:cs="calibri" w:eastAsia="calibri"/>
                      <w:sz w:val="21"/>
                    </w:rPr>
                    <w:t>±0.5%</w:t>
                  </w:r>
                </w:p>
                <w:p>
                  <w:pPr>
                    <w:pStyle w:val="null3"/>
                    <w:jc w:val="both"/>
                  </w:pPr>
                  <w:r>
                    <w:rPr>
                      <w:rFonts w:ascii="宋体" w:hAnsi="宋体" w:cs="宋体" w:eastAsia="宋体"/>
                      <w:sz w:val="21"/>
                    </w:rPr>
                    <w:t>▲</w:t>
                  </w:r>
                  <w:r>
                    <w:rPr>
                      <w:rFonts w:ascii="calibri" w:hAnsi="calibri" w:cs="calibri" w:eastAsia="calibri"/>
                      <w:sz w:val="21"/>
                    </w:rPr>
                    <w:t>2.</w:t>
                  </w:r>
                  <w:r>
                    <w:rPr>
                      <w:rFonts w:ascii="calibri" w:hAnsi="calibri" w:cs="calibri" w:eastAsia="calibri"/>
                      <w:sz w:val="21"/>
                    </w:rPr>
                    <w:t>4</w:t>
                  </w:r>
                  <w:r>
                    <w:rPr>
                      <w:rFonts w:ascii="宋体" w:hAnsi="宋体" w:cs="宋体" w:eastAsia="宋体"/>
                      <w:sz w:val="21"/>
                    </w:rPr>
                    <w:t>进样量精度：对</w:t>
                  </w:r>
                  <w:r>
                    <w:rPr>
                      <w:rFonts w:ascii="calibri" w:hAnsi="calibri" w:cs="calibri" w:eastAsia="calibri"/>
                      <w:sz w:val="21"/>
                    </w:rPr>
                    <w:t xml:space="preserve"> 1 μL</w:t>
                  </w:r>
                  <w:r>
                    <w:rPr>
                      <w:rFonts w:ascii="宋体" w:hAnsi="宋体" w:cs="宋体" w:eastAsia="宋体"/>
                      <w:sz w:val="21"/>
                    </w:rPr>
                    <w:t>（咖啡因水溶液）</w:t>
                  </w:r>
                  <w:r>
                    <w:rPr>
                      <w:rFonts w:ascii="宋体" w:hAnsi="宋体" w:cs="宋体" w:eastAsia="宋体"/>
                      <w:sz w:val="21"/>
                    </w:rPr>
                    <w:t>≤</w:t>
                  </w:r>
                  <w:r>
                    <w:rPr>
                      <w:rFonts w:ascii="calibri" w:hAnsi="calibri" w:cs="calibri" w:eastAsia="calibri"/>
                      <w:sz w:val="21"/>
                    </w:rPr>
                    <w:t xml:space="preserve">0.25% </w:t>
                  </w:r>
                  <w:r>
                    <w:rPr>
                      <w:rFonts w:ascii="宋体" w:hAnsi="宋体" w:cs="宋体" w:eastAsia="宋体"/>
                      <w:sz w:val="21"/>
                    </w:rPr>
                    <w:t xml:space="preserve">峰面积 </w:t>
                  </w:r>
                  <w:r>
                    <w:rPr>
                      <w:rFonts w:ascii="calibri" w:hAnsi="calibri" w:cs="calibri" w:eastAsia="calibri"/>
                      <w:sz w:val="21"/>
                    </w:rPr>
                    <w:t>RSD</w:t>
                  </w:r>
                  <w:r>
                    <w:rPr>
                      <w:rFonts w:ascii="宋体" w:hAnsi="宋体" w:cs="宋体" w:eastAsia="宋体"/>
                      <w:sz w:val="21"/>
                    </w:rPr>
                    <w:t xml:space="preserve">；对 </w:t>
                  </w:r>
                  <w:r>
                    <w:rPr>
                      <w:rFonts w:ascii="calibri" w:hAnsi="calibri" w:cs="calibri" w:eastAsia="calibri"/>
                      <w:sz w:val="21"/>
                    </w:rPr>
                    <w:t>0.5 μL</w:t>
                  </w:r>
                  <w:r>
                    <w:rPr>
                      <w:rFonts w:ascii="宋体" w:hAnsi="宋体" w:cs="宋体" w:eastAsia="宋体"/>
                      <w:sz w:val="21"/>
                    </w:rPr>
                    <w:t xml:space="preserve">（咖啡因水溶液），峰面积 </w:t>
                  </w:r>
                  <w:r>
                    <w:rPr>
                      <w:rFonts w:ascii="calibri" w:hAnsi="calibri" w:cs="calibri" w:eastAsia="calibri"/>
                      <w:sz w:val="21"/>
                    </w:rPr>
                    <w:t xml:space="preserve">RSD </w:t>
                  </w:r>
                  <w:r>
                    <w:rPr>
                      <w:rFonts w:ascii="宋体" w:hAnsi="宋体" w:cs="宋体" w:eastAsia="宋体"/>
                      <w:sz w:val="21"/>
                    </w:rPr>
                    <w:t>≤</w:t>
                  </w:r>
                  <w:r>
                    <w:rPr>
                      <w:rFonts w:ascii="calibri" w:hAnsi="calibri" w:cs="calibri" w:eastAsia="calibri"/>
                      <w:sz w:val="21"/>
                    </w:rPr>
                    <w:t>0.5%</w:t>
                  </w:r>
                </w:p>
                <w:p>
                  <w:pPr>
                    <w:pStyle w:val="null3"/>
                    <w:jc w:val="both"/>
                  </w:pPr>
                  <w:r>
                    <w:rPr>
                      <w:rFonts w:ascii="calibri" w:hAnsi="calibri" w:cs="calibri" w:eastAsia="calibri"/>
                      <w:sz w:val="21"/>
                    </w:rPr>
                    <w:t>2.</w:t>
                  </w:r>
                  <w:r>
                    <w:rPr>
                      <w:rFonts w:ascii="calibri" w:hAnsi="calibri" w:cs="calibri" w:eastAsia="calibri"/>
                      <w:sz w:val="21"/>
                    </w:rPr>
                    <w:t>5</w:t>
                  </w:r>
                  <w:r>
                    <w:rPr>
                      <w:rFonts w:ascii="calibri" w:hAnsi="calibri" w:cs="calibri" w:eastAsia="calibri"/>
                      <w:sz w:val="21"/>
                    </w:rPr>
                    <w:t xml:space="preserve"> </w:t>
                  </w:r>
                  <w:r>
                    <w:rPr>
                      <w:rFonts w:ascii="宋体" w:hAnsi="宋体" w:cs="宋体" w:eastAsia="宋体"/>
                      <w:sz w:val="21"/>
                    </w:rPr>
                    <w:t>进样线性：</w:t>
                  </w:r>
                  <w:r>
                    <w:rPr>
                      <w:rFonts w:ascii="calibri" w:hAnsi="calibri" w:cs="calibri" w:eastAsia="calibri"/>
                      <w:sz w:val="21"/>
                    </w:rPr>
                    <w:t>r</w:t>
                  </w:r>
                  <w:r>
                    <w:rPr>
                      <w:rFonts w:ascii="宋体" w:hAnsi="宋体" w:cs="宋体" w:eastAsia="宋体"/>
                      <w:sz w:val="21"/>
                    </w:rPr>
                    <w:t>≥</w:t>
                  </w:r>
                  <w:r>
                    <w:rPr>
                      <w:rFonts w:ascii="calibri" w:hAnsi="calibri" w:cs="calibri" w:eastAsia="calibri"/>
                      <w:sz w:val="21"/>
                    </w:rPr>
                    <w:t>0.9999</w:t>
                  </w:r>
                  <w:r>
                    <w:rPr>
                      <w:rFonts w:ascii="宋体" w:hAnsi="宋体" w:cs="宋体" w:eastAsia="宋体"/>
                      <w:sz w:val="21"/>
                    </w:rPr>
                    <w:t>（咖啡因水溶液）</w:t>
                  </w:r>
                </w:p>
                <w:p>
                  <w:pPr>
                    <w:pStyle w:val="null3"/>
                    <w:jc w:val="both"/>
                  </w:pPr>
                  <w:r>
                    <w:rPr>
                      <w:rFonts w:ascii="calibri" w:hAnsi="calibri" w:cs="calibri" w:eastAsia="calibri"/>
                      <w:sz w:val="21"/>
                    </w:rPr>
                    <w:t>2.</w:t>
                  </w:r>
                  <w:r>
                    <w:rPr>
                      <w:rFonts w:ascii="calibri" w:hAnsi="calibri" w:cs="calibri" w:eastAsia="calibri"/>
                      <w:sz w:val="21"/>
                    </w:rPr>
                    <w:t>6</w:t>
                  </w:r>
                  <w:r>
                    <w:rPr>
                      <w:rFonts w:ascii="宋体" w:hAnsi="宋体" w:cs="宋体" w:eastAsia="宋体"/>
                      <w:sz w:val="21"/>
                    </w:rPr>
                    <w:t>进样周期时间：</w:t>
                  </w:r>
                  <w:r>
                    <w:rPr>
                      <w:rFonts w:ascii="宋体" w:hAnsi="宋体" w:cs="宋体" w:eastAsia="宋体"/>
                      <w:sz w:val="21"/>
                    </w:rPr>
                    <w:t>≤</w:t>
                  </w:r>
                  <w:r>
                    <w:rPr>
                      <w:rFonts w:ascii="calibri" w:hAnsi="calibri" w:cs="calibri" w:eastAsia="calibri"/>
                      <w:sz w:val="21"/>
                    </w:rPr>
                    <w:t>8 s</w:t>
                  </w:r>
                  <w:r>
                    <w:rPr>
                      <w:rFonts w:ascii="宋体" w:hAnsi="宋体" w:cs="宋体" w:eastAsia="宋体"/>
                      <w:sz w:val="21"/>
                    </w:rPr>
                    <w:t>；取决于可设置的进样参数，与样品位置无关</w:t>
                  </w:r>
                </w:p>
                <w:p>
                  <w:pPr>
                    <w:pStyle w:val="null3"/>
                    <w:jc w:val="both"/>
                  </w:pPr>
                  <w:r>
                    <w:rPr>
                      <w:rFonts w:ascii="calibri" w:hAnsi="calibri" w:cs="calibri" w:eastAsia="calibri"/>
                      <w:sz w:val="21"/>
                    </w:rPr>
                    <w:t>2.</w:t>
                  </w:r>
                  <w:r>
                    <w:rPr>
                      <w:rFonts w:ascii="calibri" w:hAnsi="calibri" w:cs="calibri" w:eastAsia="calibri"/>
                      <w:sz w:val="21"/>
                    </w:rPr>
                    <w:t>7</w:t>
                  </w:r>
                  <w:r>
                    <w:rPr>
                      <w:rFonts w:ascii="宋体" w:hAnsi="宋体" w:cs="宋体" w:eastAsia="宋体"/>
                      <w:sz w:val="21"/>
                    </w:rPr>
                    <w:t>所需最小样品体积：进样体积为</w:t>
                  </w:r>
                  <w:r>
                    <w:rPr>
                      <w:rFonts w:ascii="calibri" w:hAnsi="calibri" w:cs="calibri" w:eastAsia="calibri"/>
                      <w:sz w:val="21"/>
                    </w:rPr>
                    <w:t xml:space="preserve"> 1 μL </w:t>
                  </w:r>
                  <w:r>
                    <w:rPr>
                      <w:rFonts w:ascii="宋体" w:hAnsi="宋体" w:cs="宋体" w:eastAsia="宋体"/>
                      <w:sz w:val="21"/>
                    </w:rPr>
                    <w:t>时</w:t>
                  </w:r>
                  <w:r>
                    <w:rPr>
                      <w:rFonts w:ascii="宋体" w:hAnsi="宋体" w:cs="宋体" w:eastAsia="宋体"/>
                      <w:sz w:val="21"/>
                    </w:rPr>
                    <w:t>≤</w:t>
                  </w:r>
                  <w:r>
                    <w:rPr>
                      <w:rFonts w:ascii="calibri" w:hAnsi="calibri" w:cs="calibri" w:eastAsia="calibri"/>
                      <w:sz w:val="21"/>
                    </w:rPr>
                    <w:t xml:space="preserve"> 2 μL</w:t>
                  </w:r>
                </w:p>
                <w:p>
                  <w:pPr>
                    <w:pStyle w:val="null3"/>
                    <w:jc w:val="both"/>
                  </w:pPr>
                  <w:r>
                    <w:rPr>
                      <w:rFonts w:ascii="宋体" w:hAnsi="宋体" w:cs="宋体" w:eastAsia="宋体"/>
                      <w:sz w:val="21"/>
                    </w:rPr>
                    <w:t>▲</w:t>
                  </w:r>
                  <w:r>
                    <w:rPr>
                      <w:rFonts w:ascii="calibri" w:hAnsi="calibri" w:cs="calibri" w:eastAsia="calibri"/>
                      <w:sz w:val="21"/>
                    </w:rPr>
                    <w:t>2.</w:t>
                  </w:r>
                  <w:r>
                    <w:rPr>
                      <w:rFonts w:ascii="calibri" w:hAnsi="calibri" w:cs="calibri" w:eastAsia="calibri"/>
                      <w:sz w:val="21"/>
                    </w:rPr>
                    <w:t>8</w:t>
                  </w:r>
                  <w:r>
                    <w:rPr>
                      <w:rFonts w:ascii="宋体" w:hAnsi="宋体" w:cs="宋体" w:eastAsia="宋体"/>
                      <w:sz w:val="21"/>
                    </w:rPr>
                    <w:t>交叉污染</w:t>
                  </w:r>
                  <w:r>
                    <w:rPr>
                      <w:rFonts w:ascii="宋体" w:hAnsi="宋体" w:cs="宋体" w:eastAsia="宋体"/>
                      <w:sz w:val="21"/>
                    </w:rPr>
                    <w:t>（</w:t>
                  </w:r>
                  <w:r>
                    <w:rPr>
                      <w:rFonts w:ascii="calibri" w:hAnsi="calibri" w:cs="calibri" w:eastAsia="calibri"/>
                      <w:sz w:val="21"/>
                    </w:rPr>
                    <w:t>UV</w:t>
                  </w:r>
                  <w:r>
                    <w:rPr>
                      <w:rFonts w:ascii="宋体" w:hAnsi="宋体" w:cs="宋体" w:eastAsia="宋体"/>
                      <w:sz w:val="21"/>
                    </w:rPr>
                    <w:t xml:space="preserve">） </w:t>
                  </w:r>
                  <w:r>
                    <w:rPr>
                      <w:rFonts w:ascii="宋体" w:hAnsi="宋体" w:cs="宋体" w:eastAsia="宋体"/>
                      <w:sz w:val="21"/>
                    </w:rPr>
                    <w:t>：</w:t>
                  </w:r>
                  <w:r>
                    <w:rPr>
                      <w:rFonts w:ascii="宋体" w:hAnsi="宋体" w:cs="宋体" w:eastAsia="宋体"/>
                      <w:sz w:val="21"/>
                    </w:rPr>
                    <w:t>＜</w:t>
                  </w:r>
                  <w:r>
                    <w:rPr>
                      <w:rFonts w:ascii="calibri" w:hAnsi="calibri" w:cs="calibri" w:eastAsia="calibri"/>
                      <w:sz w:val="21"/>
                    </w:rPr>
                    <w:t>0.00</w:t>
                  </w:r>
                  <w:r>
                    <w:rPr>
                      <w:rFonts w:ascii="calibri" w:hAnsi="calibri" w:cs="calibri" w:eastAsia="calibri"/>
                      <w:sz w:val="21"/>
                    </w:rPr>
                    <w:t>0</w:t>
                  </w:r>
                  <w:r>
                    <w:rPr>
                      <w:rFonts w:ascii="calibri" w:hAnsi="calibri" w:cs="calibri" w:eastAsia="calibri"/>
                      <w:sz w:val="21"/>
                    </w:rPr>
                    <w:t>4%</w:t>
                  </w:r>
                </w:p>
                <w:p>
                  <w:pPr>
                    <w:pStyle w:val="null3"/>
                    <w:jc w:val="both"/>
                  </w:pPr>
                  <w:r>
                    <w:rPr>
                      <w:rFonts w:ascii="calibri" w:hAnsi="calibri" w:cs="calibri" w:eastAsia="calibri"/>
                      <w:sz w:val="21"/>
                    </w:rPr>
                    <w:t>2.</w:t>
                  </w:r>
                  <w:r>
                    <w:rPr>
                      <w:rFonts w:ascii="calibri" w:hAnsi="calibri" w:cs="calibri" w:eastAsia="calibri"/>
                      <w:sz w:val="21"/>
                    </w:rPr>
                    <w:t>9</w:t>
                  </w:r>
                  <w:r>
                    <w:rPr>
                      <w:rFonts w:ascii="宋体" w:hAnsi="宋体" w:cs="宋体" w:eastAsia="宋体"/>
                      <w:sz w:val="21"/>
                    </w:rPr>
                    <w:t>洗针液（外部）：</w:t>
                  </w:r>
                  <w:r>
                    <w:rPr>
                      <w:rFonts w:ascii="calibri" w:hAnsi="calibri" w:cs="calibri" w:eastAsia="calibri"/>
                      <w:sz w:val="21"/>
                    </w:rPr>
                    <w:t xml:space="preserve">1 </w:t>
                  </w:r>
                  <w:r>
                    <w:rPr>
                      <w:rFonts w:ascii="宋体" w:hAnsi="宋体" w:cs="宋体" w:eastAsia="宋体"/>
                      <w:sz w:val="21"/>
                    </w:rPr>
                    <w:t>种溶剂，连续浸没清洗</w:t>
                  </w:r>
                </w:p>
                <w:p>
                  <w:pPr>
                    <w:pStyle w:val="null3"/>
                    <w:jc w:val="both"/>
                  </w:pPr>
                  <w:r>
                    <w:rPr>
                      <w:rFonts w:ascii="calibri" w:hAnsi="calibri" w:cs="calibri" w:eastAsia="calibri"/>
                      <w:sz w:val="21"/>
                    </w:rPr>
                    <w:t>2.1</w:t>
                  </w:r>
                  <w:r>
                    <w:rPr>
                      <w:rFonts w:ascii="calibri" w:hAnsi="calibri" w:cs="calibri" w:eastAsia="calibri"/>
                      <w:sz w:val="21"/>
                    </w:rPr>
                    <w:t>0</w:t>
                  </w:r>
                  <w:r>
                    <w:rPr>
                      <w:rFonts w:ascii="calibri" w:hAnsi="calibri" w:cs="calibri" w:eastAsia="calibri"/>
                      <w:sz w:val="21"/>
                    </w:rPr>
                    <w:t xml:space="preserve"> </w:t>
                  </w:r>
                  <w:r>
                    <w:rPr>
                      <w:rFonts w:ascii="宋体" w:hAnsi="宋体" w:cs="宋体" w:eastAsia="宋体"/>
                      <w:sz w:val="21"/>
                    </w:rPr>
                    <w:t>样品室温度范围：</w:t>
                  </w:r>
                  <w:r>
                    <w:rPr>
                      <w:rFonts w:ascii="calibri" w:hAnsi="calibri" w:cs="calibri" w:eastAsia="calibri"/>
                      <w:sz w:val="21"/>
                    </w:rPr>
                    <w:t>4-38℃</w:t>
                  </w:r>
                </w:p>
                <w:p>
                  <w:pPr>
                    <w:pStyle w:val="null3"/>
                    <w:jc w:val="both"/>
                  </w:pPr>
                  <w:r>
                    <w:rPr>
                      <w:rFonts w:ascii="calibri" w:hAnsi="calibri" w:cs="calibri" w:eastAsia="calibri"/>
                      <w:sz w:val="21"/>
                    </w:rPr>
                    <w:t>2.1</w:t>
                  </w:r>
                  <w:r>
                    <w:rPr>
                      <w:rFonts w:ascii="calibri" w:hAnsi="calibri" w:cs="calibri" w:eastAsia="calibri"/>
                      <w:sz w:val="21"/>
                    </w:rPr>
                    <w:t>1</w:t>
                  </w:r>
                  <w:r>
                    <w:rPr>
                      <w:rFonts w:ascii="calibri" w:hAnsi="calibri" w:cs="calibri" w:eastAsia="calibri"/>
                      <w:sz w:val="21"/>
                    </w:rPr>
                    <w:t xml:space="preserve"> </w:t>
                  </w:r>
                  <w:r>
                    <w:rPr>
                      <w:rFonts w:ascii="宋体" w:hAnsi="宋体" w:cs="宋体" w:eastAsia="宋体"/>
                      <w:sz w:val="21"/>
                    </w:rPr>
                    <w:t>样品温度稳定性：</w:t>
                  </w:r>
                  <w:r>
                    <w:rPr>
                      <w:rFonts w:ascii="宋体" w:hAnsi="宋体" w:cs="宋体" w:eastAsia="宋体"/>
                      <w:sz w:val="21"/>
                    </w:rPr>
                    <w:t>≤</w:t>
                  </w:r>
                  <w:r>
                    <w:rPr>
                      <w:rFonts w:ascii="calibri" w:hAnsi="calibri" w:cs="calibri" w:eastAsia="calibri"/>
                      <w:sz w:val="21"/>
                    </w:rPr>
                    <w:t>± 1℃</w:t>
                  </w:r>
                </w:p>
                <w:p>
                  <w:pPr>
                    <w:pStyle w:val="null3"/>
                    <w:jc w:val="both"/>
                  </w:pPr>
                  <w:r>
                    <w:rPr>
                      <w:rFonts w:ascii="calibri" w:hAnsi="calibri" w:cs="calibri" w:eastAsia="calibri"/>
                      <w:sz w:val="21"/>
                    </w:rPr>
                    <w:t>2.1</w:t>
                  </w:r>
                  <w:r>
                    <w:rPr>
                      <w:rFonts w:ascii="calibri" w:hAnsi="calibri" w:cs="calibri" w:eastAsia="calibri"/>
                      <w:sz w:val="21"/>
                    </w:rPr>
                    <w:t>2</w:t>
                  </w:r>
                  <w:r>
                    <w:rPr>
                      <w:rFonts w:ascii="宋体" w:hAnsi="宋体" w:cs="宋体" w:eastAsia="宋体"/>
                      <w:sz w:val="21"/>
                    </w:rPr>
                    <w:t>进样方式：流经针环模式，无样品损失，无残留</w:t>
                  </w:r>
                </w:p>
                <w:p>
                  <w:pPr>
                    <w:pStyle w:val="null3"/>
                    <w:jc w:val="both"/>
                  </w:pPr>
                  <w:r>
                    <w:rPr>
                      <w:rFonts w:ascii="calibri" w:hAnsi="calibri" w:cs="calibri" w:eastAsia="calibri"/>
                      <w:sz w:val="21"/>
                    </w:rPr>
                    <w:t>2.1</w:t>
                  </w:r>
                  <w:r>
                    <w:rPr>
                      <w:rFonts w:ascii="calibri" w:hAnsi="calibri" w:cs="calibri" w:eastAsia="calibri"/>
                      <w:sz w:val="21"/>
                    </w:rPr>
                    <w:t>3</w:t>
                  </w:r>
                  <w:r>
                    <w:rPr>
                      <w:rFonts w:ascii="宋体" w:hAnsi="宋体" w:cs="宋体" w:eastAsia="宋体"/>
                      <w:sz w:val="21"/>
                    </w:rPr>
                    <w:t>自动化特点</w:t>
                  </w:r>
                  <w:r>
                    <w:rPr>
                      <w:rFonts w:ascii="宋体" w:hAnsi="宋体" w:cs="宋体" w:eastAsia="宋体"/>
                      <w:sz w:val="21"/>
                    </w:rPr>
                    <w:t>条码读取托盘：空段检测，样品拖盘</w:t>
                  </w:r>
                  <w:r>
                    <w:rPr>
                      <w:rFonts w:ascii="calibri" w:hAnsi="calibri" w:cs="calibri" w:eastAsia="calibri"/>
                      <w:sz w:val="21"/>
                    </w:rPr>
                    <w:t>/</w:t>
                  </w:r>
                  <w:r>
                    <w:rPr>
                      <w:rFonts w:ascii="宋体" w:hAnsi="宋体" w:cs="宋体" w:eastAsia="宋体"/>
                      <w:sz w:val="21"/>
                    </w:rPr>
                    <w:t>孔板识别，库存管理</w:t>
                  </w:r>
                </w:p>
                <w:p>
                  <w:pPr>
                    <w:pStyle w:val="null3"/>
                    <w:spacing w:before="120" w:after="120"/>
                    <w:jc w:val="both"/>
                  </w:pPr>
                  <w:r>
                    <w:rPr>
                      <w:rFonts w:ascii="calibri" w:hAnsi="calibri" w:cs="calibri" w:eastAsia="calibri"/>
                      <w:sz w:val="21"/>
                      <w:b/>
                    </w:rPr>
                    <w:t>3</w:t>
                  </w:r>
                  <w:r>
                    <w:rPr>
                      <w:rFonts w:ascii="宋体" w:hAnsi="宋体" w:cs="宋体" w:eastAsia="宋体"/>
                      <w:sz w:val="21"/>
                      <w:b/>
                    </w:rPr>
                    <w:t>、柱温箱参数</w:t>
                  </w:r>
                </w:p>
                <w:p>
                  <w:pPr>
                    <w:pStyle w:val="null3"/>
                    <w:jc w:val="both"/>
                  </w:pPr>
                  <w:r>
                    <w:rPr>
                      <w:rFonts w:ascii="宋体" w:hAnsi="宋体" w:cs="宋体" w:eastAsia="宋体"/>
                      <w:sz w:val="21"/>
                    </w:rPr>
                    <w:t>★</w:t>
                  </w:r>
                  <w:r>
                    <w:rPr>
                      <w:rFonts w:ascii="calibri" w:hAnsi="calibri" w:cs="calibri" w:eastAsia="calibri"/>
                      <w:sz w:val="21"/>
                    </w:rPr>
                    <w:t>3.1</w:t>
                  </w:r>
                  <w:r>
                    <w:rPr>
                      <w:rFonts w:ascii="宋体" w:hAnsi="宋体" w:cs="宋体" w:eastAsia="宋体"/>
                      <w:sz w:val="21"/>
                    </w:rPr>
                    <w:t>操作原理：须同时配置一至多个柱温箱，满足双系统不同温度的需要；加配柱切换阀，拓展至二维应用。</w:t>
                  </w:r>
                </w:p>
                <w:p>
                  <w:pPr>
                    <w:pStyle w:val="null3"/>
                    <w:jc w:val="both"/>
                  </w:pPr>
                  <w:r>
                    <w:rPr>
                      <w:rFonts w:ascii="calibri" w:hAnsi="calibri" w:cs="calibri" w:eastAsia="calibri"/>
                      <w:sz w:val="21"/>
                    </w:rPr>
                    <w:t xml:space="preserve">3.2 </w:t>
                  </w:r>
                  <w:r>
                    <w:rPr>
                      <w:rFonts w:ascii="宋体" w:hAnsi="宋体" w:cs="宋体" w:eastAsia="宋体"/>
                      <w:sz w:val="21"/>
                    </w:rPr>
                    <w:t>温度范围：</w:t>
                  </w:r>
                  <w:r>
                    <w:rPr>
                      <w:rFonts w:ascii="calibri" w:hAnsi="calibri" w:cs="calibri" w:eastAsia="calibri"/>
                      <w:sz w:val="21"/>
                    </w:rPr>
                    <w:t>5-80℃</w:t>
                  </w:r>
                  <w:r>
                    <w:rPr>
                      <w:rFonts w:ascii="宋体" w:hAnsi="宋体" w:cs="宋体" w:eastAsia="宋体"/>
                      <w:sz w:val="21"/>
                    </w:rPr>
                    <w:t>，</w:t>
                  </w:r>
                  <w:r>
                    <w:rPr>
                      <w:rFonts w:ascii="宋体" w:hAnsi="宋体" w:cs="宋体" w:eastAsia="宋体"/>
                      <w:sz w:val="21"/>
                    </w:rPr>
                    <w:t>增量为</w:t>
                  </w:r>
                  <w:r>
                    <w:rPr>
                      <w:rFonts w:ascii="宋体" w:hAnsi="宋体" w:cs="宋体" w:eastAsia="宋体"/>
                      <w:sz w:val="21"/>
                    </w:rPr>
                    <w:t>≤</w:t>
                  </w:r>
                  <w:r>
                    <w:rPr>
                      <w:rFonts w:ascii="calibri" w:hAnsi="calibri" w:cs="calibri" w:eastAsia="calibri"/>
                      <w:sz w:val="21"/>
                    </w:rPr>
                    <w:t>0.1℃</w:t>
                  </w:r>
                  <w:r>
                    <w:rPr>
                      <w:rFonts w:ascii="宋体" w:hAnsi="宋体" w:cs="宋体" w:eastAsia="宋体"/>
                      <w:sz w:val="21"/>
                    </w:rPr>
                    <w:t>。</w:t>
                  </w:r>
                </w:p>
                <w:p>
                  <w:pPr>
                    <w:pStyle w:val="null3"/>
                    <w:jc w:val="both"/>
                  </w:pPr>
                  <w:r>
                    <w:rPr>
                      <w:rFonts w:ascii="calibri" w:hAnsi="calibri" w:cs="calibri" w:eastAsia="calibri"/>
                      <w:sz w:val="21"/>
                    </w:rPr>
                    <w:t xml:space="preserve">3.3 </w:t>
                  </w:r>
                  <w:r>
                    <w:rPr>
                      <w:rFonts w:ascii="宋体" w:hAnsi="宋体" w:cs="宋体" w:eastAsia="宋体"/>
                      <w:sz w:val="21"/>
                    </w:rPr>
                    <w:t>温度稳定性：</w:t>
                  </w:r>
                  <w:r>
                    <w:rPr>
                      <w:rFonts w:ascii="宋体" w:hAnsi="宋体" w:cs="宋体" w:eastAsia="宋体"/>
                      <w:sz w:val="21"/>
                    </w:rPr>
                    <w:t>≤</w:t>
                  </w:r>
                  <w:r>
                    <w:rPr>
                      <w:rFonts w:ascii="calibri" w:hAnsi="calibri" w:cs="calibri" w:eastAsia="calibri"/>
                      <w:sz w:val="21"/>
                    </w:rPr>
                    <w:t>0.05 ℃</w:t>
                  </w:r>
                  <w:r>
                    <w:rPr>
                      <w:rFonts w:ascii="宋体" w:hAnsi="宋体" w:cs="宋体" w:eastAsia="宋体"/>
                      <w:sz w:val="21"/>
                    </w:rPr>
                    <w:t>。</w:t>
                  </w:r>
                </w:p>
                <w:p>
                  <w:pPr>
                    <w:pStyle w:val="null3"/>
                    <w:jc w:val="both"/>
                  </w:pPr>
                  <w:r>
                    <w:rPr>
                      <w:rFonts w:ascii="calibri" w:hAnsi="calibri" w:cs="calibri" w:eastAsia="calibri"/>
                      <w:sz w:val="21"/>
                    </w:rPr>
                    <w:t xml:space="preserve">3.4 </w:t>
                  </w:r>
                  <w:r>
                    <w:rPr>
                      <w:rFonts w:ascii="宋体" w:hAnsi="宋体" w:cs="宋体" w:eastAsia="宋体"/>
                      <w:sz w:val="21"/>
                    </w:rPr>
                    <w:t>温度准确度：</w:t>
                  </w:r>
                  <w:r>
                    <w:rPr>
                      <w:rFonts w:ascii="宋体" w:hAnsi="宋体" w:cs="宋体" w:eastAsia="宋体"/>
                      <w:sz w:val="21"/>
                    </w:rPr>
                    <w:t>≤</w:t>
                  </w:r>
                  <w:r>
                    <w:rPr>
                      <w:rFonts w:ascii="calibri" w:hAnsi="calibri" w:cs="calibri" w:eastAsia="calibri"/>
                      <w:sz w:val="21"/>
                    </w:rPr>
                    <w:t>0.5 ℃</w:t>
                  </w:r>
                </w:p>
                <w:p>
                  <w:pPr>
                    <w:pStyle w:val="null3"/>
                    <w:jc w:val="both"/>
                  </w:pPr>
                  <w:r>
                    <w:rPr>
                      <w:rFonts w:ascii="calibri" w:hAnsi="calibri" w:cs="calibri" w:eastAsia="calibri"/>
                      <w:sz w:val="21"/>
                    </w:rPr>
                    <w:t xml:space="preserve">3.5 </w:t>
                  </w:r>
                  <w:r>
                    <w:rPr>
                      <w:rFonts w:ascii="宋体" w:hAnsi="宋体" w:cs="宋体" w:eastAsia="宋体"/>
                      <w:sz w:val="21"/>
                    </w:rPr>
                    <w:t>加热性能：</w:t>
                  </w:r>
                  <w:r>
                    <w:rPr>
                      <w:rFonts w:ascii="宋体" w:hAnsi="宋体" w:cs="宋体" w:eastAsia="宋体"/>
                      <w:sz w:val="21"/>
                    </w:rPr>
                    <w:t>≤</w:t>
                  </w:r>
                  <w:r>
                    <w:rPr>
                      <w:rFonts w:ascii="calibri" w:hAnsi="calibri" w:cs="calibri" w:eastAsia="calibri"/>
                      <w:sz w:val="21"/>
                    </w:rPr>
                    <w:t>15 min</w:t>
                  </w:r>
                  <w:r>
                    <w:rPr>
                      <w:rFonts w:ascii="宋体" w:hAnsi="宋体" w:cs="宋体" w:eastAsia="宋体"/>
                      <w:sz w:val="21"/>
                    </w:rPr>
                    <w:t>，</w:t>
                  </w:r>
                  <w:r>
                    <w:rPr>
                      <w:rFonts w:ascii="calibri" w:hAnsi="calibri" w:cs="calibri" w:eastAsia="calibri"/>
                      <w:sz w:val="21"/>
                    </w:rPr>
                    <w:t>20-50℃</w:t>
                  </w:r>
                  <w:r>
                    <w:rPr>
                      <w:rFonts w:ascii="宋体" w:hAnsi="宋体" w:cs="宋体" w:eastAsia="宋体"/>
                      <w:sz w:val="21"/>
                    </w:rPr>
                    <w:t>，</w:t>
                  </w:r>
                  <w:r>
                    <w:rPr>
                      <w:rFonts w:ascii="宋体" w:hAnsi="宋体" w:cs="宋体" w:eastAsia="宋体"/>
                      <w:sz w:val="21"/>
                    </w:rPr>
                    <w:t>≤</w:t>
                  </w:r>
                  <w:r>
                    <w:rPr>
                      <w:rFonts w:ascii="calibri" w:hAnsi="calibri" w:cs="calibri" w:eastAsia="calibri"/>
                      <w:sz w:val="21"/>
                    </w:rPr>
                    <w:t xml:space="preserve"> 1℃ </w:t>
                  </w:r>
                  <w:r>
                    <w:rPr>
                      <w:rFonts w:ascii="宋体" w:hAnsi="宋体" w:cs="宋体" w:eastAsia="宋体"/>
                      <w:sz w:val="21"/>
                    </w:rPr>
                    <w:t>；典型：</w:t>
                  </w:r>
                  <w:r>
                    <w:rPr>
                      <w:rFonts w:ascii="calibri" w:hAnsi="calibri" w:cs="calibri" w:eastAsia="calibri"/>
                      <w:sz w:val="21"/>
                    </w:rPr>
                    <w:t>5 min</w:t>
                  </w:r>
                  <w:r>
                    <w:rPr>
                      <w:rFonts w:ascii="宋体" w:hAnsi="宋体" w:cs="宋体" w:eastAsia="宋体"/>
                      <w:sz w:val="21"/>
                    </w:rPr>
                    <w:t>，</w:t>
                  </w:r>
                  <w:r>
                    <w:rPr>
                      <w:rFonts w:ascii="calibri" w:hAnsi="calibri" w:cs="calibri" w:eastAsia="calibri"/>
                      <w:sz w:val="21"/>
                    </w:rPr>
                    <w:t>25-40℃</w:t>
                  </w:r>
                  <w:r>
                    <w:rPr>
                      <w:rFonts w:ascii="宋体" w:hAnsi="宋体" w:cs="宋体" w:eastAsia="宋体"/>
                      <w:sz w:val="21"/>
                    </w:rPr>
                    <w:t>，</w:t>
                  </w:r>
                  <w:r>
                    <w:rPr>
                      <w:rFonts w:ascii="宋体" w:hAnsi="宋体" w:cs="宋体" w:eastAsia="宋体"/>
                      <w:sz w:val="21"/>
                    </w:rPr>
                    <w:t>≤</w:t>
                  </w:r>
                  <w:r>
                    <w:rPr>
                      <w:rFonts w:ascii="calibri" w:hAnsi="calibri" w:cs="calibri" w:eastAsia="calibri"/>
                      <w:sz w:val="21"/>
                    </w:rPr>
                    <w:t xml:space="preserve"> 1 ℃</w:t>
                  </w:r>
                  <w:r>
                    <w:rPr>
                      <w:rFonts w:ascii="宋体" w:hAnsi="宋体" w:cs="宋体" w:eastAsia="宋体"/>
                      <w:sz w:val="21"/>
                    </w:rPr>
                    <w:t>。</w:t>
                  </w:r>
                </w:p>
                <w:p>
                  <w:pPr>
                    <w:pStyle w:val="null3"/>
                    <w:jc w:val="both"/>
                  </w:pPr>
                  <w:r>
                    <w:rPr>
                      <w:rFonts w:ascii="calibri" w:hAnsi="calibri" w:cs="calibri" w:eastAsia="calibri"/>
                      <w:sz w:val="21"/>
                    </w:rPr>
                    <w:t xml:space="preserve">3.6 </w:t>
                  </w:r>
                  <w:r>
                    <w:rPr>
                      <w:rFonts w:ascii="宋体" w:hAnsi="宋体" w:cs="宋体" w:eastAsia="宋体"/>
                      <w:sz w:val="21"/>
                    </w:rPr>
                    <w:t>冷却性能：</w:t>
                  </w:r>
                  <w:r>
                    <w:rPr>
                      <w:rFonts w:ascii="宋体" w:hAnsi="宋体" w:cs="宋体" w:eastAsia="宋体"/>
                      <w:sz w:val="21"/>
                    </w:rPr>
                    <w:t>≤</w:t>
                  </w:r>
                  <w:r>
                    <w:rPr>
                      <w:rFonts w:ascii="calibri" w:hAnsi="calibri" w:cs="calibri" w:eastAsia="calibri"/>
                      <w:sz w:val="21"/>
                    </w:rPr>
                    <w:t>15 min</w:t>
                  </w:r>
                  <w:r>
                    <w:rPr>
                      <w:rFonts w:ascii="宋体" w:hAnsi="宋体" w:cs="宋体" w:eastAsia="宋体"/>
                      <w:sz w:val="21"/>
                    </w:rPr>
                    <w:t>，</w:t>
                  </w:r>
                  <w:r>
                    <w:rPr>
                      <w:rFonts w:ascii="calibri" w:hAnsi="calibri" w:cs="calibri" w:eastAsia="calibri"/>
                      <w:sz w:val="21"/>
                    </w:rPr>
                    <w:t>50-20℃</w:t>
                  </w:r>
                  <w:r>
                    <w:rPr>
                      <w:rFonts w:ascii="宋体" w:hAnsi="宋体" w:cs="宋体" w:eastAsia="宋体"/>
                      <w:sz w:val="21"/>
                    </w:rPr>
                    <w:t>，</w:t>
                  </w:r>
                  <w:r>
                    <w:rPr>
                      <w:rFonts w:ascii="宋体" w:hAnsi="宋体" w:cs="宋体" w:eastAsia="宋体"/>
                      <w:sz w:val="21"/>
                    </w:rPr>
                    <w:t>≤</w:t>
                  </w:r>
                  <w:r>
                    <w:rPr>
                      <w:rFonts w:ascii="calibri" w:hAnsi="calibri" w:cs="calibri" w:eastAsia="calibri"/>
                      <w:sz w:val="21"/>
                    </w:rPr>
                    <w:t xml:space="preserve"> 1 ℃</w:t>
                  </w:r>
                  <w:r>
                    <w:rPr>
                      <w:rFonts w:ascii="宋体" w:hAnsi="宋体" w:cs="宋体" w:eastAsia="宋体"/>
                      <w:sz w:val="21"/>
                    </w:rPr>
                    <w:t>。</w:t>
                  </w:r>
                </w:p>
                <w:p>
                  <w:pPr>
                    <w:pStyle w:val="null3"/>
                    <w:jc w:val="both"/>
                  </w:pPr>
                  <w:r>
                    <w:rPr>
                      <w:rFonts w:ascii="宋体" w:hAnsi="宋体" w:cs="宋体" w:eastAsia="宋体"/>
                      <w:sz w:val="21"/>
                    </w:rPr>
                    <w:t>★</w:t>
                  </w:r>
                  <w:r>
                    <w:rPr>
                      <w:rFonts w:ascii="calibri" w:hAnsi="calibri" w:cs="calibri" w:eastAsia="calibri"/>
                      <w:sz w:val="21"/>
                    </w:rPr>
                    <w:t xml:space="preserve">3.7 </w:t>
                  </w:r>
                  <w:r>
                    <w:rPr>
                      <w:rFonts w:ascii="宋体" w:hAnsi="宋体" w:cs="宋体" w:eastAsia="宋体"/>
                      <w:sz w:val="21"/>
                    </w:rPr>
                    <w:t>柱温箱具备双阀切换系统。</w:t>
                  </w:r>
                </w:p>
                <w:p>
                  <w:pPr>
                    <w:pStyle w:val="null3"/>
                    <w:spacing w:before="120" w:after="120"/>
                    <w:jc w:val="both"/>
                  </w:pPr>
                  <w:r>
                    <w:rPr>
                      <w:rFonts w:ascii="calibri" w:hAnsi="calibri" w:cs="calibri" w:eastAsia="calibri"/>
                      <w:sz w:val="21"/>
                      <w:b/>
                    </w:rPr>
                    <w:t>4</w:t>
                  </w:r>
                  <w:r>
                    <w:rPr>
                      <w:rFonts w:ascii="宋体" w:hAnsi="宋体" w:cs="宋体" w:eastAsia="宋体"/>
                      <w:sz w:val="21"/>
                      <w:b/>
                    </w:rPr>
                    <w:t>、二极管阵列检测器参数</w:t>
                  </w:r>
                </w:p>
                <w:p>
                  <w:pPr>
                    <w:pStyle w:val="null3"/>
                    <w:jc w:val="both"/>
                  </w:pPr>
                  <w:r>
                    <w:rPr>
                      <w:rFonts w:ascii="calibri" w:hAnsi="calibri" w:cs="calibri" w:eastAsia="calibri"/>
                      <w:sz w:val="21"/>
                    </w:rPr>
                    <w:t>4.</w:t>
                  </w:r>
                  <w:r>
                    <w:rPr>
                      <w:rFonts w:ascii="calibri" w:hAnsi="calibri" w:cs="calibri" w:eastAsia="calibri"/>
                      <w:sz w:val="21"/>
                    </w:rPr>
                    <w:t>1</w:t>
                  </w:r>
                  <w:r>
                    <w:rPr>
                      <w:rFonts w:ascii="calibri" w:hAnsi="calibri" w:cs="calibri" w:eastAsia="calibri"/>
                      <w:sz w:val="21"/>
                    </w:rPr>
                    <w:t xml:space="preserve"> </w:t>
                  </w:r>
                  <w:r>
                    <w:rPr>
                      <w:rFonts w:ascii="宋体" w:hAnsi="宋体" w:cs="宋体" w:eastAsia="宋体"/>
                      <w:sz w:val="21"/>
                    </w:rPr>
                    <w:t>波长范围：</w:t>
                  </w:r>
                  <w:r>
                    <w:rPr>
                      <w:rFonts w:ascii="calibri" w:hAnsi="calibri" w:cs="calibri" w:eastAsia="calibri"/>
                      <w:sz w:val="21"/>
                    </w:rPr>
                    <w:t>190-790nm</w:t>
                  </w:r>
                  <w:r>
                    <w:rPr>
                      <w:rFonts w:ascii="宋体" w:hAnsi="宋体" w:cs="宋体" w:eastAsia="宋体"/>
                      <w:sz w:val="21"/>
                    </w:rPr>
                    <w:t>。</w:t>
                  </w:r>
                </w:p>
                <w:p>
                  <w:pPr>
                    <w:pStyle w:val="null3"/>
                    <w:jc w:val="both"/>
                  </w:pPr>
                  <w:r>
                    <w:rPr>
                      <w:rFonts w:ascii="calibri" w:hAnsi="calibri" w:cs="calibri" w:eastAsia="calibri"/>
                      <w:sz w:val="21"/>
                    </w:rPr>
                    <w:t>4.</w:t>
                  </w:r>
                  <w:r>
                    <w:rPr>
                      <w:rFonts w:ascii="calibri" w:hAnsi="calibri" w:cs="calibri" w:eastAsia="calibri"/>
                      <w:sz w:val="21"/>
                    </w:rPr>
                    <w:t>2</w:t>
                  </w:r>
                  <w:r>
                    <w:rPr>
                      <w:rFonts w:ascii="calibri" w:hAnsi="calibri" w:cs="calibri" w:eastAsia="calibri"/>
                      <w:sz w:val="21"/>
                    </w:rPr>
                    <w:t xml:space="preserve"> </w:t>
                  </w:r>
                  <w:r>
                    <w:rPr>
                      <w:rFonts w:ascii="宋体" w:hAnsi="宋体" w:cs="宋体" w:eastAsia="宋体"/>
                      <w:sz w:val="21"/>
                    </w:rPr>
                    <w:t>波长准确度：</w:t>
                  </w:r>
                  <w:r>
                    <w:rPr>
                      <w:rFonts w:ascii="calibri" w:hAnsi="calibri" w:cs="calibri" w:eastAsia="calibri"/>
                      <w:sz w:val="21"/>
                    </w:rPr>
                    <w:t>± 1 nm</w:t>
                  </w:r>
                  <w:r>
                    <w:rPr>
                      <w:rFonts w:ascii="宋体" w:hAnsi="宋体" w:cs="宋体" w:eastAsia="宋体"/>
                      <w:sz w:val="21"/>
                    </w:rPr>
                    <w:t>。</w:t>
                  </w:r>
                </w:p>
                <w:p>
                  <w:pPr>
                    <w:pStyle w:val="null3"/>
                    <w:jc w:val="both"/>
                  </w:pPr>
                  <w:r>
                    <w:rPr>
                      <w:rFonts w:ascii="calibri" w:hAnsi="calibri" w:cs="calibri" w:eastAsia="calibri"/>
                      <w:sz w:val="21"/>
                    </w:rPr>
                    <w:t>4.</w:t>
                  </w:r>
                  <w:r>
                    <w:rPr>
                      <w:rFonts w:ascii="calibri" w:hAnsi="calibri" w:cs="calibri" w:eastAsia="calibri"/>
                      <w:sz w:val="21"/>
                    </w:rPr>
                    <w:t>3</w:t>
                  </w:r>
                  <w:r>
                    <w:rPr>
                      <w:rFonts w:ascii="calibri" w:hAnsi="calibri" w:cs="calibri" w:eastAsia="calibri"/>
                      <w:sz w:val="21"/>
                    </w:rPr>
                    <w:t xml:space="preserve"> </w:t>
                  </w:r>
                  <w:r>
                    <w:rPr>
                      <w:rFonts w:ascii="宋体" w:hAnsi="宋体" w:cs="宋体" w:eastAsia="宋体"/>
                      <w:sz w:val="21"/>
                    </w:rPr>
                    <w:t>波长精密度：</w:t>
                  </w:r>
                  <w:r>
                    <w:rPr>
                      <w:rFonts w:ascii="calibri" w:hAnsi="calibri" w:cs="calibri" w:eastAsia="calibri"/>
                      <w:sz w:val="21"/>
                    </w:rPr>
                    <w:t>± 0.1 nm</w:t>
                  </w:r>
                  <w:r>
                    <w:rPr>
                      <w:rFonts w:ascii="宋体" w:hAnsi="宋体" w:cs="宋体" w:eastAsia="宋体"/>
                      <w:sz w:val="21"/>
                    </w:rPr>
                    <w:t>。</w:t>
                  </w:r>
                </w:p>
                <w:p>
                  <w:pPr>
                    <w:pStyle w:val="null3"/>
                    <w:jc w:val="both"/>
                  </w:pPr>
                  <w:r>
                    <w:rPr>
                      <w:rFonts w:ascii="calibri" w:hAnsi="calibri" w:cs="calibri" w:eastAsia="calibri"/>
                      <w:sz w:val="21"/>
                    </w:rPr>
                    <w:t>4.</w:t>
                  </w:r>
                  <w:r>
                    <w:rPr>
                      <w:rFonts w:ascii="calibri" w:hAnsi="calibri" w:cs="calibri" w:eastAsia="calibri"/>
                      <w:sz w:val="21"/>
                    </w:rPr>
                    <w:t>4</w:t>
                  </w:r>
                  <w:r>
                    <w:rPr>
                      <w:rFonts w:ascii="calibri" w:hAnsi="calibri" w:cs="calibri" w:eastAsia="calibri"/>
                      <w:sz w:val="21"/>
                    </w:rPr>
                    <w:t xml:space="preserve"> </w:t>
                  </w:r>
                  <w:r>
                    <w:rPr>
                      <w:rFonts w:ascii="宋体" w:hAnsi="宋体" w:cs="宋体" w:eastAsia="宋体"/>
                      <w:sz w:val="21"/>
                    </w:rPr>
                    <w:t>像素分辨率：</w:t>
                  </w:r>
                  <w:r>
                    <w:rPr>
                      <w:rFonts w:ascii="calibri" w:hAnsi="calibri" w:cs="calibri" w:eastAsia="calibri"/>
                      <w:sz w:val="21"/>
                    </w:rPr>
                    <w:t>0.6 nm</w:t>
                  </w:r>
                  <w:r>
                    <w:rPr>
                      <w:rFonts w:ascii="宋体" w:hAnsi="宋体" w:cs="宋体" w:eastAsia="宋体"/>
                      <w:sz w:val="21"/>
                    </w:rPr>
                    <w:t>（平均）</w:t>
                  </w:r>
                  <w:r>
                    <w:rPr>
                      <w:rFonts w:ascii="宋体" w:hAnsi="宋体" w:cs="宋体" w:eastAsia="宋体"/>
                      <w:sz w:val="21"/>
                    </w:rPr>
                    <w:t>。</w:t>
                  </w:r>
                </w:p>
                <w:p>
                  <w:pPr>
                    <w:pStyle w:val="null3"/>
                    <w:jc w:val="both"/>
                  </w:pPr>
                  <w:r>
                    <w:rPr>
                      <w:rFonts w:ascii="calibri" w:hAnsi="calibri" w:cs="calibri" w:eastAsia="calibri"/>
                      <w:sz w:val="21"/>
                    </w:rPr>
                    <w:t>4.</w:t>
                  </w:r>
                  <w:r>
                    <w:rPr>
                      <w:rFonts w:ascii="calibri" w:hAnsi="calibri" w:cs="calibri" w:eastAsia="calibri"/>
                      <w:sz w:val="21"/>
                    </w:rPr>
                    <w:t>5</w:t>
                  </w:r>
                  <w:r>
                    <w:rPr>
                      <w:rFonts w:ascii="宋体" w:hAnsi="宋体" w:cs="宋体" w:eastAsia="宋体"/>
                      <w:sz w:val="21"/>
                    </w:rPr>
                    <w:t>通道数：</w:t>
                  </w:r>
                  <w:r>
                    <w:rPr>
                      <w:rFonts w:ascii="calibri" w:hAnsi="calibri" w:cs="calibri" w:eastAsia="calibri"/>
                      <w:sz w:val="21"/>
                    </w:rPr>
                    <w:t xml:space="preserve">8 + 3D UV </w:t>
                  </w:r>
                  <w:r>
                    <w:rPr>
                      <w:rFonts w:ascii="宋体" w:hAnsi="宋体" w:cs="宋体" w:eastAsia="宋体"/>
                      <w:sz w:val="21"/>
                    </w:rPr>
                    <w:t>光谱扫描</w:t>
                  </w:r>
                  <w:r>
                    <w:rPr>
                      <w:rFonts w:ascii="宋体" w:hAnsi="宋体" w:cs="宋体" w:eastAsia="宋体"/>
                      <w:sz w:val="21"/>
                    </w:rPr>
                    <w:t>。</w:t>
                  </w:r>
                </w:p>
                <w:p>
                  <w:pPr>
                    <w:pStyle w:val="null3"/>
                    <w:jc w:val="both"/>
                  </w:pPr>
                  <w:r>
                    <w:rPr>
                      <w:rFonts w:ascii="calibri" w:hAnsi="calibri" w:cs="calibri" w:eastAsia="calibri"/>
                      <w:sz w:val="21"/>
                    </w:rPr>
                    <w:t>4.</w:t>
                  </w:r>
                  <w:r>
                    <w:rPr>
                      <w:rFonts w:ascii="calibri" w:hAnsi="calibri" w:cs="calibri" w:eastAsia="calibri"/>
                      <w:sz w:val="21"/>
                    </w:rPr>
                    <w:t>6</w:t>
                  </w:r>
                  <w:r>
                    <w:rPr>
                      <w:rFonts w:ascii="宋体" w:hAnsi="宋体" w:cs="宋体" w:eastAsia="宋体"/>
                      <w:sz w:val="21"/>
                    </w:rPr>
                    <w:t>灯：氘灯、钨灯</w:t>
                  </w:r>
                  <w:r>
                    <w:rPr>
                      <w:rFonts w:ascii="宋体" w:hAnsi="宋体" w:cs="宋体" w:eastAsia="宋体"/>
                      <w:sz w:val="21"/>
                    </w:rPr>
                    <w:t>。</w:t>
                  </w:r>
                </w:p>
                <w:p>
                  <w:pPr>
                    <w:pStyle w:val="null3"/>
                    <w:jc w:val="both"/>
                  </w:pPr>
                  <w:r>
                    <w:rPr>
                      <w:rFonts w:ascii="宋体" w:hAnsi="宋体" w:cs="宋体" w:eastAsia="宋体"/>
                      <w:sz w:val="21"/>
                    </w:rPr>
                    <w:t>▲</w:t>
                  </w:r>
                  <w:r>
                    <w:rPr>
                      <w:rFonts w:ascii="calibri" w:hAnsi="calibri" w:cs="calibri" w:eastAsia="calibri"/>
                      <w:sz w:val="21"/>
                    </w:rPr>
                    <w:t>4.</w:t>
                  </w:r>
                  <w:r>
                    <w:rPr>
                      <w:rFonts w:ascii="calibri" w:hAnsi="calibri" w:cs="calibri" w:eastAsia="calibri"/>
                      <w:sz w:val="21"/>
                    </w:rPr>
                    <w:t>7</w:t>
                  </w:r>
                  <w:r>
                    <w:rPr>
                      <w:rFonts w:ascii="宋体" w:hAnsi="宋体" w:cs="宋体" w:eastAsia="宋体"/>
                      <w:sz w:val="21"/>
                    </w:rPr>
                    <w:t>最大数据采集频率：</w:t>
                  </w:r>
                  <w:r>
                    <w:rPr>
                      <w:rFonts w:ascii="calibri" w:hAnsi="calibri" w:cs="calibri" w:eastAsia="calibri"/>
                      <w:sz w:val="21"/>
                    </w:rPr>
                    <w:t>≥120</w:t>
                  </w:r>
                  <w:r>
                    <w:rPr>
                      <w:rFonts w:ascii="calibri" w:hAnsi="calibri" w:cs="calibri" w:eastAsia="calibri"/>
                      <w:sz w:val="21"/>
                    </w:rPr>
                    <w:t>Hz</w:t>
                  </w:r>
                  <w:r>
                    <w:rPr>
                      <w:rFonts w:ascii="宋体" w:hAnsi="宋体" w:cs="宋体" w:eastAsia="宋体"/>
                      <w:sz w:val="21"/>
                    </w:rPr>
                    <w:t>。</w:t>
                  </w:r>
                </w:p>
                <w:p>
                  <w:pPr>
                    <w:pStyle w:val="null3"/>
                    <w:jc w:val="both"/>
                  </w:pPr>
                  <w:r>
                    <w:rPr>
                      <w:rFonts w:ascii="calibri" w:hAnsi="calibri" w:cs="calibri" w:eastAsia="calibri"/>
                      <w:sz w:val="21"/>
                    </w:rPr>
                    <w:t>4.</w:t>
                  </w:r>
                  <w:r>
                    <w:rPr>
                      <w:rFonts w:ascii="calibri" w:hAnsi="calibri" w:cs="calibri" w:eastAsia="calibri"/>
                      <w:sz w:val="21"/>
                    </w:rPr>
                    <w:t>8</w:t>
                  </w:r>
                  <w:r>
                    <w:rPr>
                      <w:rFonts w:ascii="calibri" w:hAnsi="calibri" w:cs="calibri" w:eastAsia="calibri"/>
                      <w:sz w:val="21"/>
                    </w:rPr>
                    <w:t xml:space="preserve"> </w:t>
                  </w:r>
                  <w:r>
                    <w:rPr>
                      <w:rFonts w:ascii="宋体" w:hAnsi="宋体" w:cs="宋体" w:eastAsia="宋体"/>
                      <w:sz w:val="21"/>
                    </w:rPr>
                    <w:t>自动校正：</w:t>
                  </w:r>
                  <w:r>
                    <w:rPr>
                      <w:rFonts w:ascii="calibri" w:hAnsi="calibri" w:cs="calibri" w:eastAsia="calibri"/>
                      <w:sz w:val="21"/>
                    </w:rPr>
                    <w:t>D-alpha</w:t>
                  </w:r>
                  <w:r>
                    <w:rPr>
                      <w:rFonts w:ascii="宋体" w:hAnsi="宋体" w:cs="宋体" w:eastAsia="宋体"/>
                      <w:sz w:val="21"/>
                    </w:rPr>
                    <w:t>线法自校正，氧化钬滤光器验证</w:t>
                  </w:r>
                  <w:r>
                    <w:rPr>
                      <w:rFonts w:ascii="宋体" w:hAnsi="宋体" w:cs="宋体" w:eastAsia="宋体"/>
                      <w:sz w:val="21"/>
                    </w:rPr>
                    <w:t>。</w:t>
                  </w:r>
                </w:p>
                <w:p>
                  <w:pPr>
                    <w:pStyle w:val="null3"/>
                    <w:jc w:val="both"/>
                  </w:pPr>
                  <w:r>
                    <w:rPr>
                      <w:rFonts w:ascii="calibri" w:hAnsi="calibri" w:cs="calibri" w:eastAsia="calibri"/>
                      <w:sz w:val="21"/>
                    </w:rPr>
                    <w:t>4.</w:t>
                  </w:r>
                  <w:r>
                    <w:rPr>
                      <w:rFonts w:ascii="calibri" w:hAnsi="calibri" w:cs="calibri" w:eastAsia="calibri"/>
                      <w:sz w:val="21"/>
                    </w:rPr>
                    <w:t>9</w:t>
                  </w:r>
                  <w:r>
                    <w:rPr>
                      <w:rFonts w:ascii="宋体" w:hAnsi="宋体" w:cs="宋体" w:eastAsia="宋体"/>
                      <w:sz w:val="21"/>
                    </w:rPr>
                    <w:t>噪声：</w:t>
                  </w:r>
                  <w:r>
                    <w:rPr>
                      <w:rFonts w:ascii="宋体" w:hAnsi="宋体" w:cs="宋体" w:eastAsia="宋体"/>
                      <w:sz w:val="21"/>
                    </w:rPr>
                    <w:t>＜</w:t>
                  </w:r>
                  <w:r>
                    <w:rPr>
                      <w:rFonts w:ascii="calibri" w:hAnsi="calibri" w:cs="calibri" w:eastAsia="calibri"/>
                      <w:sz w:val="21"/>
                    </w:rPr>
                    <w:t xml:space="preserve"> </w:t>
                  </w:r>
                  <w:r>
                    <w:rPr>
                      <w:rFonts w:ascii="calibri" w:hAnsi="calibri" w:cs="calibri" w:eastAsia="calibri"/>
                      <w:sz w:val="21"/>
                    </w:rPr>
                    <w:t xml:space="preserve">±6 µAU </w:t>
                  </w:r>
                  <w:r>
                    <w:rPr>
                      <w:rFonts w:ascii="宋体" w:hAnsi="宋体" w:cs="宋体" w:eastAsia="宋体"/>
                      <w:sz w:val="21"/>
                    </w:rPr>
                    <w:t>在</w:t>
                  </w:r>
                  <w:r>
                    <w:rPr>
                      <w:rFonts w:ascii="calibri" w:hAnsi="calibri" w:cs="calibri" w:eastAsia="calibri"/>
                      <w:sz w:val="21"/>
                    </w:rPr>
                    <w:t>254 nm</w:t>
                  </w:r>
                  <w:r>
                    <w:rPr>
                      <w:rFonts w:ascii="宋体" w:hAnsi="宋体" w:cs="宋体" w:eastAsia="宋体"/>
                      <w:sz w:val="21"/>
                    </w:rPr>
                    <w:t>。</w:t>
                  </w:r>
                </w:p>
                <w:p>
                  <w:pPr>
                    <w:pStyle w:val="null3"/>
                    <w:jc w:val="both"/>
                  </w:pPr>
                  <w:r>
                    <w:rPr>
                      <w:rFonts w:ascii="calibri" w:hAnsi="calibri" w:cs="calibri" w:eastAsia="calibri"/>
                      <w:sz w:val="21"/>
                    </w:rPr>
                    <w:t>4.1</w:t>
                  </w:r>
                  <w:r>
                    <w:rPr>
                      <w:rFonts w:ascii="calibri" w:hAnsi="calibri" w:cs="calibri" w:eastAsia="calibri"/>
                      <w:sz w:val="21"/>
                    </w:rPr>
                    <w:t>0</w:t>
                  </w:r>
                  <w:r>
                    <w:rPr>
                      <w:rFonts w:ascii="宋体" w:hAnsi="宋体" w:cs="宋体" w:eastAsia="宋体"/>
                      <w:sz w:val="21"/>
                    </w:rPr>
                    <w:t>漂移：</w:t>
                  </w:r>
                  <w:r>
                    <w:rPr>
                      <w:rFonts w:ascii="宋体" w:hAnsi="宋体" w:cs="宋体" w:eastAsia="宋体"/>
                      <w:sz w:val="21"/>
                    </w:rPr>
                    <w:t>＜</w:t>
                  </w:r>
                  <w:r>
                    <w:rPr>
                      <w:rFonts w:ascii="calibri" w:hAnsi="calibri" w:cs="calibri" w:eastAsia="calibri"/>
                      <w:sz w:val="21"/>
                    </w:rPr>
                    <w:t xml:space="preserve">1 mAU/h </w:t>
                  </w:r>
                  <w:r>
                    <w:rPr>
                      <w:rFonts w:ascii="宋体" w:hAnsi="宋体" w:cs="宋体" w:eastAsia="宋体"/>
                      <w:sz w:val="21"/>
                    </w:rPr>
                    <w:t>在</w:t>
                  </w:r>
                  <w:r>
                    <w:rPr>
                      <w:rFonts w:ascii="calibri" w:hAnsi="calibri" w:cs="calibri" w:eastAsia="calibri"/>
                      <w:sz w:val="21"/>
                    </w:rPr>
                    <w:t>254 nm</w:t>
                  </w:r>
                  <w:r>
                    <w:rPr>
                      <w:rFonts w:ascii="宋体" w:hAnsi="宋体" w:cs="宋体" w:eastAsia="宋体"/>
                      <w:sz w:val="21"/>
                    </w:rPr>
                    <w:t>。</w:t>
                  </w:r>
                </w:p>
                <w:p>
                  <w:pPr>
                    <w:pStyle w:val="null3"/>
                    <w:jc w:val="both"/>
                  </w:pPr>
                  <w:r>
                    <w:rPr>
                      <w:rFonts w:ascii="calibri" w:hAnsi="calibri" w:cs="calibri" w:eastAsia="calibri"/>
                      <w:sz w:val="21"/>
                    </w:rPr>
                    <w:t>4.1</w:t>
                  </w:r>
                  <w:r>
                    <w:rPr>
                      <w:rFonts w:ascii="calibri" w:hAnsi="calibri" w:cs="calibri" w:eastAsia="calibri"/>
                      <w:sz w:val="21"/>
                    </w:rPr>
                    <w:t>1</w:t>
                  </w:r>
                  <w:r>
                    <w:rPr>
                      <w:rFonts w:ascii="宋体" w:hAnsi="宋体" w:cs="宋体" w:eastAsia="宋体"/>
                      <w:sz w:val="21"/>
                    </w:rPr>
                    <w:t>线性：</w:t>
                  </w:r>
                  <w:r>
                    <w:rPr>
                      <w:rFonts w:ascii="calibri" w:hAnsi="calibri" w:cs="calibri" w:eastAsia="calibri"/>
                      <w:sz w:val="21"/>
                    </w:rPr>
                    <w:t xml:space="preserve">2.2 AU </w:t>
                  </w:r>
                  <w:r>
                    <w:rPr>
                      <w:rFonts w:ascii="宋体" w:hAnsi="宋体" w:cs="宋体" w:eastAsia="宋体"/>
                      <w:sz w:val="21"/>
                    </w:rPr>
                    <w:t xml:space="preserve">时 </w:t>
                  </w:r>
                  <w:r>
                    <w:rPr>
                      <w:rFonts w:ascii="宋体" w:hAnsi="宋体" w:cs="宋体" w:eastAsia="宋体"/>
                      <w:sz w:val="21"/>
                    </w:rPr>
                    <w:t>＜</w:t>
                  </w:r>
                  <w:r>
                    <w:rPr>
                      <w:rFonts w:ascii="calibri" w:hAnsi="calibri" w:cs="calibri" w:eastAsia="calibri"/>
                      <w:sz w:val="21"/>
                    </w:rPr>
                    <w:t>5%</w:t>
                  </w:r>
                  <w:r>
                    <w:rPr>
                      <w:rFonts w:ascii="宋体" w:hAnsi="宋体" w:cs="宋体" w:eastAsia="宋体"/>
                      <w:sz w:val="21"/>
                    </w:rPr>
                    <w:t>（</w:t>
                  </w:r>
                  <w:r>
                    <w:rPr>
                      <w:rFonts w:ascii="calibri" w:hAnsi="calibri" w:cs="calibri" w:eastAsia="calibri"/>
                      <w:sz w:val="21"/>
                    </w:rPr>
                    <w:t xml:space="preserve">2.7 AU </w:t>
                  </w:r>
                  <w:r>
                    <w:rPr>
                      <w:rFonts w:ascii="宋体" w:hAnsi="宋体" w:cs="宋体" w:eastAsia="宋体"/>
                      <w:sz w:val="21"/>
                    </w:rPr>
                    <w:t xml:space="preserve">时通常 </w:t>
                  </w:r>
                  <w:r>
                    <w:rPr>
                      <w:rFonts w:ascii="宋体" w:hAnsi="宋体" w:cs="宋体" w:eastAsia="宋体"/>
                      <w:sz w:val="21"/>
                    </w:rPr>
                    <w:t>＜</w:t>
                  </w:r>
                  <w:r>
                    <w:rPr>
                      <w:rFonts w:ascii="calibri" w:hAnsi="calibri" w:cs="calibri" w:eastAsia="calibri"/>
                      <w:sz w:val="21"/>
                    </w:rPr>
                    <w:t>5%</w:t>
                  </w:r>
                  <w:r>
                    <w:rPr>
                      <w:rFonts w:ascii="宋体" w:hAnsi="宋体" w:cs="宋体" w:eastAsia="宋体"/>
                      <w:sz w:val="21"/>
                    </w:rPr>
                    <w:t>）</w:t>
                  </w:r>
                  <w:r>
                    <w:rPr>
                      <w:rFonts w:ascii="宋体" w:hAnsi="宋体" w:cs="宋体" w:eastAsia="宋体"/>
                      <w:sz w:val="21"/>
                    </w:rPr>
                    <w:t>。</w:t>
                  </w:r>
                </w:p>
                <w:p>
                  <w:pPr>
                    <w:pStyle w:val="null3"/>
                    <w:jc w:val="both"/>
                  </w:pPr>
                  <w:r>
                    <w:rPr>
                      <w:rFonts w:ascii="calibri" w:hAnsi="calibri" w:cs="calibri" w:eastAsia="calibri"/>
                      <w:sz w:val="21"/>
                    </w:rPr>
                    <w:t>4.1</w:t>
                  </w:r>
                  <w:r>
                    <w:rPr>
                      <w:rFonts w:ascii="calibri" w:hAnsi="calibri" w:cs="calibri" w:eastAsia="calibri"/>
                      <w:sz w:val="21"/>
                    </w:rPr>
                    <w:t>2</w:t>
                  </w:r>
                  <w:r>
                    <w:rPr>
                      <w:rFonts w:ascii="calibri" w:hAnsi="calibri" w:cs="calibri" w:eastAsia="calibri"/>
                      <w:sz w:val="21"/>
                    </w:rPr>
                    <w:t xml:space="preserve"> </w:t>
                  </w:r>
                  <w:r>
                    <w:rPr>
                      <w:rFonts w:ascii="宋体" w:hAnsi="宋体" w:cs="宋体" w:eastAsia="宋体"/>
                      <w:sz w:val="21"/>
                    </w:rPr>
                    <w:t>光谱全扫描：</w:t>
                  </w:r>
                  <w:r>
                    <w:rPr>
                      <w:rFonts w:ascii="宋体" w:hAnsi="宋体" w:cs="宋体" w:eastAsia="宋体"/>
                      <w:sz w:val="21"/>
                    </w:rPr>
                    <w:t>具备</w:t>
                  </w:r>
                  <w:r>
                    <w:rPr>
                      <w:rFonts w:ascii="宋体" w:hAnsi="宋体" w:cs="宋体" w:eastAsia="宋体"/>
                      <w:sz w:val="21"/>
                    </w:rPr>
                    <w:t>。</w:t>
                  </w:r>
                </w:p>
                <w:p>
                  <w:pPr>
                    <w:pStyle w:val="null3"/>
                    <w:spacing w:before="120" w:after="120"/>
                    <w:jc w:val="both"/>
                  </w:pPr>
                  <w:r>
                    <w:rPr>
                      <w:rFonts w:ascii="calibri" w:hAnsi="calibri" w:cs="calibri" w:eastAsia="calibri"/>
                      <w:sz w:val="21"/>
                      <w:b/>
                    </w:rPr>
                    <w:t>5</w:t>
                  </w:r>
                  <w:r>
                    <w:rPr>
                      <w:rFonts w:ascii="宋体" w:hAnsi="宋体" w:cs="宋体" w:eastAsia="宋体"/>
                      <w:sz w:val="21"/>
                      <w:b/>
                    </w:rPr>
                    <w:t>、荧光检测器参数</w:t>
                  </w:r>
                </w:p>
                <w:p>
                  <w:pPr>
                    <w:pStyle w:val="null3"/>
                    <w:jc w:val="both"/>
                  </w:pPr>
                  <w:r>
                    <w:rPr>
                      <w:rFonts w:ascii="calibri" w:hAnsi="calibri" w:cs="calibri" w:eastAsia="calibri"/>
                      <w:sz w:val="21"/>
                    </w:rPr>
                    <w:t>5.1</w:t>
                  </w:r>
                  <w:r>
                    <w:rPr>
                      <w:rFonts w:ascii="宋体" w:hAnsi="宋体" w:cs="宋体" w:eastAsia="宋体"/>
                      <w:sz w:val="21"/>
                    </w:rPr>
                    <w:t>光源：闪烁氙灯</w:t>
                  </w:r>
                  <w:r>
                    <w:rPr>
                      <w:rFonts w:ascii="宋体" w:hAnsi="宋体" w:cs="宋体" w:eastAsia="宋体"/>
                      <w:sz w:val="21"/>
                    </w:rPr>
                    <w:t>。</w:t>
                  </w:r>
                </w:p>
                <w:p>
                  <w:pPr>
                    <w:pStyle w:val="null3"/>
                    <w:jc w:val="both"/>
                  </w:pPr>
                  <w:r>
                    <w:rPr>
                      <w:rFonts w:ascii="calibri" w:hAnsi="calibri" w:cs="calibri" w:eastAsia="calibri"/>
                      <w:sz w:val="21"/>
                    </w:rPr>
                    <w:t>5.2</w:t>
                  </w:r>
                  <w:r>
                    <w:rPr>
                      <w:rFonts w:ascii="宋体" w:hAnsi="宋体" w:cs="宋体" w:eastAsia="宋体"/>
                      <w:sz w:val="21"/>
                    </w:rPr>
                    <w:t>脉冲频率：支持高能模式（</w:t>
                  </w:r>
                  <w:r>
                    <w:rPr>
                      <w:rFonts w:ascii="calibri" w:hAnsi="calibri" w:cs="calibri" w:eastAsia="calibri"/>
                      <w:sz w:val="21"/>
                    </w:rPr>
                    <w:t>300Hz</w:t>
                  </w:r>
                  <w:r>
                    <w:rPr>
                      <w:rFonts w:ascii="宋体" w:hAnsi="宋体" w:cs="宋体" w:eastAsia="宋体"/>
                      <w:sz w:val="21"/>
                    </w:rPr>
                    <w:t>）、标准模式（</w:t>
                  </w:r>
                  <w:r>
                    <w:rPr>
                      <w:rFonts w:ascii="calibri" w:hAnsi="calibri" w:cs="calibri" w:eastAsia="calibri"/>
                      <w:sz w:val="21"/>
                    </w:rPr>
                    <w:t>100Hz</w:t>
                  </w:r>
                  <w:r>
                    <w:rPr>
                      <w:rFonts w:ascii="宋体" w:hAnsi="宋体" w:cs="宋体" w:eastAsia="宋体"/>
                      <w:sz w:val="21"/>
                    </w:rPr>
                    <w:t>）、长寿命模式（</w:t>
                  </w:r>
                  <w:r>
                    <w:rPr>
                      <w:rFonts w:ascii="calibri" w:hAnsi="calibri" w:cs="calibri" w:eastAsia="calibri"/>
                      <w:sz w:val="21"/>
                    </w:rPr>
                    <w:t>20Hz</w:t>
                  </w:r>
                  <w:r>
                    <w:rPr>
                      <w:rFonts w:ascii="宋体" w:hAnsi="宋体" w:cs="宋体" w:eastAsia="宋体"/>
                      <w:sz w:val="21"/>
                    </w:rPr>
                    <w:t>）</w:t>
                  </w:r>
                  <w:r>
                    <w:rPr>
                      <w:rFonts w:ascii="宋体" w:hAnsi="宋体" w:cs="宋体" w:eastAsia="宋体"/>
                      <w:sz w:val="21"/>
                    </w:rPr>
                    <w:t>。</w:t>
                  </w:r>
                </w:p>
                <w:p>
                  <w:pPr>
                    <w:pStyle w:val="null3"/>
                    <w:jc w:val="both"/>
                  </w:pPr>
                  <w:r>
                    <w:rPr>
                      <w:rFonts w:ascii="calibri" w:hAnsi="calibri" w:cs="calibri" w:eastAsia="calibri"/>
                      <w:sz w:val="21"/>
                    </w:rPr>
                    <w:t>5.3</w:t>
                  </w:r>
                  <w:r>
                    <w:rPr>
                      <w:rFonts w:ascii="宋体" w:hAnsi="宋体" w:cs="宋体" w:eastAsia="宋体"/>
                      <w:sz w:val="21"/>
                    </w:rPr>
                    <w:t>扫描模式：激发、发射、同步扫描</w:t>
                  </w:r>
                  <w:r>
                    <w:rPr>
                      <w:rFonts w:ascii="宋体" w:hAnsi="宋体" w:cs="宋体" w:eastAsia="宋体"/>
                      <w:sz w:val="21"/>
                    </w:rPr>
                    <w:t>。</w:t>
                  </w:r>
                </w:p>
                <w:p>
                  <w:pPr>
                    <w:pStyle w:val="null3"/>
                    <w:jc w:val="both"/>
                  </w:pPr>
                  <w:r>
                    <w:rPr>
                      <w:rFonts w:ascii="calibri" w:hAnsi="calibri" w:cs="calibri" w:eastAsia="calibri"/>
                      <w:sz w:val="21"/>
                    </w:rPr>
                    <w:t>5.4</w:t>
                  </w:r>
                  <w:r>
                    <w:rPr>
                      <w:rFonts w:ascii="宋体" w:hAnsi="宋体" w:cs="宋体" w:eastAsia="宋体"/>
                      <w:sz w:val="21"/>
                    </w:rPr>
                    <w:t>停泵扫描：支持</w:t>
                  </w:r>
                  <w:r>
                    <w:rPr>
                      <w:rFonts w:ascii="宋体" w:hAnsi="宋体" w:cs="宋体" w:eastAsia="宋体"/>
                      <w:sz w:val="21"/>
                    </w:rPr>
                    <w:t>。</w:t>
                  </w:r>
                </w:p>
                <w:p>
                  <w:pPr>
                    <w:pStyle w:val="null3"/>
                    <w:jc w:val="both"/>
                  </w:pPr>
                  <w:r>
                    <w:rPr>
                      <w:rFonts w:ascii="calibri" w:hAnsi="calibri" w:cs="calibri" w:eastAsia="calibri"/>
                      <w:sz w:val="21"/>
                    </w:rPr>
                    <w:t>5.5</w:t>
                  </w:r>
                  <w:r>
                    <w:rPr>
                      <w:rFonts w:ascii="宋体" w:hAnsi="宋体" w:cs="宋体" w:eastAsia="宋体"/>
                      <w:sz w:val="21"/>
                    </w:rPr>
                    <w:t>激发波长：</w:t>
                  </w:r>
                  <w:r>
                    <w:rPr>
                      <w:rFonts w:ascii="calibri" w:hAnsi="calibri" w:cs="calibri" w:eastAsia="calibri"/>
                      <w:sz w:val="21"/>
                    </w:rPr>
                    <w:t xml:space="preserve">200~630nm </w:t>
                  </w:r>
                  <w:r>
                    <w:rPr>
                      <w:rFonts w:ascii="宋体" w:hAnsi="宋体" w:cs="宋体" w:eastAsia="宋体"/>
                      <w:sz w:val="21"/>
                    </w:rPr>
                    <w:t>。</w:t>
                  </w:r>
                </w:p>
                <w:p>
                  <w:pPr>
                    <w:pStyle w:val="null3"/>
                    <w:jc w:val="both"/>
                  </w:pPr>
                  <w:r>
                    <w:rPr>
                      <w:rFonts w:ascii="calibri" w:hAnsi="calibri" w:cs="calibri" w:eastAsia="calibri"/>
                      <w:sz w:val="21"/>
                    </w:rPr>
                    <w:t>5.6</w:t>
                  </w:r>
                  <w:r>
                    <w:rPr>
                      <w:rFonts w:ascii="宋体" w:hAnsi="宋体" w:cs="宋体" w:eastAsia="宋体"/>
                      <w:sz w:val="21"/>
                    </w:rPr>
                    <w:t>发射波长：</w:t>
                  </w:r>
                  <w:r>
                    <w:rPr>
                      <w:rFonts w:ascii="calibri" w:hAnsi="calibri" w:cs="calibri" w:eastAsia="calibri"/>
                      <w:sz w:val="21"/>
                    </w:rPr>
                    <w:t>220~650nm</w:t>
                  </w:r>
                  <w:r>
                    <w:rPr>
                      <w:rFonts w:ascii="宋体" w:hAnsi="宋体" w:cs="宋体" w:eastAsia="宋体"/>
                      <w:sz w:val="21"/>
                    </w:rPr>
                    <w:t>。</w:t>
                  </w:r>
                </w:p>
                <w:p>
                  <w:pPr>
                    <w:pStyle w:val="null3"/>
                    <w:jc w:val="both"/>
                  </w:pPr>
                  <w:r>
                    <w:rPr>
                      <w:rFonts w:ascii="calibri" w:hAnsi="calibri" w:cs="calibri" w:eastAsia="calibri"/>
                      <w:sz w:val="21"/>
                    </w:rPr>
                    <w:t>5.7</w:t>
                  </w:r>
                  <w:r>
                    <w:rPr>
                      <w:rFonts w:ascii="宋体" w:hAnsi="宋体" w:cs="宋体" w:eastAsia="宋体"/>
                      <w:sz w:val="21"/>
                    </w:rPr>
                    <w:t>带宽：激发和发射：</w:t>
                  </w:r>
                  <w:r>
                    <w:rPr>
                      <w:rFonts w:ascii="宋体" w:hAnsi="宋体" w:cs="宋体" w:eastAsia="宋体"/>
                      <w:sz w:val="21"/>
                    </w:rPr>
                    <w:t>≥</w:t>
                  </w:r>
                  <w:r>
                    <w:rPr>
                      <w:rFonts w:ascii="calibri" w:hAnsi="calibri" w:cs="calibri" w:eastAsia="calibri"/>
                      <w:sz w:val="21"/>
                    </w:rPr>
                    <w:t>20nm</w:t>
                  </w:r>
                  <w:r>
                    <w:rPr>
                      <w:rFonts w:ascii="宋体" w:hAnsi="宋体" w:cs="宋体" w:eastAsia="宋体"/>
                      <w:sz w:val="21"/>
                    </w:rPr>
                    <w:t>。</w:t>
                  </w:r>
                </w:p>
                <w:p>
                  <w:pPr>
                    <w:pStyle w:val="null3"/>
                    <w:jc w:val="both"/>
                  </w:pPr>
                  <w:r>
                    <w:rPr>
                      <w:rFonts w:ascii="calibri" w:hAnsi="calibri" w:cs="calibri" w:eastAsia="calibri"/>
                      <w:sz w:val="21"/>
                    </w:rPr>
                    <w:t>5.8</w:t>
                  </w:r>
                  <w:r>
                    <w:rPr>
                      <w:rFonts w:ascii="宋体" w:hAnsi="宋体" w:cs="宋体" w:eastAsia="宋体"/>
                      <w:sz w:val="21"/>
                    </w:rPr>
                    <w:t>波长准确度：</w:t>
                  </w:r>
                  <w:r>
                    <w:rPr>
                      <w:rFonts w:ascii="宋体" w:hAnsi="宋体" w:cs="宋体" w:eastAsia="宋体"/>
                      <w:sz w:val="21"/>
                    </w:rPr>
                    <w:t>≤</w:t>
                  </w:r>
                  <w:r>
                    <w:rPr>
                      <w:rFonts w:ascii="calibri" w:hAnsi="calibri" w:cs="calibri" w:eastAsia="calibri"/>
                      <w:sz w:val="21"/>
                    </w:rPr>
                    <w:t xml:space="preserve"> 2 nm</w:t>
                  </w:r>
                  <w:r>
                    <w:rPr>
                      <w:rFonts w:ascii="宋体" w:hAnsi="宋体" w:cs="宋体" w:eastAsia="宋体"/>
                      <w:sz w:val="21"/>
                    </w:rPr>
                    <w:t>。</w:t>
                  </w:r>
                </w:p>
                <w:p>
                  <w:pPr>
                    <w:pStyle w:val="null3"/>
                    <w:jc w:val="both"/>
                  </w:pPr>
                  <w:r>
                    <w:rPr>
                      <w:rFonts w:ascii="宋体" w:hAnsi="宋体" w:cs="宋体" w:eastAsia="宋体"/>
                      <w:sz w:val="21"/>
                    </w:rPr>
                    <w:t>▲</w:t>
                  </w:r>
                  <w:r>
                    <w:rPr>
                      <w:rFonts w:ascii="calibri" w:hAnsi="calibri" w:cs="calibri" w:eastAsia="calibri"/>
                      <w:sz w:val="21"/>
                    </w:rPr>
                    <w:t xml:space="preserve">5.9 </w:t>
                  </w:r>
                  <w:r>
                    <w:rPr>
                      <w:rFonts w:ascii="宋体" w:hAnsi="宋体" w:cs="宋体" w:eastAsia="宋体"/>
                      <w:sz w:val="21"/>
                    </w:rPr>
                    <w:t>波长精密度：</w:t>
                  </w:r>
                  <w:r>
                    <w:rPr>
                      <w:rFonts w:ascii="宋体" w:hAnsi="宋体" w:cs="宋体" w:eastAsia="宋体"/>
                      <w:sz w:val="21"/>
                    </w:rPr>
                    <w:t>≤</w:t>
                  </w:r>
                  <w:r>
                    <w:rPr>
                      <w:rFonts w:ascii="calibri" w:hAnsi="calibri" w:cs="calibri" w:eastAsia="calibri"/>
                      <w:sz w:val="21"/>
                    </w:rPr>
                    <w:t>±0.2 nm</w:t>
                  </w:r>
                  <w:r>
                    <w:rPr>
                      <w:rFonts w:ascii="宋体" w:hAnsi="宋体" w:cs="宋体" w:eastAsia="宋体"/>
                      <w:sz w:val="21"/>
                    </w:rPr>
                    <w:t>。</w:t>
                  </w:r>
                </w:p>
                <w:p>
                  <w:pPr>
                    <w:pStyle w:val="null3"/>
                    <w:jc w:val="both"/>
                  </w:pPr>
                  <w:r>
                    <w:rPr>
                      <w:rFonts w:ascii="宋体" w:hAnsi="宋体" w:cs="宋体" w:eastAsia="宋体"/>
                      <w:sz w:val="21"/>
                    </w:rPr>
                    <w:t>▲</w:t>
                  </w:r>
                  <w:r>
                    <w:rPr>
                      <w:rFonts w:ascii="calibri" w:hAnsi="calibri" w:cs="calibri" w:eastAsia="calibri"/>
                      <w:sz w:val="21"/>
                    </w:rPr>
                    <w:t>5.10</w:t>
                  </w:r>
                  <w:r>
                    <w:rPr>
                      <w:rFonts w:ascii="宋体" w:hAnsi="宋体" w:cs="宋体" w:eastAsia="宋体"/>
                      <w:sz w:val="21"/>
                    </w:rPr>
                    <w:t>最大数据采集频率：</w:t>
                  </w:r>
                  <w:r>
                    <w:rPr>
                      <w:rFonts w:ascii="宋体" w:hAnsi="宋体" w:cs="宋体" w:eastAsia="宋体"/>
                      <w:sz w:val="21"/>
                    </w:rPr>
                    <w:t>≥</w:t>
                  </w:r>
                  <w:r>
                    <w:rPr>
                      <w:rFonts w:ascii="calibri" w:hAnsi="calibri" w:cs="calibri" w:eastAsia="calibri"/>
                      <w:sz w:val="21"/>
                    </w:rPr>
                    <w:t>100Hz</w:t>
                  </w:r>
                  <w:r>
                    <w:rPr>
                      <w:rFonts w:ascii="宋体" w:hAnsi="宋体" w:cs="宋体" w:eastAsia="宋体"/>
                      <w:sz w:val="21"/>
                    </w:rPr>
                    <w:t>。</w:t>
                  </w:r>
                </w:p>
                <w:p>
                  <w:pPr>
                    <w:pStyle w:val="null3"/>
                    <w:jc w:val="both"/>
                  </w:pPr>
                  <w:r>
                    <w:rPr>
                      <w:rFonts w:ascii="calibri" w:hAnsi="calibri" w:cs="calibri" w:eastAsia="calibri"/>
                      <w:sz w:val="21"/>
                    </w:rPr>
                    <w:t xml:space="preserve">5.11 </w:t>
                  </w:r>
                  <w:r>
                    <w:rPr>
                      <w:rFonts w:ascii="宋体" w:hAnsi="宋体" w:cs="宋体" w:eastAsia="宋体"/>
                      <w:sz w:val="21"/>
                    </w:rPr>
                    <w:t>灵敏度：拉曼</w:t>
                  </w:r>
                  <w:r>
                    <w:rPr>
                      <w:rFonts w:ascii="calibri" w:hAnsi="calibri" w:cs="calibri" w:eastAsia="calibri"/>
                      <w:sz w:val="21"/>
                    </w:rPr>
                    <w:t xml:space="preserve">S/N: </w:t>
                  </w:r>
                  <w:r>
                    <w:rPr>
                      <w:rFonts w:ascii="宋体" w:hAnsi="宋体" w:cs="宋体" w:eastAsia="宋体"/>
                      <w:sz w:val="21"/>
                    </w:rPr>
                    <w:t>≥</w:t>
                  </w:r>
                  <w:r>
                    <w:rPr>
                      <w:rFonts w:ascii="calibri" w:hAnsi="calibri" w:cs="calibri" w:eastAsia="calibri"/>
                      <w:sz w:val="21"/>
                    </w:rPr>
                    <w:t>550</w:t>
                  </w:r>
                  <w:r>
                    <w:rPr>
                      <w:rFonts w:ascii="宋体" w:hAnsi="宋体" w:cs="宋体" w:eastAsia="宋体"/>
                      <w:sz w:val="21"/>
                    </w:rPr>
                    <w:t>：</w:t>
                  </w:r>
                  <w:r>
                    <w:rPr>
                      <w:rFonts w:ascii="calibri" w:hAnsi="calibri" w:cs="calibri" w:eastAsia="calibri"/>
                      <w:sz w:val="21"/>
                    </w:rPr>
                    <w:t>1 ASTM</w:t>
                  </w:r>
                  <w:r>
                    <w:rPr>
                      <w:rFonts w:ascii="宋体" w:hAnsi="宋体" w:cs="宋体" w:eastAsia="宋体"/>
                      <w:sz w:val="21"/>
                    </w:rPr>
                    <w:t>标准全灯寿命范围内；</w:t>
                  </w:r>
                  <w:r>
                    <w:rPr>
                      <w:rFonts w:ascii="calibri" w:hAnsi="calibri" w:cs="calibri" w:eastAsia="calibri"/>
                      <w:sz w:val="21"/>
                    </w:rPr>
                    <w:t xml:space="preserve">S/N: </w:t>
                  </w:r>
                  <w:r>
                    <w:rPr>
                      <w:rFonts w:ascii="宋体" w:hAnsi="宋体" w:cs="宋体" w:eastAsia="宋体"/>
                      <w:sz w:val="21"/>
                    </w:rPr>
                    <w:t>≥</w:t>
                  </w:r>
                  <w:r>
                    <w:rPr>
                      <w:rFonts w:ascii="calibri" w:hAnsi="calibri" w:cs="calibri" w:eastAsia="calibri"/>
                      <w:sz w:val="21"/>
                    </w:rPr>
                    <w:t>2100</w:t>
                  </w:r>
                  <w:r>
                    <w:rPr>
                      <w:rFonts w:ascii="宋体" w:hAnsi="宋体" w:cs="宋体" w:eastAsia="宋体"/>
                      <w:sz w:val="21"/>
                    </w:rPr>
                    <w:t>：</w:t>
                  </w:r>
                  <w:r>
                    <w:rPr>
                      <w:rFonts w:ascii="calibri" w:hAnsi="calibri" w:cs="calibri" w:eastAsia="calibri"/>
                      <w:sz w:val="21"/>
                    </w:rPr>
                    <w:t>1</w:t>
                  </w:r>
                  <w:r>
                    <w:rPr>
                      <w:rFonts w:ascii="宋体" w:hAnsi="宋体" w:cs="宋体" w:eastAsia="宋体"/>
                      <w:sz w:val="21"/>
                    </w:rPr>
                    <w:t>以暗信号作为噪声参照时</w:t>
                  </w:r>
                  <w:r>
                    <w:rPr>
                      <w:rFonts w:ascii="宋体" w:hAnsi="宋体" w:cs="宋体" w:eastAsia="宋体"/>
                      <w:sz w:val="21"/>
                    </w:rPr>
                    <w:t>。</w:t>
                  </w:r>
                </w:p>
                <w:p>
                  <w:pPr>
                    <w:pStyle w:val="null3"/>
                    <w:jc w:val="both"/>
                  </w:pPr>
                  <w:r>
                    <w:rPr>
                      <w:rFonts w:ascii="calibri" w:hAnsi="calibri" w:cs="calibri" w:eastAsia="calibri"/>
                      <w:sz w:val="21"/>
                    </w:rPr>
                    <w:t xml:space="preserve">5.12 </w:t>
                  </w:r>
                  <w:r>
                    <w:rPr>
                      <w:rFonts w:ascii="宋体" w:hAnsi="宋体" w:cs="宋体" w:eastAsia="宋体"/>
                      <w:sz w:val="21"/>
                    </w:rPr>
                    <w:t>流通池温控：</w:t>
                  </w:r>
                  <w:r>
                    <w:rPr>
                      <w:rFonts w:ascii="宋体" w:hAnsi="宋体" w:cs="宋体" w:eastAsia="宋体"/>
                      <w:sz w:val="21"/>
                    </w:rPr>
                    <w:t>室温</w:t>
                  </w:r>
                  <w:r>
                    <w:rPr>
                      <w:rFonts w:ascii="calibri" w:hAnsi="calibri" w:cs="calibri" w:eastAsia="calibri"/>
                      <w:sz w:val="21"/>
                    </w:rPr>
                    <w:t>+10℃ - 45 ℃</w:t>
                  </w:r>
                  <w:r>
                    <w:rPr>
                      <w:rFonts w:ascii="宋体" w:hAnsi="宋体" w:cs="宋体" w:eastAsia="宋体"/>
                      <w:sz w:val="21"/>
                    </w:rPr>
                    <w:t>。</w:t>
                  </w:r>
                </w:p>
                <w:p>
                  <w:pPr>
                    <w:pStyle w:val="null3"/>
                    <w:jc w:val="both"/>
                  </w:pPr>
                  <w:r>
                    <w:rPr>
                      <w:rFonts w:ascii="calibri" w:hAnsi="calibri" w:cs="calibri" w:eastAsia="calibri"/>
                      <w:sz w:val="21"/>
                    </w:rPr>
                    <w:t xml:space="preserve">5.13 </w:t>
                  </w:r>
                  <w:r>
                    <w:rPr>
                      <w:rFonts w:ascii="宋体" w:hAnsi="宋体" w:cs="宋体" w:eastAsia="宋体"/>
                      <w:sz w:val="21"/>
                    </w:rPr>
                    <w:t>流通池识别：自动识别池及序列号</w:t>
                  </w:r>
                  <w:r>
                    <w:rPr>
                      <w:rFonts w:ascii="宋体" w:hAnsi="宋体" w:cs="宋体" w:eastAsia="宋体"/>
                      <w:sz w:val="21"/>
                    </w:rPr>
                    <w:t>。</w:t>
                  </w:r>
                </w:p>
                <w:p>
                  <w:pPr>
                    <w:pStyle w:val="null3"/>
                    <w:spacing w:before="120" w:after="120"/>
                    <w:jc w:val="both"/>
                  </w:pPr>
                  <w:r>
                    <w:rPr>
                      <w:rFonts w:ascii="calibri" w:hAnsi="calibri" w:cs="calibri" w:eastAsia="calibri"/>
                      <w:sz w:val="21"/>
                      <w:b/>
                    </w:rPr>
                    <w:t>6</w:t>
                  </w:r>
                  <w:r>
                    <w:rPr>
                      <w:rFonts w:ascii="宋体" w:hAnsi="宋体" w:cs="宋体" w:eastAsia="宋体"/>
                      <w:sz w:val="21"/>
                      <w:b/>
                    </w:rPr>
                    <w:t>、色谱仪器控制管理软件</w:t>
                  </w:r>
                </w:p>
                <w:p>
                  <w:pPr>
                    <w:pStyle w:val="null3"/>
                    <w:jc w:val="both"/>
                  </w:pPr>
                  <w:r>
                    <w:rPr>
                      <w:rFonts w:ascii="calibri" w:hAnsi="calibri" w:cs="calibri" w:eastAsia="calibri"/>
                      <w:sz w:val="21"/>
                    </w:rPr>
                    <w:t xml:space="preserve">6.1 </w:t>
                  </w:r>
                  <w:r>
                    <w:rPr>
                      <w:rFonts w:ascii="宋体" w:hAnsi="宋体" w:cs="宋体" w:eastAsia="宋体"/>
                      <w:sz w:val="21"/>
                    </w:rPr>
                    <w:t>数据库：支持甲骨文或者</w:t>
                  </w:r>
                  <w:r>
                    <w:rPr>
                      <w:rFonts w:ascii="calibri" w:hAnsi="calibri" w:cs="calibri" w:eastAsia="calibri"/>
                      <w:sz w:val="21"/>
                    </w:rPr>
                    <w:t>SQL Server</w:t>
                  </w:r>
                  <w:r>
                    <w:rPr>
                      <w:rFonts w:ascii="宋体" w:hAnsi="宋体" w:cs="宋体" w:eastAsia="宋体"/>
                      <w:sz w:val="21"/>
                    </w:rPr>
                    <w:t>关系型数据库，原始数据、仪器条件和处理参数的关联由软件自动建立。支持多种查询条件的组合，支持模糊查找与精确查找。</w:t>
                  </w:r>
                </w:p>
                <w:p>
                  <w:pPr>
                    <w:pStyle w:val="null3"/>
                    <w:jc w:val="both"/>
                  </w:pPr>
                  <w:r>
                    <w:rPr>
                      <w:rFonts w:ascii="calibri" w:hAnsi="calibri" w:cs="calibri" w:eastAsia="calibri"/>
                      <w:sz w:val="21"/>
                    </w:rPr>
                    <w:t xml:space="preserve">6.2 </w:t>
                  </w:r>
                  <w:r>
                    <w:rPr>
                      <w:rFonts w:ascii="宋体" w:hAnsi="宋体" w:cs="宋体" w:eastAsia="宋体"/>
                      <w:sz w:val="21"/>
                    </w:rPr>
                    <w:t>仪器控制：</w:t>
                  </w:r>
                  <w:r>
                    <w:rPr>
                      <w:rFonts w:ascii="宋体" w:hAnsi="宋体" w:cs="宋体" w:eastAsia="宋体"/>
                      <w:sz w:val="21"/>
                    </w:rPr>
                    <w:t>双系统可同时运行控制，</w:t>
                  </w:r>
                  <w:r>
                    <w:rPr>
                      <w:rFonts w:ascii="宋体" w:hAnsi="宋体" w:cs="宋体" w:eastAsia="宋体"/>
                      <w:sz w:val="21"/>
                    </w:rPr>
                    <w:t>可控制多个品牌的多种</w:t>
                  </w:r>
                  <w:r>
                    <w:rPr>
                      <w:rFonts w:ascii="calibri" w:hAnsi="calibri" w:cs="calibri" w:eastAsia="calibri"/>
                      <w:sz w:val="21"/>
                    </w:rPr>
                    <w:t>HPLC</w:t>
                  </w:r>
                  <w:r>
                    <w:rPr>
                      <w:rFonts w:ascii="宋体" w:hAnsi="宋体" w:cs="宋体" w:eastAsia="宋体"/>
                      <w:sz w:val="21"/>
                    </w:rPr>
                    <w:t>、</w:t>
                  </w:r>
                  <w:r>
                    <w:rPr>
                      <w:rFonts w:ascii="calibri" w:hAnsi="calibri" w:cs="calibri" w:eastAsia="calibri"/>
                      <w:sz w:val="21"/>
                    </w:rPr>
                    <w:t>GC</w:t>
                  </w:r>
                  <w:r>
                    <w:rPr>
                      <w:rFonts w:ascii="宋体" w:hAnsi="宋体" w:cs="宋体" w:eastAsia="宋体"/>
                      <w:sz w:val="21"/>
                    </w:rPr>
                    <w:t>和</w:t>
                  </w:r>
                  <w:r>
                    <w:rPr>
                      <w:rFonts w:ascii="calibri" w:hAnsi="calibri" w:cs="calibri" w:eastAsia="calibri"/>
                      <w:sz w:val="21"/>
                    </w:rPr>
                    <w:t>IC</w:t>
                  </w:r>
                  <w:r>
                    <w:rPr>
                      <w:rFonts w:ascii="宋体" w:hAnsi="宋体" w:cs="宋体" w:eastAsia="宋体"/>
                      <w:sz w:val="21"/>
                    </w:rPr>
                    <w:t>，也可以控制液质和气质仪器。</w:t>
                  </w:r>
                </w:p>
                <w:p>
                  <w:pPr>
                    <w:pStyle w:val="null3"/>
                    <w:jc w:val="both"/>
                  </w:pPr>
                  <w:r>
                    <w:rPr>
                      <w:rFonts w:ascii="calibri" w:hAnsi="calibri" w:cs="calibri" w:eastAsia="calibri"/>
                      <w:sz w:val="21"/>
                    </w:rPr>
                    <w:t xml:space="preserve">6.3 </w:t>
                  </w:r>
                  <w:r>
                    <w:rPr>
                      <w:rFonts w:ascii="宋体" w:hAnsi="宋体" w:cs="宋体" w:eastAsia="宋体"/>
                      <w:sz w:val="21"/>
                    </w:rPr>
                    <w:t>缩略图：在查看已运行完成的样品队列，无需打开色谱文件，即可通过缩略图查看样品色谱图，实现快速浏览。</w:t>
                  </w:r>
                </w:p>
                <w:p>
                  <w:pPr>
                    <w:pStyle w:val="null3"/>
                    <w:jc w:val="both"/>
                  </w:pPr>
                  <w:r>
                    <w:rPr>
                      <w:rFonts w:ascii="calibri" w:hAnsi="calibri" w:cs="calibri" w:eastAsia="calibri"/>
                      <w:sz w:val="21"/>
                    </w:rPr>
                    <w:t xml:space="preserve">6.4 </w:t>
                  </w:r>
                  <w:r>
                    <w:rPr>
                      <w:rFonts w:ascii="宋体" w:hAnsi="宋体" w:cs="宋体" w:eastAsia="宋体"/>
                      <w:sz w:val="21"/>
                    </w:rPr>
                    <w:t>图形化功能：在查看数据时，可直接将数据转化为直观的图形进行查看，也可将图形置于报告中，无需将数据导出到</w:t>
                  </w:r>
                  <w:r>
                    <w:rPr>
                      <w:rFonts w:ascii="calibri" w:hAnsi="calibri" w:cs="calibri" w:eastAsia="calibri"/>
                      <w:sz w:val="21"/>
                    </w:rPr>
                    <w:t>Excel</w:t>
                  </w:r>
                  <w:r>
                    <w:rPr>
                      <w:rFonts w:ascii="宋体" w:hAnsi="宋体" w:cs="宋体" w:eastAsia="宋体"/>
                      <w:sz w:val="21"/>
                    </w:rPr>
                    <w:t>里进行图形化处理。</w:t>
                  </w:r>
                </w:p>
                <w:p>
                  <w:pPr>
                    <w:pStyle w:val="null3"/>
                    <w:jc w:val="both"/>
                  </w:pPr>
                  <w:r>
                    <w:rPr>
                      <w:rFonts w:ascii="calibri" w:hAnsi="calibri" w:cs="calibri" w:eastAsia="calibri"/>
                      <w:sz w:val="21"/>
                    </w:rPr>
                    <w:t xml:space="preserve">6.5 </w:t>
                  </w:r>
                  <w:r>
                    <w:rPr>
                      <w:rFonts w:ascii="宋体" w:hAnsi="宋体" w:cs="宋体" w:eastAsia="宋体"/>
                      <w:sz w:val="21"/>
                    </w:rPr>
                    <w:t>动态数据处理：至少可查看序列中任意的色谱图、光谱图、校正曲线、方法设置和结果。当处理方法参数发生变化时，所有相关的图会即时自动更新。</w:t>
                  </w:r>
                </w:p>
                <w:p>
                  <w:pPr>
                    <w:pStyle w:val="null3"/>
                    <w:jc w:val="both"/>
                  </w:pPr>
                  <w:r>
                    <w:rPr>
                      <w:rFonts w:ascii="calibri" w:hAnsi="calibri" w:cs="calibri" w:eastAsia="calibri"/>
                      <w:sz w:val="21"/>
                    </w:rPr>
                    <w:t xml:space="preserve">6.6 </w:t>
                  </w:r>
                  <w:r>
                    <w:rPr>
                      <w:rFonts w:ascii="宋体" w:hAnsi="宋体" w:cs="宋体" w:eastAsia="宋体"/>
                      <w:sz w:val="21"/>
                    </w:rPr>
                    <w:t>导入与导出：可将数据导出为通用色谱数据格式（至少支持</w:t>
                  </w:r>
                  <w:r>
                    <w:rPr>
                      <w:rFonts w:ascii="calibri" w:hAnsi="calibri" w:cs="calibri" w:eastAsia="calibri"/>
                      <w:sz w:val="21"/>
                    </w:rPr>
                    <w:t>AIA</w:t>
                  </w:r>
                  <w:r>
                    <w:rPr>
                      <w:rFonts w:ascii="宋体" w:hAnsi="宋体" w:cs="宋体" w:eastAsia="宋体"/>
                      <w:sz w:val="21"/>
                    </w:rPr>
                    <w:t>、</w:t>
                  </w:r>
                  <w:r>
                    <w:rPr>
                      <w:rFonts w:ascii="calibri" w:hAnsi="calibri" w:cs="calibri" w:eastAsia="calibri"/>
                      <w:sz w:val="21"/>
                    </w:rPr>
                    <w:t>TXT</w:t>
                  </w:r>
                  <w:r>
                    <w:rPr>
                      <w:rFonts w:ascii="宋体" w:hAnsi="宋体" w:cs="宋体" w:eastAsia="宋体"/>
                      <w:sz w:val="21"/>
                    </w:rPr>
                    <w:t>、</w:t>
                  </w:r>
                  <w:r>
                    <w:rPr>
                      <w:rFonts w:ascii="calibri" w:hAnsi="calibri" w:cs="calibri" w:eastAsia="calibri"/>
                      <w:sz w:val="21"/>
                    </w:rPr>
                    <w:t>CSV</w:t>
                  </w:r>
                  <w:r>
                    <w:rPr>
                      <w:rFonts w:ascii="宋体" w:hAnsi="宋体" w:cs="宋体" w:eastAsia="宋体"/>
                      <w:sz w:val="21"/>
                    </w:rPr>
                    <w:t>和</w:t>
                  </w:r>
                  <w:r>
                    <w:rPr>
                      <w:rFonts w:ascii="calibri" w:hAnsi="calibri" w:cs="calibri" w:eastAsia="calibri"/>
                      <w:sz w:val="21"/>
                    </w:rPr>
                    <w:t>GAML</w:t>
                  </w:r>
                  <w:r>
                    <w:rPr>
                      <w:rFonts w:ascii="宋体" w:hAnsi="宋体" w:cs="宋体" w:eastAsia="宋体"/>
                      <w:sz w:val="21"/>
                    </w:rPr>
                    <w:t>等）。</w:t>
                  </w:r>
                </w:p>
                <w:p>
                  <w:pPr>
                    <w:pStyle w:val="null3"/>
                    <w:jc w:val="both"/>
                  </w:pPr>
                  <w:r>
                    <w:rPr>
                      <w:rFonts w:ascii="calibri" w:hAnsi="calibri" w:cs="calibri" w:eastAsia="calibri"/>
                      <w:sz w:val="21"/>
                    </w:rPr>
                    <w:t xml:space="preserve">6.7 </w:t>
                  </w:r>
                  <w:r>
                    <w:rPr>
                      <w:rFonts w:ascii="宋体" w:hAnsi="宋体" w:cs="宋体" w:eastAsia="宋体"/>
                      <w:sz w:val="21"/>
                    </w:rPr>
                    <w:t>数据报告：集成有电子表格功能，可对报告模板、自定义变量进行编辑。支持单个报告和综合报告，报告模板可包含多项内容，例如积分、校准、峰分析、审计追踪等，支持多种格式（</w:t>
                  </w:r>
                  <w:r>
                    <w:rPr>
                      <w:rFonts w:ascii="calibri" w:hAnsi="calibri" w:cs="calibri" w:eastAsia="calibri"/>
                      <w:sz w:val="21"/>
                    </w:rPr>
                    <w:t>PDF</w:t>
                  </w:r>
                  <w:r>
                    <w:rPr>
                      <w:rFonts w:ascii="宋体" w:hAnsi="宋体" w:cs="宋体" w:eastAsia="宋体"/>
                      <w:sz w:val="21"/>
                    </w:rPr>
                    <w:t>、</w:t>
                  </w:r>
                  <w:r>
                    <w:rPr>
                      <w:rFonts w:ascii="calibri" w:hAnsi="calibri" w:cs="calibri" w:eastAsia="calibri"/>
                      <w:sz w:val="21"/>
                    </w:rPr>
                    <w:t>Excel</w:t>
                  </w:r>
                  <w:r>
                    <w:rPr>
                      <w:rFonts w:ascii="宋体" w:hAnsi="宋体" w:cs="宋体" w:eastAsia="宋体"/>
                      <w:sz w:val="21"/>
                    </w:rPr>
                    <w:t>等格式）输出。</w:t>
                  </w:r>
                </w:p>
                <w:p>
                  <w:pPr>
                    <w:pStyle w:val="null3"/>
                    <w:jc w:val="both"/>
                  </w:pPr>
                  <w:r>
                    <w:rPr>
                      <w:rFonts w:ascii="calibri" w:hAnsi="calibri" w:cs="calibri" w:eastAsia="calibri"/>
                      <w:sz w:val="21"/>
                    </w:rPr>
                    <w:t xml:space="preserve">6.8 </w:t>
                  </w:r>
                  <w:r>
                    <w:rPr>
                      <w:rFonts w:ascii="宋体" w:hAnsi="宋体" w:cs="宋体" w:eastAsia="宋体"/>
                      <w:sz w:val="21"/>
                    </w:rPr>
                    <w:t>内置分析方法验证、溶出度计算以及含量均匀度测试模板，无需借助第三方软件即可直接得到结果。</w:t>
                  </w:r>
                </w:p>
                <w:p>
                  <w:pPr>
                    <w:pStyle w:val="null3"/>
                    <w:jc w:val="both"/>
                  </w:pPr>
                  <w:r>
                    <w:rPr>
                      <w:rFonts w:ascii="calibri" w:hAnsi="calibri" w:cs="calibri" w:eastAsia="calibri"/>
                      <w:sz w:val="21"/>
                    </w:rPr>
                    <w:t xml:space="preserve">6.9 </w:t>
                  </w:r>
                  <w:r>
                    <w:rPr>
                      <w:rFonts w:ascii="宋体" w:hAnsi="宋体" w:cs="宋体" w:eastAsia="宋体"/>
                      <w:sz w:val="21"/>
                    </w:rPr>
                    <w:t>当积分向导无法给出满意的积分结果，需要做积分调整时，智能积分功能给出</w:t>
                  </w:r>
                  <w:r>
                    <w:rPr>
                      <w:rFonts w:ascii="宋体" w:hAnsi="宋体" w:cs="宋体" w:eastAsia="宋体"/>
                      <w:sz w:val="21"/>
                    </w:rPr>
                    <w:t>≥</w:t>
                  </w:r>
                  <w:r>
                    <w:rPr>
                      <w:rFonts w:ascii="calibri" w:hAnsi="calibri" w:cs="calibri" w:eastAsia="calibri"/>
                      <w:sz w:val="21"/>
                    </w:rPr>
                    <w:t>5</w:t>
                  </w:r>
                  <w:r>
                    <w:rPr>
                      <w:rFonts w:ascii="宋体" w:hAnsi="宋体" w:cs="宋体" w:eastAsia="宋体"/>
                      <w:sz w:val="21"/>
                    </w:rPr>
                    <w:t>个优化的备选积分方案，用户只需选择恰当的积分方案即可，无需用户自行调整积分参数。</w:t>
                  </w:r>
                </w:p>
                <w:p>
                  <w:pPr>
                    <w:pStyle w:val="null3"/>
                    <w:jc w:val="both"/>
                  </w:pPr>
                  <w:r>
                    <w:rPr>
                      <w:rFonts w:ascii="calibri" w:hAnsi="calibri" w:cs="calibri" w:eastAsia="calibri"/>
                      <w:sz w:val="21"/>
                    </w:rPr>
                    <w:t xml:space="preserve">6.10 </w:t>
                  </w:r>
                  <w:r>
                    <w:rPr>
                      <w:rFonts w:ascii="宋体" w:hAnsi="宋体" w:cs="宋体" w:eastAsia="宋体"/>
                      <w:sz w:val="21"/>
                    </w:rPr>
                    <w:t>至少支持</w:t>
                  </w:r>
                  <w:r>
                    <w:rPr>
                      <w:rFonts w:ascii="calibri" w:hAnsi="calibri" w:cs="calibri" w:eastAsia="calibri"/>
                      <w:sz w:val="21"/>
                    </w:rPr>
                    <w:t>EP</w:t>
                  </w:r>
                  <w:r>
                    <w:rPr>
                      <w:rFonts w:ascii="宋体" w:hAnsi="宋体" w:cs="宋体" w:eastAsia="宋体"/>
                      <w:sz w:val="21"/>
                    </w:rPr>
                    <w:t>、</w:t>
                  </w:r>
                  <w:r>
                    <w:rPr>
                      <w:rFonts w:ascii="calibri" w:hAnsi="calibri" w:cs="calibri" w:eastAsia="calibri"/>
                      <w:sz w:val="21"/>
                    </w:rPr>
                    <w:t>JP</w:t>
                  </w:r>
                  <w:r>
                    <w:rPr>
                      <w:rFonts w:ascii="宋体" w:hAnsi="宋体" w:cs="宋体" w:eastAsia="宋体"/>
                      <w:sz w:val="21"/>
                    </w:rPr>
                    <w:t>、</w:t>
                  </w:r>
                  <w:r>
                    <w:rPr>
                      <w:rFonts w:ascii="calibri" w:hAnsi="calibri" w:cs="calibri" w:eastAsia="calibri"/>
                      <w:sz w:val="21"/>
                    </w:rPr>
                    <w:t>USP</w:t>
                  </w:r>
                  <w:r>
                    <w:rPr>
                      <w:rFonts w:ascii="宋体" w:hAnsi="宋体" w:cs="宋体" w:eastAsia="宋体"/>
                      <w:sz w:val="21"/>
                    </w:rPr>
                    <w:t>、以及</w:t>
                  </w:r>
                  <w:r>
                    <w:rPr>
                      <w:rFonts w:ascii="calibri" w:hAnsi="calibri" w:cs="calibri" w:eastAsia="calibri"/>
                      <w:sz w:val="21"/>
                    </w:rPr>
                    <w:t>ChP</w:t>
                  </w:r>
                  <w:r>
                    <w:rPr>
                      <w:rFonts w:ascii="宋体" w:hAnsi="宋体" w:cs="宋体" w:eastAsia="宋体"/>
                      <w:sz w:val="21"/>
                    </w:rPr>
                    <w:t>的系统适应性参数计算，并可基于预定的参数、计算结果等进行判断，在得到结论后能指定相应的操作。例如插入进样、重新运行整个样品队列或者选择部分样品进行重新进样等。</w:t>
                  </w:r>
                </w:p>
                <w:p>
                  <w:pPr>
                    <w:pStyle w:val="null3"/>
                    <w:jc w:val="both"/>
                  </w:pPr>
                  <w:r>
                    <w:rPr>
                      <w:rFonts w:ascii="calibri" w:hAnsi="calibri" w:cs="calibri" w:eastAsia="calibri"/>
                      <w:sz w:val="21"/>
                    </w:rPr>
                    <w:t xml:space="preserve">6.11 </w:t>
                  </w:r>
                  <w:r>
                    <w:rPr>
                      <w:rFonts w:ascii="宋体" w:hAnsi="宋体" w:cs="宋体" w:eastAsia="宋体"/>
                      <w:sz w:val="21"/>
                    </w:rPr>
                    <w:t>具备用户管理、审计追踪以及访问控制等功能。可使用三种级别的电子签名。</w:t>
                  </w:r>
                </w:p>
                <w:p>
                  <w:pPr>
                    <w:pStyle w:val="null3"/>
                    <w:spacing w:before="120" w:after="120"/>
                    <w:jc w:val="both"/>
                  </w:pPr>
                  <w:r>
                    <w:rPr>
                      <w:rFonts w:ascii="calibri" w:hAnsi="calibri" w:cs="calibri" w:eastAsia="calibri"/>
                      <w:sz w:val="21"/>
                      <w:b/>
                    </w:rPr>
                    <w:t>7</w:t>
                  </w:r>
                  <w:r>
                    <w:rPr>
                      <w:rFonts w:ascii="宋体" w:hAnsi="宋体" w:cs="宋体" w:eastAsia="宋体"/>
                      <w:sz w:val="21"/>
                      <w:b/>
                    </w:rPr>
                    <w:t>、配置清单</w:t>
                  </w:r>
                </w:p>
                <w:p>
                  <w:pPr>
                    <w:pStyle w:val="null3"/>
                    <w:jc w:val="both"/>
                  </w:pPr>
                  <w:r>
                    <w:rPr>
                      <w:rFonts w:ascii="calibri" w:hAnsi="calibri" w:cs="calibri" w:eastAsia="calibri"/>
                      <w:sz w:val="21"/>
                    </w:rPr>
                    <w:t>7.1</w:t>
                  </w:r>
                  <w:r>
                    <w:rPr>
                      <w:rFonts w:ascii="calibri" w:hAnsi="calibri" w:cs="calibri" w:eastAsia="calibri"/>
                      <w:sz w:val="21"/>
                    </w:rPr>
                    <w:t xml:space="preserve"> </w:t>
                  </w:r>
                  <w:r>
                    <w:rPr>
                      <w:rFonts w:ascii="宋体" w:hAnsi="宋体" w:cs="宋体" w:eastAsia="宋体"/>
                      <w:sz w:val="21"/>
                    </w:rPr>
                    <w:t>主机系统基座</w:t>
                  </w:r>
                  <w:r>
                    <w:rPr>
                      <w:rFonts w:ascii="宋体" w:hAnsi="宋体" w:cs="宋体" w:eastAsia="宋体"/>
                      <w:sz w:val="21"/>
                    </w:rPr>
                    <w:t>：</w:t>
                  </w:r>
                  <w:r>
                    <w:rPr>
                      <w:rFonts w:ascii="calibri" w:hAnsi="calibri" w:cs="calibri" w:eastAsia="calibri"/>
                      <w:sz w:val="21"/>
                    </w:rPr>
                    <w:t>1</w:t>
                  </w:r>
                  <w:r>
                    <w:rPr>
                      <w:rFonts w:ascii="宋体" w:hAnsi="宋体" w:cs="宋体" w:eastAsia="宋体"/>
                      <w:sz w:val="21"/>
                    </w:rPr>
                    <w:t>套</w:t>
                  </w:r>
                </w:p>
                <w:p>
                  <w:pPr>
                    <w:pStyle w:val="null3"/>
                    <w:jc w:val="both"/>
                  </w:pPr>
                  <w:r>
                    <w:rPr>
                      <w:rFonts w:ascii="calibri" w:hAnsi="calibri" w:cs="calibri" w:eastAsia="calibri"/>
                      <w:sz w:val="21"/>
                    </w:rPr>
                    <w:t>7.2</w:t>
                  </w:r>
                  <w:r>
                    <w:rPr>
                      <w:rFonts w:ascii="calibri" w:hAnsi="calibri" w:cs="calibri" w:eastAsia="calibri"/>
                      <w:sz w:val="21"/>
                    </w:rPr>
                    <w:t xml:space="preserve"> </w:t>
                  </w:r>
                  <w:r>
                    <w:rPr>
                      <w:rFonts w:ascii="宋体" w:hAnsi="宋体" w:cs="宋体" w:eastAsia="宋体"/>
                      <w:sz w:val="21"/>
                    </w:rPr>
                    <w:t>双三元泵或</w:t>
                  </w:r>
                  <w:r>
                    <w:rPr>
                      <w:rFonts w:ascii="calibri" w:hAnsi="calibri" w:cs="calibri" w:eastAsia="calibri"/>
                      <w:sz w:val="21"/>
                    </w:rPr>
                    <w:t>2</w:t>
                  </w:r>
                  <w:r>
                    <w:rPr>
                      <w:rFonts w:ascii="宋体" w:hAnsi="宋体" w:cs="宋体" w:eastAsia="宋体"/>
                      <w:sz w:val="21"/>
                    </w:rPr>
                    <w:t>个二元泵</w:t>
                  </w:r>
                  <w:r>
                    <w:rPr>
                      <w:rFonts w:ascii="宋体" w:hAnsi="宋体" w:cs="宋体" w:eastAsia="宋体"/>
                      <w:sz w:val="21"/>
                    </w:rPr>
                    <w:t>：</w:t>
                  </w:r>
                  <w:r>
                    <w:rPr>
                      <w:rFonts w:ascii="calibri" w:hAnsi="calibri" w:cs="calibri" w:eastAsia="calibri"/>
                      <w:sz w:val="21"/>
                    </w:rPr>
                    <w:t>1</w:t>
                  </w:r>
                  <w:r>
                    <w:rPr>
                      <w:rFonts w:ascii="宋体" w:hAnsi="宋体" w:cs="宋体" w:eastAsia="宋体"/>
                      <w:sz w:val="21"/>
                    </w:rPr>
                    <w:t>套</w:t>
                  </w:r>
                </w:p>
                <w:p>
                  <w:pPr>
                    <w:pStyle w:val="null3"/>
                    <w:jc w:val="both"/>
                  </w:pPr>
                  <w:r>
                    <w:rPr>
                      <w:rFonts w:ascii="calibri" w:hAnsi="calibri" w:cs="calibri" w:eastAsia="calibri"/>
                      <w:sz w:val="21"/>
                    </w:rPr>
                    <w:t>7.3</w:t>
                  </w:r>
                  <w:r>
                    <w:rPr>
                      <w:rFonts w:ascii="calibri" w:hAnsi="calibri" w:cs="calibri" w:eastAsia="calibri"/>
                      <w:sz w:val="21"/>
                    </w:rPr>
                    <w:t xml:space="preserve"> </w:t>
                  </w:r>
                  <w:r>
                    <w:rPr>
                      <w:rFonts w:ascii="宋体" w:hAnsi="宋体" w:cs="宋体" w:eastAsia="宋体"/>
                      <w:sz w:val="21"/>
                    </w:rPr>
                    <w:t>溶剂瓶存储架，</w:t>
                  </w:r>
                  <w:r>
                    <w:rPr>
                      <w:rFonts w:ascii="calibri" w:hAnsi="calibri" w:cs="calibri" w:eastAsia="calibri"/>
                      <w:sz w:val="21"/>
                    </w:rPr>
                    <w:t>1L</w:t>
                  </w:r>
                  <w:r>
                    <w:rPr>
                      <w:rFonts w:ascii="宋体" w:hAnsi="宋体" w:cs="宋体" w:eastAsia="宋体"/>
                      <w:sz w:val="21"/>
                    </w:rPr>
                    <w:t>溶剂瓶</w:t>
                  </w:r>
                  <w:r>
                    <w:rPr>
                      <w:rFonts w:ascii="宋体" w:hAnsi="宋体" w:cs="宋体" w:eastAsia="宋体"/>
                      <w:sz w:val="21"/>
                    </w:rPr>
                    <w:t>含盖子：</w:t>
                  </w:r>
                  <w:r>
                    <w:rPr>
                      <w:rFonts w:ascii="calibri" w:hAnsi="calibri" w:cs="calibri" w:eastAsia="calibri"/>
                      <w:sz w:val="21"/>
                    </w:rPr>
                    <w:t>10</w:t>
                  </w:r>
                  <w:r>
                    <w:rPr>
                      <w:rFonts w:ascii="宋体" w:hAnsi="宋体" w:cs="宋体" w:eastAsia="宋体"/>
                      <w:sz w:val="21"/>
                    </w:rPr>
                    <w:t>个，连接管线</w:t>
                  </w:r>
                  <w:r>
                    <w:rPr>
                      <w:rFonts w:ascii="宋体" w:hAnsi="宋体" w:cs="宋体" w:eastAsia="宋体"/>
                      <w:sz w:val="21"/>
                    </w:rPr>
                    <w:t>：</w:t>
                  </w:r>
                  <w:r>
                    <w:rPr>
                      <w:rFonts w:ascii="calibri" w:hAnsi="calibri" w:cs="calibri" w:eastAsia="calibri"/>
                      <w:sz w:val="21"/>
                    </w:rPr>
                    <w:t>1</w:t>
                  </w:r>
                  <w:r>
                    <w:rPr>
                      <w:rFonts w:ascii="宋体" w:hAnsi="宋体" w:cs="宋体" w:eastAsia="宋体"/>
                      <w:sz w:val="21"/>
                    </w:rPr>
                    <w:t xml:space="preserve">套  </w:t>
                  </w:r>
                </w:p>
                <w:p>
                  <w:pPr>
                    <w:pStyle w:val="null3"/>
                    <w:jc w:val="both"/>
                  </w:pPr>
                  <w:r>
                    <w:rPr>
                      <w:rFonts w:ascii="calibri" w:hAnsi="calibri" w:cs="calibri" w:eastAsia="calibri"/>
                      <w:sz w:val="21"/>
                    </w:rPr>
                    <w:t>7.4</w:t>
                  </w:r>
                  <w:r>
                    <w:rPr>
                      <w:rFonts w:ascii="宋体" w:hAnsi="宋体" w:cs="宋体" w:eastAsia="宋体"/>
                      <w:sz w:val="21"/>
                    </w:rPr>
                    <w:t>单针温控自动进样器</w:t>
                  </w:r>
                  <w:r>
                    <w:rPr>
                      <w:rFonts w:ascii="宋体" w:hAnsi="宋体" w:cs="宋体" w:eastAsia="宋体"/>
                      <w:sz w:val="21"/>
                    </w:rPr>
                    <w:t>：</w:t>
                  </w:r>
                  <w:r>
                    <w:rPr>
                      <w:rFonts w:ascii="calibri" w:hAnsi="calibri" w:cs="calibri" w:eastAsia="calibri"/>
                      <w:sz w:val="21"/>
                    </w:rPr>
                    <w:t>1</w:t>
                  </w:r>
                  <w:r>
                    <w:rPr>
                      <w:rFonts w:ascii="宋体" w:hAnsi="宋体" w:cs="宋体" w:eastAsia="宋体"/>
                      <w:sz w:val="21"/>
                    </w:rPr>
                    <w:t>套</w:t>
                  </w:r>
                  <w:r>
                    <w:rPr>
                      <w:rFonts w:ascii="calibri" w:hAnsi="calibri" w:cs="calibri" w:eastAsia="calibri"/>
                      <w:sz w:val="21"/>
                    </w:rPr>
                    <w:t xml:space="preserve">   </w:t>
                  </w:r>
                </w:p>
                <w:p>
                  <w:pPr>
                    <w:pStyle w:val="null3"/>
                    <w:jc w:val="both"/>
                  </w:pPr>
                  <w:r>
                    <w:rPr>
                      <w:rFonts w:ascii="calibri" w:hAnsi="calibri" w:cs="calibri" w:eastAsia="calibri"/>
                      <w:sz w:val="21"/>
                    </w:rPr>
                    <w:t>7.5</w:t>
                  </w:r>
                  <w:r>
                    <w:rPr>
                      <w:rFonts w:ascii="calibri" w:hAnsi="calibri" w:cs="calibri" w:eastAsia="calibri"/>
                      <w:sz w:val="21"/>
                    </w:rPr>
                    <w:t xml:space="preserve"> </w:t>
                  </w:r>
                  <w:r>
                    <w:rPr>
                      <w:rFonts w:ascii="宋体" w:hAnsi="宋体" w:cs="宋体" w:eastAsia="宋体"/>
                      <w:sz w:val="21"/>
                    </w:rPr>
                    <w:t>柱温箱</w:t>
                  </w:r>
                  <w:r>
                    <w:rPr>
                      <w:rFonts w:ascii="宋体" w:hAnsi="宋体" w:cs="宋体" w:eastAsia="宋体"/>
                      <w:sz w:val="21"/>
                      <w:color w:val="FF0000"/>
                    </w:rPr>
                    <w:t>：</w:t>
                  </w:r>
                  <w:r>
                    <w:rPr>
                      <w:rFonts w:ascii="calibri" w:hAnsi="calibri" w:cs="calibri" w:eastAsia="calibri"/>
                      <w:sz w:val="21"/>
                    </w:rPr>
                    <w:t>1</w:t>
                  </w:r>
                  <w:r>
                    <w:rPr>
                      <w:rFonts w:ascii="宋体" w:hAnsi="宋体" w:cs="宋体" w:eastAsia="宋体"/>
                      <w:sz w:val="21"/>
                    </w:rPr>
                    <w:t xml:space="preserve">套   </w:t>
                  </w:r>
                </w:p>
                <w:p>
                  <w:pPr>
                    <w:pStyle w:val="null3"/>
                    <w:jc w:val="both"/>
                  </w:pPr>
                  <w:r>
                    <w:rPr>
                      <w:rFonts w:ascii="calibri" w:hAnsi="calibri" w:cs="calibri" w:eastAsia="calibri"/>
                      <w:sz w:val="21"/>
                    </w:rPr>
                    <w:t>7.6</w:t>
                  </w:r>
                  <w:r>
                    <w:rPr>
                      <w:rFonts w:ascii="calibri" w:hAnsi="calibri" w:cs="calibri" w:eastAsia="calibri"/>
                      <w:sz w:val="21"/>
                    </w:rPr>
                    <w:t xml:space="preserve"> </w:t>
                  </w:r>
                  <w:r>
                    <w:rPr>
                      <w:rFonts w:ascii="宋体" w:hAnsi="宋体" w:cs="宋体" w:eastAsia="宋体"/>
                      <w:sz w:val="21"/>
                    </w:rPr>
                    <w:t>二极管阵列检测器</w:t>
                  </w:r>
                  <w:r>
                    <w:rPr>
                      <w:rFonts w:ascii="宋体" w:hAnsi="宋体" w:cs="宋体" w:eastAsia="宋体"/>
                      <w:sz w:val="21"/>
                    </w:rPr>
                    <w:t>：</w:t>
                  </w:r>
                  <w:r>
                    <w:rPr>
                      <w:rFonts w:ascii="calibri" w:hAnsi="calibri" w:cs="calibri" w:eastAsia="calibri"/>
                      <w:sz w:val="21"/>
                    </w:rPr>
                    <w:t>1</w:t>
                  </w:r>
                  <w:r>
                    <w:rPr>
                      <w:rFonts w:ascii="宋体" w:hAnsi="宋体" w:cs="宋体" w:eastAsia="宋体"/>
                      <w:sz w:val="21"/>
                    </w:rPr>
                    <w:t>套</w:t>
                  </w:r>
                </w:p>
                <w:p>
                  <w:pPr>
                    <w:pStyle w:val="null3"/>
                    <w:jc w:val="both"/>
                  </w:pPr>
                  <w:r>
                    <w:rPr>
                      <w:rFonts w:ascii="calibri" w:hAnsi="calibri" w:cs="calibri" w:eastAsia="calibri"/>
                      <w:sz w:val="21"/>
                    </w:rPr>
                    <w:t>7.7</w:t>
                  </w:r>
                  <w:r>
                    <w:rPr>
                      <w:rFonts w:ascii="calibri" w:hAnsi="calibri" w:cs="calibri" w:eastAsia="calibri"/>
                      <w:sz w:val="21"/>
                    </w:rPr>
                    <w:t xml:space="preserve"> </w:t>
                  </w:r>
                  <w:r>
                    <w:rPr>
                      <w:rFonts w:ascii="宋体" w:hAnsi="宋体" w:cs="宋体" w:eastAsia="宋体"/>
                      <w:sz w:val="21"/>
                    </w:rPr>
                    <w:t>二极管阵列检测器流通池</w:t>
                  </w:r>
                  <w:r>
                    <w:rPr>
                      <w:rFonts w:ascii="宋体" w:hAnsi="宋体" w:cs="宋体" w:eastAsia="宋体"/>
                      <w:sz w:val="21"/>
                    </w:rPr>
                    <w:t>：</w:t>
                  </w:r>
                  <w:r>
                    <w:rPr>
                      <w:rFonts w:ascii="calibri" w:hAnsi="calibri" w:cs="calibri" w:eastAsia="calibri"/>
                      <w:sz w:val="21"/>
                    </w:rPr>
                    <w:t>1</w:t>
                  </w:r>
                  <w:r>
                    <w:rPr>
                      <w:rFonts w:ascii="宋体" w:hAnsi="宋体" w:cs="宋体" w:eastAsia="宋体"/>
                      <w:sz w:val="21"/>
                    </w:rPr>
                    <w:t>个</w:t>
                  </w:r>
                </w:p>
                <w:p>
                  <w:pPr>
                    <w:pStyle w:val="null3"/>
                    <w:jc w:val="both"/>
                  </w:pPr>
                  <w:r>
                    <w:rPr>
                      <w:rFonts w:ascii="calibri" w:hAnsi="calibri" w:cs="calibri" w:eastAsia="calibri"/>
                      <w:sz w:val="21"/>
                    </w:rPr>
                    <w:t>7.8</w:t>
                  </w:r>
                  <w:r>
                    <w:rPr>
                      <w:rFonts w:ascii="calibri" w:hAnsi="calibri" w:cs="calibri" w:eastAsia="calibri"/>
                      <w:sz w:val="21"/>
                    </w:rPr>
                    <w:t xml:space="preserve"> </w:t>
                  </w:r>
                  <w:r>
                    <w:rPr>
                      <w:rFonts w:ascii="宋体" w:hAnsi="宋体" w:cs="宋体" w:eastAsia="宋体"/>
                      <w:sz w:val="21"/>
                    </w:rPr>
                    <w:t>荧光检测器</w:t>
                  </w:r>
                  <w:r>
                    <w:rPr>
                      <w:rFonts w:ascii="宋体" w:hAnsi="宋体" w:cs="宋体" w:eastAsia="宋体"/>
                      <w:sz w:val="21"/>
                    </w:rPr>
                    <w:t>：</w:t>
                  </w:r>
                  <w:r>
                    <w:rPr>
                      <w:rFonts w:ascii="calibri" w:hAnsi="calibri" w:cs="calibri" w:eastAsia="calibri"/>
                      <w:sz w:val="21"/>
                    </w:rPr>
                    <w:t>1</w:t>
                  </w:r>
                  <w:r>
                    <w:rPr>
                      <w:rFonts w:ascii="宋体" w:hAnsi="宋体" w:cs="宋体" w:eastAsia="宋体"/>
                      <w:sz w:val="21"/>
                    </w:rPr>
                    <w:t>套</w:t>
                  </w:r>
                </w:p>
                <w:p>
                  <w:pPr>
                    <w:pStyle w:val="null3"/>
                    <w:jc w:val="both"/>
                  </w:pPr>
                  <w:r>
                    <w:rPr>
                      <w:rFonts w:ascii="calibri" w:hAnsi="calibri" w:cs="calibri" w:eastAsia="calibri"/>
                      <w:sz w:val="21"/>
                    </w:rPr>
                    <w:t>7.9</w:t>
                  </w:r>
                  <w:r>
                    <w:rPr>
                      <w:rFonts w:ascii="calibri" w:hAnsi="calibri" w:cs="calibri" w:eastAsia="calibri"/>
                      <w:sz w:val="21"/>
                    </w:rPr>
                    <w:t xml:space="preserve"> </w:t>
                  </w:r>
                  <w:r>
                    <w:rPr>
                      <w:rFonts w:ascii="宋体" w:hAnsi="宋体" w:cs="宋体" w:eastAsia="宋体"/>
                      <w:sz w:val="21"/>
                    </w:rPr>
                    <w:t>荧光检测器流通池</w:t>
                  </w:r>
                  <w:r>
                    <w:rPr>
                      <w:rFonts w:ascii="宋体" w:hAnsi="宋体" w:cs="宋体" w:eastAsia="宋体"/>
                      <w:sz w:val="21"/>
                    </w:rPr>
                    <w:t>：</w:t>
                  </w:r>
                  <w:r>
                    <w:rPr>
                      <w:rFonts w:ascii="calibri" w:hAnsi="calibri" w:cs="calibri" w:eastAsia="calibri"/>
                      <w:sz w:val="21"/>
                    </w:rPr>
                    <w:t>1</w:t>
                  </w:r>
                  <w:r>
                    <w:rPr>
                      <w:rFonts w:ascii="宋体" w:hAnsi="宋体" w:cs="宋体" w:eastAsia="宋体"/>
                      <w:sz w:val="21"/>
                    </w:rPr>
                    <w:t>个</w:t>
                  </w:r>
                </w:p>
                <w:p>
                  <w:pPr>
                    <w:pStyle w:val="null3"/>
                    <w:jc w:val="both"/>
                  </w:pPr>
                  <w:r>
                    <w:rPr>
                      <w:rFonts w:ascii="calibri" w:hAnsi="calibri" w:cs="calibri" w:eastAsia="calibri"/>
                      <w:sz w:val="21"/>
                    </w:rPr>
                    <w:t>7.10</w:t>
                  </w:r>
                  <w:r>
                    <w:rPr>
                      <w:rFonts w:ascii="calibri" w:hAnsi="calibri" w:cs="calibri" w:eastAsia="calibri"/>
                      <w:sz w:val="21"/>
                    </w:rPr>
                    <w:t xml:space="preserve"> </w:t>
                  </w:r>
                  <w:r>
                    <w:rPr>
                      <w:rFonts w:ascii="宋体" w:hAnsi="宋体" w:cs="宋体" w:eastAsia="宋体"/>
                      <w:sz w:val="21"/>
                    </w:rPr>
                    <w:t>色谱软件</w:t>
                  </w:r>
                  <w:r>
                    <w:rPr>
                      <w:rFonts w:ascii="宋体" w:hAnsi="宋体" w:cs="宋体" w:eastAsia="宋体"/>
                      <w:sz w:val="21"/>
                    </w:rPr>
                    <w:t>：</w:t>
                  </w:r>
                  <w:r>
                    <w:rPr>
                      <w:rFonts w:ascii="calibri" w:hAnsi="calibri" w:cs="calibri" w:eastAsia="calibri"/>
                      <w:sz w:val="21"/>
                    </w:rPr>
                    <w:t>1</w:t>
                  </w:r>
                  <w:r>
                    <w:rPr>
                      <w:rFonts w:ascii="宋体" w:hAnsi="宋体" w:cs="宋体" w:eastAsia="宋体"/>
                      <w:sz w:val="21"/>
                    </w:rPr>
                    <w:t>套</w:t>
                  </w:r>
                </w:p>
                <w:p>
                  <w:pPr>
                    <w:pStyle w:val="null3"/>
                    <w:jc w:val="both"/>
                  </w:pPr>
                  <w:r>
                    <w:rPr>
                      <w:rFonts w:ascii="calibri" w:hAnsi="calibri" w:cs="calibri" w:eastAsia="calibri"/>
                      <w:sz w:val="21"/>
                    </w:rPr>
                    <w:t>7.11</w:t>
                  </w:r>
                  <w:r>
                    <w:rPr>
                      <w:rFonts w:ascii="calibri" w:hAnsi="calibri" w:cs="calibri" w:eastAsia="calibri"/>
                      <w:sz w:val="21"/>
                    </w:rPr>
                    <w:t xml:space="preserve"> </w:t>
                  </w:r>
                  <w:r>
                    <w:rPr>
                      <w:rFonts w:ascii="calibri" w:hAnsi="calibri" w:cs="calibri" w:eastAsia="calibri"/>
                      <w:sz w:val="21"/>
                    </w:rPr>
                    <w:t>C18</w:t>
                  </w:r>
                  <w:r>
                    <w:rPr>
                      <w:rFonts w:ascii="宋体" w:hAnsi="宋体" w:cs="宋体" w:eastAsia="宋体"/>
                      <w:sz w:val="21"/>
                    </w:rPr>
                    <w:t>色谱柱</w:t>
                  </w:r>
                  <w:r>
                    <w:rPr>
                      <w:rFonts w:ascii="宋体" w:hAnsi="宋体" w:cs="宋体" w:eastAsia="宋体"/>
                      <w:sz w:val="21"/>
                    </w:rPr>
                    <w:t>：</w:t>
                  </w:r>
                  <w:r>
                    <w:rPr>
                      <w:rFonts w:ascii="calibri" w:hAnsi="calibri" w:cs="calibri" w:eastAsia="calibri"/>
                      <w:sz w:val="21"/>
                    </w:rPr>
                    <w:t>1</w:t>
                  </w:r>
                  <w:r>
                    <w:rPr>
                      <w:rFonts w:ascii="宋体" w:hAnsi="宋体" w:cs="宋体" w:eastAsia="宋体"/>
                      <w:sz w:val="21"/>
                    </w:rPr>
                    <w:t>根</w:t>
                  </w:r>
                  <w:r>
                    <w:rPr>
                      <w:rFonts w:ascii="calibri" w:hAnsi="calibri" w:cs="calibri" w:eastAsia="calibri"/>
                      <w:sz w:val="21"/>
                    </w:rPr>
                    <w:t xml:space="preserve">   </w:t>
                  </w:r>
                </w:p>
                <w:p>
                  <w:pPr>
                    <w:pStyle w:val="null3"/>
                    <w:jc w:val="both"/>
                  </w:pPr>
                  <w:r>
                    <w:rPr>
                      <w:rFonts w:ascii="calibri" w:hAnsi="calibri" w:cs="calibri" w:eastAsia="calibri"/>
                      <w:sz w:val="21"/>
                    </w:rPr>
                    <w:t>7.12</w:t>
                  </w:r>
                  <w:r>
                    <w:rPr>
                      <w:rFonts w:ascii="calibri" w:hAnsi="calibri" w:cs="calibri" w:eastAsia="calibri"/>
                      <w:sz w:val="21"/>
                    </w:rPr>
                    <w:t xml:space="preserve"> </w:t>
                  </w:r>
                  <w:r>
                    <w:rPr>
                      <w:rFonts w:ascii="宋体" w:hAnsi="宋体" w:cs="宋体" w:eastAsia="宋体"/>
                      <w:sz w:val="21"/>
                    </w:rPr>
                    <w:t>在线过滤器</w:t>
                  </w:r>
                  <w:r>
                    <w:rPr>
                      <w:rFonts w:ascii="宋体" w:hAnsi="宋体" w:cs="宋体" w:eastAsia="宋体"/>
                      <w:sz w:val="21"/>
                    </w:rPr>
                    <w:t>：</w:t>
                  </w:r>
                  <w:r>
                    <w:rPr>
                      <w:rFonts w:ascii="calibri" w:hAnsi="calibri" w:cs="calibri" w:eastAsia="calibri"/>
                      <w:sz w:val="21"/>
                    </w:rPr>
                    <w:t>1</w:t>
                  </w:r>
                  <w:r>
                    <w:rPr>
                      <w:rFonts w:ascii="宋体" w:hAnsi="宋体" w:cs="宋体" w:eastAsia="宋体"/>
                      <w:sz w:val="21"/>
                    </w:rPr>
                    <w:t>套</w:t>
                  </w:r>
                </w:p>
                <w:p>
                  <w:pPr>
                    <w:pStyle w:val="null3"/>
                    <w:jc w:val="both"/>
                  </w:pPr>
                  <w:r>
                    <w:rPr>
                      <w:rFonts w:ascii="calibri" w:hAnsi="calibri" w:cs="calibri" w:eastAsia="calibri"/>
                      <w:sz w:val="21"/>
                    </w:rPr>
                    <w:t>7.13</w:t>
                  </w:r>
                  <w:r>
                    <w:rPr>
                      <w:rFonts w:ascii="calibri" w:hAnsi="calibri" w:cs="calibri" w:eastAsia="calibri"/>
                      <w:sz w:val="21"/>
                    </w:rPr>
                    <w:t xml:space="preserve"> </w:t>
                  </w:r>
                  <w:r>
                    <w:rPr>
                      <w:rFonts w:ascii="宋体" w:hAnsi="宋体" w:cs="宋体" w:eastAsia="宋体"/>
                      <w:sz w:val="21"/>
                    </w:rPr>
                    <w:t>过滤器滤芯</w:t>
                  </w:r>
                  <w:r>
                    <w:rPr>
                      <w:rFonts w:ascii="宋体" w:hAnsi="宋体" w:cs="宋体" w:eastAsia="宋体"/>
                      <w:sz w:val="21"/>
                    </w:rPr>
                    <w:t>：</w:t>
                  </w:r>
                  <w:r>
                    <w:rPr>
                      <w:rFonts w:ascii="calibri" w:hAnsi="calibri" w:cs="calibri" w:eastAsia="calibri"/>
                      <w:sz w:val="21"/>
                    </w:rPr>
                    <w:t>5</w:t>
                  </w:r>
                  <w:r>
                    <w:rPr>
                      <w:rFonts w:ascii="宋体" w:hAnsi="宋体" w:cs="宋体" w:eastAsia="宋体"/>
                      <w:sz w:val="21"/>
                    </w:rPr>
                    <w:t>个</w:t>
                  </w:r>
                </w:p>
                <w:p>
                  <w:pPr>
                    <w:pStyle w:val="null3"/>
                    <w:jc w:val="both"/>
                  </w:pPr>
                  <w:r>
                    <w:rPr>
                      <w:rFonts w:ascii="calibri" w:hAnsi="calibri" w:cs="calibri" w:eastAsia="calibri"/>
                      <w:sz w:val="21"/>
                    </w:rPr>
                    <w:t>7.14</w:t>
                  </w:r>
                  <w:r>
                    <w:rPr>
                      <w:rFonts w:ascii="calibri" w:hAnsi="calibri" w:cs="calibri" w:eastAsia="calibri"/>
                      <w:sz w:val="21"/>
                    </w:rPr>
                    <w:t xml:space="preserve"> </w:t>
                  </w:r>
                  <w:r>
                    <w:rPr>
                      <w:rFonts w:ascii="calibri" w:hAnsi="calibri" w:cs="calibri" w:eastAsia="calibri"/>
                      <w:sz w:val="21"/>
                    </w:rPr>
                    <w:t>2mL</w:t>
                  </w:r>
                  <w:r>
                    <w:rPr>
                      <w:rFonts w:ascii="宋体" w:hAnsi="宋体" w:cs="宋体" w:eastAsia="宋体"/>
                      <w:sz w:val="21"/>
                    </w:rPr>
                    <w:t>进样小瓶</w:t>
                  </w:r>
                  <w:r>
                    <w:rPr>
                      <w:rFonts w:ascii="calibri" w:hAnsi="calibri" w:cs="calibri" w:eastAsia="calibri"/>
                      <w:sz w:val="21"/>
                    </w:rPr>
                    <w:t>,</w:t>
                  </w:r>
                  <w:r>
                    <w:rPr>
                      <w:rFonts w:ascii="宋体" w:hAnsi="宋体" w:cs="宋体" w:eastAsia="宋体"/>
                      <w:sz w:val="21"/>
                    </w:rPr>
                    <w:t>含瓶盖和垫片，</w:t>
                  </w:r>
                  <w:r>
                    <w:rPr>
                      <w:rFonts w:ascii="calibri" w:hAnsi="calibri" w:cs="calibri" w:eastAsia="calibri"/>
                      <w:sz w:val="21"/>
                    </w:rPr>
                    <w:t>9mm</w:t>
                  </w:r>
                  <w:r>
                    <w:rPr>
                      <w:rFonts w:ascii="宋体" w:hAnsi="宋体" w:cs="宋体" w:eastAsia="宋体"/>
                      <w:sz w:val="21"/>
                    </w:rPr>
                    <w:t>口径</w:t>
                  </w:r>
                  <w:r>
                    <w:rPr>
                      <w:rFonts w:ascii="calibri" w:hAnsi="calibri" w:cs="calibri" w:eastAsia="calibri"/>
                      <w:sz w:val="21"/>
                    </w:rPr>
                    <w:t>,100</w:t>
                  </w:r>
                  <w:r>
                    <w:rPr>
                      <w:rFonts w:ascii="宋体" w:hAnsi="宋体" w:cs="宋体" w:eastAsia="宋体"/>
                      <w:sz w:val="21"/>
                    </w:rPr>
                    <w:t>个</w:t>
                  </w:r>
                  <w:r>
                    <w:rPr>
                      <w:rFonts w:ascii="calibri" w:hAnsi="calibri" w:cs="calibri" w:eastAsia="calibri"/>
                      <w:sz w:val="21"/>
                    </w:rPr>
                    <w:t>/</w:t>
                  </w:r>
                  <w:r>
                    <w:rPr>
                      <w:rFonts w:ascii="宋体" w:hAnsi="宋体" w:cs="宋体" w:eastAsia="宋体"/>
                      <w:sz w:val="21"/>
                    </w:rPr>
                    <w:t>包</w:t>
                  </w:r>
                  <w:r>
                    <w:rPr>
                      <w:rFonts w:ascii="宋体" w:hAnsi="宋体" w:cs="宋体" w:eastAsia="宋体"/>
                      <w:sz w:val="21"/>
                    </w:rPr>
                    <w:t>：</w:t>
                  </w:r>
                  <w:r>
                    <w:rPr>
                      <w:rFonts w:ascii="calibri" w:hAnsi="calibri" w:cs="calibri" w:eastAsia="calibri"/>
                      <w:sz w:val="21"/>
                    </w:rPr>
                    <w:t>10</w:t>
                  </w:r>
                  <w:r>
                    <w:rPr>
                      <w:rFonts w:ascii="宋体" w:hAnsi="宋体" w:cs="宋体" w:eastAsia="宋体"/>
                      <w:sz w:val="21"/>
                    </w:rPr>
                    <w:t>包</w:t>
                  </w:r>
                </w:p>
                <w:p>
                  <w:pPr>
                    <w:pStyle w:val="null3"/>
                    <w:jc w:val="both"/>
                  </w:pPr>
                  <w:r>
                    <w:rPr>
                      <w:rFonts w:ascii="calibri" w:hAnsi="calibri" w:cs="calibri" w:eastAsia="calibri"/>
                      <w:sz w:val="21"/>
                    </w:rPr>
                    <w:t>7.15</w:t>
                  </w:r>
                  <w:r>
                    <w:rPr>
                      <w:rFonts w:ascii="calibri" w:hAnsi="calibri" w:cs="calibri" w:eastAsia="calibri"/>
                      <w:sz w:val="21"/>
                    </w:rPr>
                    <w:t xml:space="preserve"> </w:t>
                  </w:r>
                  <w:r>
                    <w:rPr>
                      <w:rFonts w:ascii="宋体" w:hAnsi="宋体" w:cs="宋体" w:eastAsia="宋体"/>
                      <w:sz w:val="21"/>
                    </w:rPr>
                    <w:t>电源线</w:t>
                  </w:r>
                  <w:r>
                    <w:rPr>
                      <w:rFonts w:ascii="宋体" w:hAnsi="宋体" w:cs="宋体" w:eastAsia="宋体"/>
                      <w:sz w:val="21"/>
                    </w:rPr>
                    <w:t>：</w:t>
                  </w:r>
                  <w:r>
                    <w:rPr>
                      <w:rFonts w:ascii="calibri" w:hAnsi="calibri" w:cs="calibri" w:eastAsia="calibri"/>
                      <w:sz w:val="21"/>
                    </w:rPr>
                    <w:t>6</w:t>
                  </w:r>
                  <w:r>
                    <w:rPr>
                      <w:rFonts w:ascii="宋体" w:hAnsi="宋体" w:cs="宋体" w:eastAsia="宋体"/>
                      <w:sz w:val="21"/>
                    </w:rPr>
                    <w:t>根</w:t>
                  </w:r>
                </w:p>
                <w:p>
                  <w:pPr>
                    <w:pStyle w:val="null3"/>
                    <w:jc w:val="both"/>
                  </w:pPr>
                  <w:r>
                    <w:rPr>
                      <w:rFonts w:ascii="calibri" w:hAnsi="calibri" w:cs="calibri" w:eastAsia="calibri"/>
                      <w:sz w:val="21"/>
                    </w:rPr>
                    <w:t>7.16</w:t>
                  </w:r>
                  <w:r>
                    <w:rPr>
                      <w:rFonts w:ascii="calibri" w:hAnsi="calibri" w:cs="calibri" w:eastAsia="calibri"/>
                      <w:sz w:val="21"/>
                    </w:rPr>
                    <w:t xml:space="preserve"> </w:t>
                  </w:r>
                  <w:r>
                    <w:rPr>
                      <w:rFonts w:ascii="宋体" w:hAnsi="宋体" w:cs="宋体" w:eastAsia="宋体"/>
                      <w:sz w:val="21"/>
                    </w:rPr>
                    <w:t>品牌电脑打印机：</w:t>
                  </w:r>
                  <w:r>
                    <w:rPr>
                      <w:rFonts w:ascii="calibri" w:hAnsi="calibri" w:cs="calibri" w:eastAsia="calibri"/>
                      <w:sz w:val="21"/>
                    </w:rPr>
                    <w:t>1</w:t>
                  </w:r>
                  <w:r>
                    <w:rPr>
                      <w:rFonts w:ascii="宋体" w:hAnsi="宋体" w:cs="宋体" w:eastAsia="宋体"/>
                      <w:sz w:val="21"/>
                    </w:rPr>
                    <w:t>套</w:t>
                  </w:r>
                </w:p>
                <w:p>
                  <w:pPr>
                    <w:pStyle w:val="null3"/>
                    <w:jc w:val="both"/>
                  </w:pPr>
                  <w:r>
                    <w:rPr>
                      <w:rFonts w:ascii="宋体" w:hAnsi="宋体" w:cs="宋体" w:eastAsia="宋体"/>
                      <w:sz w:val="21"/>
                    </w:rPr>
                    <w:t>电脑配置：</w:t>
                  </w:r>
                  <w:r>
                    <w:rPr>
                      <w:rFonts w:ascii="calibri" w:hAnsi="calibri" w:cs="calibri" w:eastAsia="calibri"/>
                      <w:sz w:val="21"/>
                    </w:rPr>
                    <w:t>i7-</w:t>
                  </w:r>
                  <w:r>
                    <w:rPr>
                      <w:rFonts w:ascii="calibri" w:hAnsi="calibri" w:cs="calibri" w:eastAsia="calibri"/>
                      <w:sz w:val="21"/>
                    </w:rPr>
                    <w:t>147</w:t>
                  </w:r>
                  <w:r>
                    <w:rPr>
                      <w:rFonts w:ascii="calibri" w:hAnsi="calibri" w:cs="calibri" w:eastAsia="calibri"/>
                      <w:sz w:val="21"/>
                    </w:rPr>
                    <w:t>00</w:t>
                  </w:r>
                  <w:r>
                    <w:rPr>
                      <w:rFonts w:ascii="宋体" w:hAnsi="宋体" w:cs="宋体" w:eastAsia="宋体"/>
                      <w:sz w:val="21"/>
                    </w:rPr>
                    <w:t>及以上</w:t>
                  </w:r>
                  <w:r>
                    <w:rPr>
                      <w:rFonts w:ascii="宋体" w:hAnsi="宋体" w:cs="宋体" w:eastAsia="宋体"/>
                      <w:sz w:val="21"/>
                    </w:rPr>
                    <w:t>，</w:t>
                  </w:r>
                  <w:r>
                    <w:rPr>
                      <w:rFonts w:ascii="宋体" w:hAnsi="宋体" w:cs="宋体" w:eastAsia="宋体"/>
                      <w:sz w:val="21"/>
                    </w:rPr>
                    <w:t>内存</w:t>
                  </w:r>
                  <w:r>
                    <w:rPr>
                      <w:rFonts w:ascii="宋体" w:hAnsi="宋体" w:cs="宋体" w:eastAsia="宋体"/>
                      <w:sz w:val="21"/>
                    </w:rPr>
                    <w:t>≥</w:t>
                  </w:r>
                  <w:r>
                    <w:rPr>
                      <w:rFonts w:ascii="calibri" w:hAnsi="calibri" w:cs="calibri" w:eastAsia="calibri"/>
                      <w:sz w:val="21"/>
                    </w:rPr>
                    <w:t>32</w:t>
                  </w:r>
                  <w:r>
                    <w:rPr>
                      <w:rFonts w:ascii="calibri" w:hAnsi="calibri" w:cs="calibri" w:eastAsia="calibri"/>
                      <w:sz w:val="21"/>
                    </w:rPr>
                    <w:t>G</w:t>
                  </w:r>
                  <w:r>
                    <w:rPr>
                      <w:rFonts w:ascii="宋体" w:hAnsi="宋体" w:cs="宋体" w:eastAsia="宋体"/>
                      <w:sz w:val="21"/>
                    </w:rPr>
                    <w:t>，</w:t>
                  </w:r>
                  <w:r>
                    <w:rPr>
                      <w:rFonts w:ascii="宋体" w:hAnsi="宋体" w:cs="宋体" w:eastAsia="宋体"/>
                      <w:sz w:val="21"/>
                    </w:rPr>
                    <w:t>硬盘</w:t>
                  </w:r>
                  <w:r>
                    <w:rPr>
                      <w:rFonts w:ascii="宋体" w:hAnsi="宋体" w:cs="宋体" w:eastAsia="宋体"/>
                      <w:sz w:val="21"/>
                    </w:rPr>
                    <w:t>≥</w:t>
                  </w:r>
                  <w:r>
                    <w:rPr>
                      <w:rFonts w:ascii="calibri" w:hAnsi="calibri" w:cs="calibri" w:eastAsia="calibri"/>
                      <w:sz w:val="21"/>
                    </w:rPr>
                    <w:t>2T</w:t>
                  </w:r>
                  <w:r>
                    <w:rPr>
                      <w:rFonts w:ascii="宋体" w:hAnsi="宋体" w:cs="宋体" w:eastAsia="宋体"/>
                      <w:sz w:val="21"/>
                    </w:rPr>
                    <w:t>，</w:t>
                  </w:r>
                  <w:r>
                    <w:rPr>
                      <w:rFonts w:ascii="宋体" w:hAnsi="宋体" w:cs="宋体" w:eastAsia="宋体"/>
                      <w:sz w:val="21"/>
                    </w:rPr>
                    <w:t>独</w:t>
                  </w:r>
                  <w:r>
                    <w:rPr>
                      <w:rFonts w:ascii="宋体" w:hAnsi="宋体" w:cs="宋体" w:eastAsia="宋体"/>
                      <w:sz w:val="21"/>
                    </w:rPr>
                    <w:t>显，</w:t>
                  </w:r>
                  <w:r>
                    <w:rPr>
                      <w:rFonts w:ascii="宋体" w:hAnsi="宋体" w:cs="宋体" w:eastAsia="宋体"/>
                      <w:sz w:val="21"/>
                    </w:rPr>
                    <w:t>≥</w:t>
                  </w:r>
                  <w:r>
                    <w:rPr>
                      <w:rFonts w:ascii="calibri" w:hAnsi="calibri" w:cs="calibri" w:eastAsia="calibri"/>
                      <w:sz w:val="21"/>
                    </w:rPr>
                    <w:t>27</w:t>
                  </w:r>
                  <w:r>
                    <w:rPr>
                      <w:rFonts w:ascii="宋体" w:hAnsi="宋体" w:cs="宋体" w:eastAsia="宋体"/>
                      <w:sz w:val="21"/>
                    </w:rPr>
                    <w:t>英寸</w:t>
                  </w:r>
                  <w:r>
                    <w:rPr>
                      <w:rFonts w:ascii="宋体" w:hAnsi="宋体" w:cs="宋体" w:eastAsia="宋体"/>
                      <w:sz w:val="21"/>
                    </w:rPr>
                    <w:t>显示器</w:t>
                  </w:r>
                </w:p>
                <w:p>
                  <w:pPr>
                    <w:pStyle w:val="null3"/>
                    <w:jc w:val="both"/>
                  </w:pPr>
                  <w:r>
                    <w:rPr>
                      <w:rFonts w:ascii="宋体" w:hAnsi="宋体" w:cs="宋体" w:eastAsia="宋体"/>
                      <w:sz w:val="21"/>
                    </w:rPr>
                    <w:t>彩色</w:t>
                  </w:r>
                  <w:r>
                    <w:rPr>
                      <w:rFonts w:ascii="宋体" w:hAnsi="宋体" w:cs="宋体" w:eastAsia="宋体"/>
                      <w:sz w:val="21"/>
                    </w:rPr>
                    <w:t>打印机</w:t>
                  </w:r>
                  <w:r>
                    <w:rPr>
                      <w:rFonts w:ascii="宋体" w:hAnsi="宋体" w:cs="宋体" w:eastAsia="宋体"/>
                      <w:sz w:val="21"/>
                    </w:rPr>
                    <w:t>配置：</w:t>
                  </w:r>
                  <w:r>
                    <w:rPr>
                      <w:rFonts w:ascii="宋体" w:hAnsi="宋体" w:cs="宋体" w:eastAsia="宋体"/>
                      <w:sz w:val="21"/>
                    </w:rPr>
                    <w:t>≥</w:t>
                  </w:r>
                  <w:r>
                    <w:rPr>
                      <w:rFonts w:ascii="calibri" w:hAnsi="calibri" w:cs="calibri" w:eastAsia="calibri"/>
                      <w:sz w:val="21"/>
                    </w:rPr>
                    <w:t>A4</w:t>
                  </w:r>
                  <w:r>
                    <w:rPr>
                      <w:rFonts w:ascii="宋体" w:hAnsi="宋体" w:cs="宋体" w:eastAsia="宋体"/>
                      <w:sz w:val="21"/>
                    </w:rPr>
                    <w:t>幅面，支持双面打印</w:t>
                  </w:r>
                </w:p>
                <w:p>
                  <w:pPr>
                    <w:pStyle w:val="null3"/>
                    <w:jc w:val="both"/>
                  </w:pPr>
                  <w:r>
                    <w:rPr>
                      <w:rFonts w:ascii="calibri" w:hAnsi="calibri" w:cs="calibri" w:eastAsia="calibri"/>
                      <w:sz w:val="21"/>
                    </w:rPr>
                    <w:t>7.17</w:t>
                  </w:r>
                  <w:r>
                    <w:rPr>
                      <w:rFonts w:ascii="calibri" w:hAnsi="calibri" w:cs="calibri" w:eastAsia="calibri"/>
                      <w:sz w:val="21"/>
                    </w:rPr>
                    <w:t xml:space="preserve"> </w:t>
                  </w:r>
                  <w:r>
                    <w:rPr>
                      <w:rFonts w:ascii="宋体" w:hAnsi="宋体" w:cs="宋体" w:eastAsia="宋体"/>
                      <w:sz w:val="21"/>
                    </w:rPr>
                    <w:t>不间断电源（延时</w:t>
                  </w:r>
                  <w:r>
                    <w:rPr>
                      <w:rFonts w:ascii="宋体" w:hAnsi="宋体" w:cs="宋体" w:eastAsia="宋体"/>
                      <w:sz w:val="21"/>
                    </w:rPr>
                    <w:t>≥</w:t>
                  </w:r>
                  <w:r>
                    <w:rPr>
                      <w:rFonts w:ascii="calibri" w:hAnsi="calibri" w:cs="calibri" w:eastAsia="calibri"/>
                      <w:sz w:val="21"/>
                    </w:rPr>
                    <w:t>30</w:t>
                  </w:r>
                  <w:r>
                    <w:rPr>
                      <w:rFonts w:ascii="宋体" w:hAnsi="宋体" w:cs="宋体" w:eastAsia="宋体"/>
                      <w:sz w:val="21"/>
                    </w:rPr>
                    <w:t>分钟）</w:t>
                  </w:r>
                  <w:r>
                    <w:rPr>
                      <w:rFonts w:ascii="宋体" w:hAnsi="宋体" w:cs="宋体" w:eastAsia="宋体"/>
                      <w:sz w:val="21"/>
                    </w:rPr>
                    <w:t>：</w:t>
                  </w:r>
                  <w:r>
                    <w:rPr>
                      <w:rFonts w:ascii="calibri" w:hAnsi="calibri" w:cs="calibri" w:eastAsia="calibri"/>
                      <w:sz w:val="21"/>
                    </w:rPr>
                    <w:t>1</w:t>
                  </w:r>
                  <w:r>
                    <w:rPr>
                      <w:rFonts w:ascii="宋体" w:hAnsi="宋体" w:cs="宋体" w:eastAsia="宋体"/>
                      <w:sz w:val="21"/>
                    </w:rPr>
                    <w:t>套</w:t>
                  </w:r>
                  <w:r>
                    <w:rPr>
                      <w:rFonts w:ascii="calibri" w:hAnsi="calibri" w:cs="calibri" w:eastAsia="calibri"/>
                      <w:sz w:val="21"/>
                    </w:rPr>
                    <w:t xml:space="preserve">   </w:t>
                  </w:r>
                </w:p>
                <w:p>
                  <w:pPr>
                    <w:pStyle w:val="null3"/>
                    <w:jc w:val="both"/>
                  </w:pPr>
                  <w:r>
                    <w:rPr>
                      <w:rFonts w:ascii="calibri" w:hAnsi="calibri" w:cs="calibri" w:eastAsia="calibri"/>
                      <w:sz w:val="21"/>
                    </w:rPr>
                    <w:t>7.18</w:t>
                  </w:r>
                  <w:r>
                    <w:rPr>
                      <w:rFonts w:ascii="calibri" w:hAnsi="calibri" w:cs="calibri" w:eastAsia="calibri"/>
                      <w:sz w:val="21"/>
                    </w:rPr>
                    <w:t xml:space="preserve"> </w:t>
                  </w:r>
                  <w:r>
                    <w:rPr>
                      <w:rFonts w:ascii="宋体" w:hAnsi="宋体" w:cs="宋体" w:eastAsia="宋体"/>
                      <w:sz w:val="21"/>
                    </w:rPr>
                    <w:t>并联管路套件：</w:t>
                  </w:r>
                  <w:r>
                    <w:rPr>
                      <w:rFonts w:ascii="calibri" w:hAnsi="calibri" w:cs="calibri" w:eastAsia="calibri"/>
                      <w:sz w:val="21"/>
                    </w:rPr>
                    <w:t>1</w:t>
                  </w:r>
                  <w:r>
                    <w:rPr>
                      <w:rFonts w:ascii="宋体" w:hAnsi="宋体" w:cs="宋体" w:eastAsia="宋体"/>
                      <w:sz w:val="21"/>
                    </w:rPr>
                    <w:t>套</w:t>
                  </w:r>
                  <w:r>
                    <w:rPr>
                      <w:rFonts w:ascii="calibri" w:hAnsi="calibri" w:cs="calibri" w:eastAsia="calibri"/>
                      <w:sz w:val="21"/>
                    </w:rPr>
                    <w:t xml:space="preserve">   </w:t>
                  </w:r>
                </w:p>
                <w:p>
                  <w:pPr>
                    <w:pStyle w:val="null3"/>
                    <w:jc w:val="both"/>
                  </w:pPr>
                  <w:r>
                    <w:rPr>
                      <w:rFonts w:ascii="calibri" w:hAnsi="calibri" w:cs="calibri" w:eastAsia="calibri"/>
                      <w:sz w:val="21"/>
                    </w:rPr>
                    <w:t xml:space="preserve">7.19 </w:t>
                  </w:r>
                  <w:r>
                    <w:rPr>
                      <w:rFonts w:ascii="宋体" w:hAnsi="宋体" w:cs="宋体" w:eastAsia="宋体"/>
                      <w:sz w:val="21"/>
                    </w:rPr>
                    <w:t>样品盘：额外配备</w:t>
                  </w:r>
                  <w:r>
                    <w:rPr>
                      <w:rFonts w:ascii="calibri" w:hAnsi="calibri" w:cs="calibri" w:eastAsia="calibri"/>
                      <w:sz w:val="21"/>
                    </w:rPr>
                    <w:t>1</w:t>
                  </w:r>
                  <w:r>
                    <w:rPr>
                      <w:rFonts w:ascii="宋体" w:hAnsi="宋体" w:cs="宋体" w:eastAsia="宋体"/>
                      <w:sz w:val="21"/>
                    </w:rPr>
                    <w:t>套</w:t>
                  </w:r>
                </w:p>
                <w:p>
                  <w:pPr>
                    <w:pStyle w:val="null3"/>
                    <w:jc w:val="both"/>
                  </w:pPr>
                  <w:r>
                    <w:rPr>
                      <w:rFonts w:ascii="calibri" w:hAnsi="calibri" w:cs="calibri" w:eastAsia="calibri"/>
                      <w:sz w:val="21"/>
                    </w:rPr>
                    <w:t xml:space="preserve">7.20 </w:t>
                  </w:r>
                  <w:r>
                    <w:rPr>
                      <w:rFonts w:ascii="宋体" w:hAnsi="宋体" w:cs="宋体" w:eastAsia="宋体"/>
                      <w:sz w:val="21"/>
                    </w:rPr>
                    <w:t>两位六通阀：</w:t>
                  </w:r>
                  <w:r>
                    <w:rPr>
                      <w:rFonts w:ascii="calibri" w:hAnsi="calibri" w:cs="calibri" w:eastAsia="calibri"/>
                      <w:sz w:val="21"/>
                    </w:rPr>
                    <w:t>2</w:t>
                  </w:r>
                  <w:r>
                    <w:rPr>
                      <w:rFonts w:ascii="宋体" w:hAnsi="宋体" w:cs="宋体" w:eastAsia="宋体"/>
                      <w:sz w:val="21"/>
                    </w:rPr>
                    <w:t>个</w:t>
                  </w:r>
                </w:p>
                <w:p>
                  <w:pPr>
                    <w:pStyle w:val="null3"/>
                    <w:jc w:val="both"/>
                  </w:pPr>
                  <w:r>
                    <w:rPr>
                      <w:rFonts w:ascii="calibri" w:hAnsi="calibri" w:cs="calibri" w:eastAsia="calibri"/>
                      <w:sz w:val="21"/>
                    </w:rPr>
                    <w:t>7.21 SPE</w:t>
                  </w:r>
                  <w:r>
                    <w:rPr>
                      <w:rFonts w:ascii="宋体" w:hAnsi="宋体" w:cs="宋体" w:eastAsia="宋体"/>
                      <w:sz w:val="21"/>
                    </w:rPr>
                    <w:t>管线套件：</w:t>
                  </w:r>
                  <w:r>
                    <w:rPr>
                      <w:rFonts w:ascii="calibri" w:hAnsi="calibri" w:cs="calibri" w:eastAsia="calibri"/>
                      <w:sz w:val="21"/>
                    </w:rPr>
                    <w:t>1</w:t>
                  </w:r>
                  <w:r>
                    <w:rPr>
                      <w:rFonts w:ascii="宋体" w:hAnsi="宋体" w:cs="宋体" w:eastAsia="宋体"/>
                      <w:sz w:val="21"/>
                    </w:rPr>
                    <w:t>套</w:t>
                  </w:r>
                </w:p>
                <w:p>
                  <w:pPr>
                    <w:pStyle w:val="null3"/>
                    <w:jc w:val="both"/>
                  </w:pPr>
                  <w:r>
                    <w:rPr>
                      <w:rFonts w:ascii="calibri" w:hAnsi="calibri" w:cs="calibri" w:eastAsia="calibri"/>
                      <w:sz w:val="21"/>
                    </w:rPr>
                    <w:t xml:space="preserve">7.22 </w:t>
                  </w:r>
                  <w:r>
                    <w:rPr>
                      <w:rFonts w:ascii="宋体" w:hAnsi="宋体" w:cs="宋体" w:eastAsia="宋体"/>
                      <w:sz w:val="21"/>
                    </w:rPr>
                    <w:t>一维色谱柱：</w:t>
                  </w:r>
                  <w:r>
                    <w:rPr>
                      <w:rFonts w:ascii="calibri" w:hAnsi="calibri" w:cs="calibri" w:eastAsia="calibri"/>
                      <w:sz w:val="21"/>
                    </w:rPr>
                    <w:t>1</w:t>
                  </w:r>
                  <w:r>
                    <w:rPr>
                      <w:rFonts w:ascii="宋体" w:hAnsi="宋体" w:cs="宋体" w:eastAsia="宋体"/>
                      <w:sz w:val="21"/>
                    </w:rPr>
                    <w:t>根</w:t>
                  </w:r>
                </w:p>
                <w:p>
                  <w:pPr>
                    <w:pStyle w:val="null3"/>
                    <w:jc w:val="both"/>
                  </w:pPr>
                  <w:r>
                    <w:rPr>
                      <w:rFonts w:ascii="calibri" w:hAnsi="calibri" w:cs="calibri" w:eastAsia="calibri"/>
                      <w:sz w:val="21"/>
                    </w:rPr>
                    <w:t xml:space="preserve">7.23 </w:t>
                  </w:r>
                  <w:r>
                    <w:rPr>
                      <w:rFonts w:ascii="宋体" w:hAnsi="宋体" w:cs="宋体" w:eastAsia="宋体"/>
                      <w:sz w:val="21"/>
                    </w:rPr>
                    <w:t>二维色谱柱：</w:t>
                  </w:r>
                  <w:r>
                    <w:rPr>
                      <w:rFonts w:ascii="calibri" w:hAnsi="calibri" w:cs="calibri" w:eastAsia="calibri"/>
                      <w:sz w:val="21"/>
                    </w:rPr>
                    <w:t>1</w:t>
                  </w:r>
                  <w:r>
                    <w:rPr>
                      <w:rFonts w:ascii="宋体" w:hAnsi="宋体" w:cs="宋体" w:eastAsia="宋体"/>
                      <w:sz w:val="21"/>
                    </w:rPr>
                    <w:t>根</w:t>
                  </w:r>
                </w:p>
                <w:p>
                  <w:pPr>
                    <w:pStyle w:val="null3"/>
                    <w:jc w:val="both"/>
                  </w:pPr>
                  <w:r>
                    <w:rPr>
                      <w:rFonts w:ascii="calibri" w:hAnsi="calibri" w:cs="calibri" w:eastAsia="calibri"/>
                      <w:sz w:val="21"/>
                    </w:rPr>
                    <w:t xml:space="preserve">7.24 </w:t>
                  </w:r>
                  <w:r>
                    <w:rPr>
                      <w:rFonts w:ascii="宋体" w:hAnsi="宋体" w:cs="宋体" w:eastAsia="宋体"/>
                      <w:sz w:val="21"/>
                    </w:rPr>
                    <w:t>富集柱（保护柱套</w:t>
                  </w:r>
                  <w:r>
                    <w:rPr>
                      <w:rFonts w:ascii="calibri" w:hAnsi="calibri" w:cs="calibri" w:eastAsia="calibri"/>
                      <w:sz w:val="21"/>
                    </w:rPr>
                    <w:t>+</w:t>
                  </w:r>
                  <w:r>
                    <w:rPr>
                      <w:rFonts w:ascii="宋体" w:hAnsi="宋体" w:cs="宋体" w:eastAsia="宋体"/>
                      <w:sz w:val="21"/>
                    </w:rPr>
                    <w:t>柱芯）：</w:t>
                  </w:r>
                  <w:r>
                    <w:rPr>
                      <w:rFonts w:ascii="calibri" w:hAnsi="calibri" w:cs="calibri" w:eastAsia="calibri"/>
                      <w:sz w:val="21"/>
                    </w:rPr>
                    <w:t>1</w:t>
                  </w:r>
                  <w:r>
                    <w:rPr>
                      <w:rFonts w:ascii="宋体" w:hAnsi="宋体" w:cs="宋体" w:eastAsia="宋体"/>
                      <w:sz w:val="21"/>
                    </w:rPr>
                    <w:t>套</w:t>
                  </w:r>
                </w:p>
                <w:p>
                  <w:pPr>
                    <w:pStyle w:val="null3"/>
                    <w:jc w:val="both"/>
                  </w:pPr>
                  <w:r>
                    <w:rPr>
                      <w:rFonts w:ascii="calibri" w:hAnsi="calibri" w:cs="calibri" w:eastAsia="calibri"/>
                      <w:sz w:val="21"/>
                    </w:rPr>
                    <w:t xml:space="preserve">7.25 </w:t>
                  </w:r>
                  <w:r>
                    <w:rPr>
                      <w:rFonts w:ascii="宋体" w:hAnsi="宋体" w:cs="宋体" w:eastAsia="宋体"/>
                      <w:sz w:val="21"/>
                    </w:rPr>
                    <w:t>切换阀快速连接管线：</w:t>
                  </w:r>
                  <w:r>
                    <w:rPr>
                      <w:rFonts w:ascii="calibri" w:hAnsi="calibri" w:cs="calibri" w:eastAsia="calibri"/>
                      <w:sz w:val="21"/>
                    </w:rPr>
                    <w:t>2</w:t>
                  </w:r>
                  <w:r>
                    <w:rPr>
                      <w:rFonts w:ascii="宋体" w:hAnsi="宋体" w:cs="宋体" w:eastAsia="宋体"/>
                      <w:sz w:val="21"/>
                    </w:rPr>
                    <w:t>套</w:t>
                  </w:r>
                </w:p>
                <w:p>
                  <w:pPr>
                    <w:pStyle w:val="null3"/>
                    <w:jc w:val="both"/>
                  </w:pPr>
                  <w:r>
                    <w:rPr>
                      <w:rFonts w:ascii="calibri" w:hAnsi="calibri" w:cs="calibri" w:eastAsia="calibri"/>
                      <w:sz w:val="21"/>
                    </w:rPr>
                    <w:t xml:space="preserve">7.26 </w:t>
                  </w:r>
                  <w:r>
                    <w:rPr>
                      <w:rFonts w:ascii="宋体" w:hAnsi="宋体" w:cs="宋体" w:eastAsia="宋体"/>
                      <w:sz w:val="21"/>
                    </w:rPr>
                    <w:t>椅子：</w:t>
                  </w:r>
                  <w:r>
                    <w:rPr>
                      <w:rFonts w:ascii="calibri" w:hAnsi="calibri" w:cs="calibri" w:eastAsia="calibri"/>
                      <w:sz w:val="21"/>
                    </w:rPr>
                    <w:t>4</w:t>
                  </w:r>
                  <w:r>
                    <w:rPr>
                      <w:rFonts w:ascii="宋体" w:hAnsi="宋体" w:cs="宋体" w:eastAsia="宋体"/>
                      <w:sz w:val="21"/>
                    </w:rPr>
                    <w:t>把</w:t>
                  </w:r>
                </w:p>
              </w:tc>
            </w:tr>
          </w:tbl>
          <w:p/>
        </w:tc>
      </w:tr>
    </w:tbl>
    <w:p>
      <w:pPr>
        <w:pStyle w:val="null3"/>
        <w:outlineLvl w:val="2"/>
      </w:pPr>
      <w:r>
        <w:rPr>
          <w:sz w:val="28"/>
          <w:b/>
        </w:rPr>
        <w:t>3.4商务要求</w:t>
      </w:r>
    </w:p>
    <w:p>
      <w:pPr>
        <w:pStyle w:val="null3"/>
        <w:outlineLvl w:val="3"/>
      </w:pPr>
      <w:r>
        <w:rPr>
          <w:sz w:val="24"/>
          <w:b/>
        </w:rPr>
        <w:t xml:space="preserve"> 3.4.1交货时间</w:t>
      </w:r>
    </w:p>
    <w:p>
      <w:pPr>
        <w:pStyle w:val="null3"/>
      </w:pPr>
      <w:r>
        <w:rPr/>
        <w:t>采购包1：</w:t>
      </w:r>
    </w:p>
    <w:p>
      <w:pPr>
        <w:pStyle w:val="null3"/>
      </w:pPr>
      <w:r>
        <w:rPr/>
        <w:t>合同签订后60日历日内交货</w:t>
      </w:r>
    </w:p>
    <w:p>
      <w:pPr>
        <w:pStyle w:val="null3"/>
        <w:outlineLvl w:val="3"/>
      </w:pPr>
      <w:r>
        <w:rPr>
          <w:sz w:val="24"/>
          <w:b/>
        </w:rPr>
        <w:t>3.4.2交货地点</w:t>
      </w:r>
    </w:p>
    <w:p>
      <w:pPr>
        <w:pStyle w:val="null3"/>
      </w:pPr>
      <w:r>
        <w:rPr/>
        <w:t>采购包1：</w:t>
      </w:r>
    </w:p>
    <w:p>
      <w:pPr>
        <w:pStyle w:val="null3"/>
      </w:pPr>
      <w:r>
        <w:rPr/>
        <w:t>采购人指定地点</w:t>
      </w:r>
    </w:p>
    <w:p>
      <w:pPr>
        <w:pStyle w:val="null3"/>
        <w:outlineLvl w:val="3"/>
      </w:pPr>
      <w:r>
        <w:rPr>
          <w:sz w:val="24"/>
          <w:b/>
        </w:rPr>
        <w:t>3.4.3支付方式</w:t>
      </w:r>
    </w:p>
    <w:p>
      <w:pPr>
        <w:pStyle w:val="null3"/>
      </w:pPr>
      <w:r>
        <w:rPr/>
        <w:t>采购包1：</w:t>
      </w:r>
    </w:p>
    <w:p>
      <w:pPr>
        <w:pStyle w:val="null3"/>
      </w:pPr>
      <w:r>
        <w:rPr/>
        <w:t>一次付清</w:t>
      </w:r>
    </w:p>
    <w:p>
      <w:pPr>
        <w:pStyle w:val="null3"/>
        <w:outlineLvl w:val="3"/>
      </w:pPr>
      <w:r>
        <w:rPr>
          <w:sz w:val="24"/>
          <w:b/>
        </w:rPr>
        <w:t>3.4.4支付约定</w:t>
      </w:r>
    </w:p>
    <w:p>
      <w:pPr>
        <w:pStyle w:val="null3"/>
      </w:pPr>
      <w:r>
        <w:rPr/>
        <w:t>采购包1：</w:t>
      </w:r>
      <w:r>
        <w:rPr/>
        <w:t xml:space="preserve"> 付款条件说明： </w:t>
      </w:r>
      <w:r>
        <w:rPr/>
        <w:t>合同签订后，乙方须按其招标文件中响应的交货期按时交货并提供全额合规发票保证“货票同行”，到达甲方指定地点，安装、调试完毕并验收合格后</w:t>
      </w:r>
      <w:r>
        <w:rPr/>
        <w:t xml:space="preserve"> ，达到付款条件起 </w:t>
      </w:r>
      <w:r>
        <w:rPr/>
        <w:t>30</w:t>
      </w:r>
      <w:r>
        <w:rPr/>
        <w:t xml:space="preserve"> 日内，支付合同总金额的 </w:t>
      </w:r>
      <w:r>
        <w:rPr/>
        <w:t>100.00</w:t>
      </w:r>
      <w:r>
        <w:rPr/>
        <w:t>%。</w:t>
      </w:r>
    </w:p>
    <w:p>
      <w:pPr>
        <w:pStyle w:val="null3"/>
        <w:outlineLvl w:val="3"/>
      </w:pPr>
      <w:r>
        <w:rPr>
          <w:sz w:val="24"/>
          <w:b/>
        </w:rPr>
        <w:t>3.4.5验收标准和方法</w:t>
      </w:r>
    </w:p>
    <w:p>
      <w:pPr>
        <w:pStyle w:val="null3"/>
      </w:pPr>
      <w:r>
        <w:rPr/>
        <w:t>采购包1：</w:t>
      </w:r>
    </w:p>
    <w:p>
      <w:pPr>
        <w:pStyle w:val="null3"/>
      </w:pPr>
      <w:r>
        <w:rPr/>
        <w:t>（1）合同设备安装完成后向采购方提出验收申请，甲方接到乙方验收申请后组织验收，验收时应由甲方设备科、使用科室及乙方共同参加下按国家有关规定、规范进行验收。必要时可邀请相关的专业人员或机构参与验收，相关费用由乙方承担。 因货物质量问题发生争议时,由本地质量技术监督部门鉴定，因此产生的一切费用均由乙方承担。 （2）原制造商制造的全新产品、整机无污染，表面无划损，无任何缺陷隐患,在中国境内可依常规安全合法使用。验收时如发现所交付的设备有短缺、次品，损坏或其他不符合本合同规定之情形者，甲方应做出详尽的现场记录，或由甲乙双方签署备忘录。此现场记录或备忘录可用作补充、缺失和更换损坏部件的有效证据。由此产生的有关费用由乙方承担。 （3）如果合同设备运输和安装过程中因事故造成货物短缺、损坏，乙方应及时安排换装，以保证合同设备安装的成功完成。换货的相关费用由乙方承担。 （4）进口产品必须具备原产地证明和商检局的检验证明及合法进货渠道证明。 （5）货物为原厂商未启封全新包装, 出具出厂合格证,序列号、包装箱号与出厂批号一致,并可追索查阅。所有随设备的附件必须齐全。 （6）乙方应将关键主机设备的用户手册、保修手册、有关单证资料及配备件、随机工具等交付给甲方,使用操作及安全须知等重要资料应附有中文说明。</w:t>
      </w:r>
    </w:p>
    <w:p>
      <w:pPr>
        <w:pStyle w:val="null3"/>
        <w:outlineLvl w:val="3"/>
      </w:pPr>
      <w:r>
        <w:rPr>
          <w:sz w:val="24"/>
          <w:b/>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sz w:val="24"/>
          <w:b/>
        </w:rPr>
        <w:t>3.4.7质量保修范围和保修期</w:t>
      </w:r>
    </w:p>
    <w:p>
      <w:pPr>
        <w:pStyle w:val="null3"/>
      </w:pPr>
      <w:r>
        <w:rPr/>
        <w:t>采购包1：</w:t>
      </w:r>
    </w:p>
    <w:p>
      <w:pPr>
        <w:pStyle w:val="null3"/>
      </w:pPr>
      <w:r>
        <w:rPr/>
        <w:t>1、质保期：验收合格之日起不少于一年，质保期内乙方对所供货物实行包修、包换、包退、包维护保养。 2、乙方根据甲方指定地点提供免费送货,安装,测试服务。 3、免费质保期内设备发生故障, 1小时内维修响应, 4小时内到位检修,24小时内处理完毕。如24小时内未处理完毕,需提供相同档次设备予甲方临时使用或采取应急措施解决。 4、质保期内,如设备或零部件因非人为因素出现故障而造成短期停用时,则质保期和免费维修期相应顺延,如停用时间累计超过60天则质保期重新计算。 5、免费质保期内所有因货物质量问题而产生的费用均由乙方负责。 6、提供终身维修服务，设备终生免费维护，并了解使用情况，听取反馈意见。维护不收取费用，如需更换配件只收取配件费用，且配件符合相关质量标准，价格低于市场价。 7、设备安装测试完毕，有乙方工程师免费对甲方医务人员做操作使用及维护的培训服务。 8、乙方工程师对甲方设备科维修人员做维修技术培训，务必保证甲方维修人员掌握常见故障排除之能力。 9、乙方需与厂家签订专业售后服务合同。</w:t>
      </w:r>
    </w:p>
    <w:p>
      <w:pPr>
        <w:pStyle w:val="null3"/>
        <w:outlineLvl w:val="3"/>
      </w:pPr>
      <w:r>
        <w:rPr>
          <w:sz w:val="24"/>
          <w:b/>
        </w:rPr>
        <w:t>3.4.8违约责任与解决争议的方法</w:t>
      </w:r>
    </w:p>
    <w:p>
      <w:pPr>
        <w:pStyle w:val="null3"/>
      </w:pPr>
      <w:r>
        <w:rPr/>
        <w:t>采购包1：</w:t>
      </w:r>
    </w:p>
    <w:p>
      <w:pPr>
        <w:pStyle w:val="null3"/>
      </w:pPr>
      <w:r>
        <w:rPr/>
        <w:t>凡因本合同的签订、履行、解除、终止引起的或与本合同有关的任何争议，双方应通过友好协商解决，协商不成时，向甲方所在地法院提起诉讼解决。诉讼期间,双方应继续执行合同其余部分。</w:t>
      </w:r>
    </w:p>
    <w:p>
      <w:pPr>
        <w:pStyle w:val="null3"/>
        <w:jc w:val="left"/>
        <w:outlineLvl w:val="2"/>
      </w:pPr>
      <w:r>
        <w:rPr>
          <w:sz w:val="28"/>
          <w:b/>
        </w:rPr>
        <w:t>3.5其他要求</w:t>
      </w:r>
    </w:p>
    <w:p>
      <w:pPr>
        <w:pStyle w:val="null3"/>
      </w:pPr>
      <w:r>
        <w:rPr/>
        <w:t>免费提供4人次仪器使用培训，含食宿交通。</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t>资格审查标准及要求如下：</w:t>
      </w:r>
    </w:p>
    <w:p>
      <w:pPr>
        <w:pStyle w:val="null3"/>
        <w:outlineLvl w:val="2"/>
      </w:pPr>
      <w:r>
        <w:rPr>
          <w:sz w:val="28"/>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1）具有独立承担民事责任的能力（提供有效的营业执照等相应证明文件证明，非法人单位参照执行，自然人提供身份证明）； 2）具有履行合同所必需的设备和专业技术能力（提供承诺函）； 3）有依法缴纳税收和社会保障资金的良好记录税收缴纳证明：提供投标文件提交截止时间前一年内连续三个月已缴纳的纳税证明或完税证明（包含增值税、企业所得税至少一种),依法免税的供应商应提供相关证明文件；社保缴纳证明：提供投标文件提交截止时间前一年内连续三个月已缴存的社会保障资金缴费证明或参保证明，依法不需要缴纳社会保障资金的供应商应提供相关证明文件； 4）参加政府采购活动前三年内，在经营活动中没有重大违法记录（提供书面声明）； 5）法律、行政法规规定的其他条件（提供承诺函）； 供应商需在项目电子化交易系统中按要求上传相应证明文件并进行电子签章。</w:t>
            </w:r>
          </w:p>
        </w:tc>
        <w:tc>
          <w:tcPr>
            <w:tcW w:type="dxa" w:w="1661"/>
          </w:tcPr>
          <w:p>
            <w:pPr>
              <w:pStyle w:val="null3"/>
            </w:pPr>
            <w:r>
              <w:rPr/>
              <w:t>投标函 投标人应提交的相关资格证明材料</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具有良好的商业信誉和健全的财务会计制度：提供经会计师事务所审计的上一年度财务审计报告，或本年度基本开户银行出具的资信证明（附开户许可证或基本存款账户信息） 供应商需在项目电子化交易系统中按要求上传相应证明文件并进行电子签章。</w:t>
            </w:r>
          </w:p>
        </w:tc>
        <w:tc>
          <w:tcPr>
            <w:tcW w:type="dxa" w:w="1661"/>
          </w:tcPr>
          <w:p>
            <w:pPr>
              <w:pStyle w:val="null3"/>
            </w:pPr>
            <w:r>
              <w:rPr/>
              <w:t>投标人应提交的相关资格证明材料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投标人应提交的相关资格证明材料</w:t>
            </w:r>
          </w:p>
        </w:tc>
      </w:tr>
    </w:tbl>
    <w:p>
      <w:pPr>
        <w:pStyle w:val="null3"/>
        <w:outlineLvl w:val="2"/>
      </w:pPr>
      <w:r>
        <w:rPr>
          <w:sz w:val="28"/>
          <w:b/>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法定代表人授权委托书</w:t>
            </w:r>
          </w:p>
        </w:tc>
        <w:tc>
          <w:tcPr>
            <w:tcW w:type="dxa" w:w="3322"/>
          </w:tcPr>
          <w:p>
            <w:pPr>
              <w:pStyle w:val="null3"/>
            </w:pPr>
            <w:r>
              <w:rPr/>
              <w:t>法定代表人授权书及授权代表身份证（法定代表人直接参加投标的须提供法定代表人证明及其身份证），非法人单位参照执行。</w:t>
            </w:r>
          </w:p>
        </w:tc>
        <w:tc>
          <w:tcPr>
            <w:tcW w:type="dxa" w:w="1661"/>
          </w:tcPr>
          <w:p>
            <w:pPr>
              <w:pStyle w:val="null3"/>
            </w:pPr>
            <w:r>
              <w:rPr/>
              <w:t>投标人应提交的相关资格证明材料</w:t>
            </w:r>
          </w:p>
        </w:tc>
      </w:tr>
      <w:tr>
        <w:tc>
          <w:tcPr>
            <w:tcW w:type="dxa" w:w="831"/>
          </w:tcPr>
          <w:p>
            <w:pPr>
              <w:pStyle w:val="null3"/>
            </w:pPr>
            <w:r>
              <w:rPr/>
              <w:t>2</w:t>
            </w:r>
          </w:p>
        </w:tc>
        <w:tc>
          <w:tcPr>
            <w:tcW w:type="dxa" w:w="2492"/>
          </w:tcPr>
          <w:p>
            <w:pPr>
              <w:pStyle w:val="null3"/>
            </w:pPr>
            <w:r>
              <w:rPr/>
              <w:t>信用记录</w:t>
            </w:r>
          </w:p>
        </w:tc>
        <w:tc>
          <w:tcPr>
            <w:tcW w:type="dxa" w:w="3322"/>
          </w:tcPr>
          <w:p>
            <w:pPr>
              <w:pStyle w:val="null3"/>
            </w:pPr>
            <w:r>
              <w:rPr/>
              <w:t>未被列入“信用中国”及“中国政府采购网”失信行为记录。</w:t>
            </w:r>
          </w:p>
        </w:tc>
        <w:tc>
          <w:tcPr>
            <w:tcW w:type="dxa" w:w="1661"/>
          </w:tcPr>
          <w:p>
            <w:pPr>
              <w:pStyle w:val="null3"/>
            </w:pPr>
            <w:r>
              <w:rPr/>
              <w:t>投标人应提交的相关资格证明材料</w:t>
            </w:r>
          </w:p>
        </w:tc>
      </w:tr>
      <w:tr>
        <w:tc>
          <w:tcPr>
            <w:tcW w:type="dxa" w:w="831"/>
          </w:tcPr>
          <w:p>
            <w:pPr>
              <w:pStyle w:val="null3"/>
            </w:pPr>
            <w:r>
              <w:rPr/>
              <w:t>3</w:t>
            </w:r>
          </w:p>
        </w:tc>
        <w:tc>
          <w:tcPr>
            <w:tcW w:type="dxa" w:w="2492"/>
          </w:tcPr>
          <w:p>
            <w:pPr>
              <w:pStyle w:val="null3"/>
            </w:pPr>
            <w:r>
              <w:rPr/>
              <w:t>企业资质</w:t>
            </w:r>
          </w:p>
        </w:tc>
        <w:tc>
          <w:tcPr>
            <w:tcW w:type="dxa" w:w="3322"/>
          </w:tcPr>
          <w:p>
            <w:pPr>
              <w:pStyle w:val="null3"/>
            </w:pPr>
            <w:r>
              <w:rPr/>
              <w:t>投标产品为进口的，提供投标产品的代理授权书（非制造商直接授权的，提供制造商对授权产品的完整授权链）</w:t>
            </w:r>
          </w:p>
        </w:tc>
        <w:tc>
          <w:tcPr>
            <w:tcW w:type="dxa" w:w="1661"/>
          </w:tcPr>
          <w:p>
            <w:pPr>
              <w:pStyle w:val="null3"/>
            </w:pPr>
            <w:r>
              <w:rPr/>
              <w:t>投标人应提交的相关资格证明材料</w:t>
            </w:r>
          </w:p>
        </w:tc>
      </w:tr>
    </w:tbl>
    <w:p>
      <w:pPr>
        <w:pStyle w:val="null3"/>
        <w:outlineLvl w:val="2"/>
      </w:pPr>
      <w:r>
        <w:rPr>
          <w:sz w:val="28"/>
          <w:b/>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 xml:space="preserve"> </w:t>
        <w:br/>
        <w:br w:type="page"/>
      </w:r>
    </w:p>
    <w:p>
      <w:pPr>
        <w:pStyle w:val="null3"/>
        <w:jc w:val="center"/>
        <w:outlineLvl w:val="1"/>
      </w:pPr>
      <w:r>
        <w:rPr>
          <w:sz w:val="36"/>
          <w:b/>
        </w:rPr>
        <w:t>第五章 评标办法</w:t>
      </w:r>
    </w:p>
    <w:p>
      <w:pPr>
        <w:pStyle w:val="null3"/>
        <w:outlineLvl w:val="2"/>
      </w:pPr>
      <w:r>
        <w:rPr>
          <w:sz w:val="28"/>
          <w:b/>
        </w:rPr>
        <w:t>5.1总则</w:t>
      </w:r>
    </w:p>
    <w:p>
      <w:pPr>
        <w:pStyle w:val="null3"/>
        <w:ind w:firstLine="480"/>
      </w:pPr>
      <w:r>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t xml:space="preserve"> 二、评标工作由代理机构负责组织，具体评标事务由采购人或代理机构依法组建的评标委员会负责。评标委员会由采购人代表和评审专家组成。</w:t>
      </w:r>
    </w:p>
    <w:p>
      <w:pPr>
        <w:pStyle w:val="null3"/>
        <w:ind w:firstLine="480"/>
      </w:pPr>
      <w:r>
        <w:rPr/>
        <w:t>三、评标工作应遵循公平、公正、科学及择优的原则，并以相同的评标程序和标准对待所有的投标人。</w:t>
      </w:r>
    </w:p>
    <w:p>
      <w:pPr>
        <w:pStyle w:val="null3"/>
        <w:ind w:firstLine="480"/>
      </w:pPr>
      <w:r>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sz w:val="28"/>
          <w:b/>
        </w:rPr>
        <w:t>5.2评标委员会</w:t>
      </w:r>
    </w:p>
    <w:p>
      <w:pPr>
        <w:pStyle w:val="null3"/>
        <w:ind w:firstLine="480"/>
      </w:pPr>
      <w:r>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t>四、评标委员会按照招标文件规定的评标程序、评标方法和标准进行评标，并独立履行下列职责：</w:t>
      </w:r>
    </w:p>
    <w:p>
      <w:pPr>
        <w:pStyle w:val="null3"/>
        <w:ind w:firstLine="480"/>
      </w:pPr>
      <w:r>
        <w:rPr/>
        <w:t>（一）熟悉和理解招标文件；</w:t>
      </w:r>
    </w:p>
    <w:p>
      <w:pPr>
        <w:pStyle w:val="null3"/>
        <w:ind w:firstLine="480"/>
      </w:pPr>
      <w:r>
        <w:rPr/>
        <w:t>（二）审查供应商投标文件等是否满足招标文件要求，并作出评价；</w:t>
      </w:r>
    </w:p>
    <w:p>
      <w:pPr>
        <w:pStyle w:val="null3"/>
        <w:ind w:firstLine="480"/>
      </w:pPr>
      <w:r>
        <w:rPr/>
        <w:t xml:space="preserve"> （三）根据需要要求采购组织单位对招标文件作出解释；根据需要要求供应商对投标文件有关事项作出澄清、说明或者更正；</w:t>
      </w:r>
    </w:p>
    <w:p>
      <w:pPr>
        <w:pStyle w:val="null3"/>
        <w:ind w:firstLine="480"/>
      </w:pPr>
      <w:r>
        <w:rPr/>
        <w:t>（四）推荐中标候选供应商，或者受采购人委托确定中标供应商；</w:t>
      </w:r>
    </w:p>
    <w:p>
      <w:pPr>
        <w:pStyle w:val="null3"/>
        <w:ind w:firstLine="480"/>
      </w:pPr>
      <w:r>
        <w:rPr/>
        <w:t>（五）起草评标报告并进行签署；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5.3 评标方法</w:t>
      </w:r>
    </w:p>
    <w:p>
      <w:pPr>
        <w:pStyle w:val="null3"/>
      </w:pPr>
      <w:r>
        <w:rPr/>
        <w:t>采购包1：综合评分法</w:t>
      </w:r>
    </w:p>
    <w:p>
      <w:pPr>
        <w:pStyle w:val="null3"/>
        <w:outlineLvl w:val="2"/>
      </w:pPr>
      <w:r>
        <w:rPr>
          <w:sz w:val="28"/>
          <w:b/>
        </w:rPr>
        <w:t>5.4评标程序</w:t>
      </w:r>
    </w:p>
    <w:p>
      <w:pPr>
        <w:pStyle w:val="null3"/>
        <w:outlineLvl w:val="3"/>
      </w:pPr>
      <w:r>
        <w:rPr>
          <w:sz w:val="24"/>
          <w:b/>
        </w:rPr>
        <w:t xml:space="preserve"> 5.4.1熟悉和理解招标文件和停止评标</w:t>
      </w:r>
    </w:p>
    <w:p>
      <w:pPr>
        <w:pStyle w:val="null3"/>
        <w:ind w:firstLine="480"/>
      </w:pPr>
      <w:r>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t>二、本招标文件有下列情形之一的，评标委员会应当停止评标：</w:t>
      </w:r>
    </w:p>
    <w:p>
      <w:pPr>
        <w:pStyle w:val="null3"/>
        <w:ind w:firstLine="480"/>
      </w:pPr>
      <w:r>
        <w:rPr/>
        <w:t>（一）招标文件的规定存在歧义、重大缺陷的；</w:t>
      </w:r>
    </w:p>
    <w:p>
      <w:pPr>
        <w:pStyle w:val="null3"/>
        <w:ind w:firstLine="480"/>
      </w:pPr>
      <w:r>
        <w:rPr/>
        <w:t>（二）招标文件明显以不合理条件对供应商实行差别待遇或者歧视待遇的；</w:t>
      </w:r>
    </w:p>
    <w:p>
      <w:pPr>
        <w:pStyle w:val="null3"/>
        <w:ind w:firstLine="480"/>
      </w:pPr>
      <w:r>
        <w:rPr/>
        <w:t>（三）采购项目属于国家规定的优先、强制采购范围，但是招标文件未依法体现优先、强制采购相关规定的；</w:t>
      </w:r>
    </w:p>
    <w:p>
      <w:pPr>
        <w:pStyle w:val="null3"/>
        <w:ind w:firstLine="480"/>
      </w:pPr>
      <w:r>
        <w:rPr/>
        <w:t>（四）采购项目属于政府采购促进中小企业发展的范围，但是招标文件未依法体现促进中小企业发展相关规定的；</w:t>
      </w:r>
    </w:p>
    <w:p>
      <w:pPr>
        <w:pStyle w:val="null3"/>
        <w:ind w:firstLine="480"/>
      </w:pPr>
      <w:r>
        <w:rPr/>
        <w:t xml:space="preserve"> （五）招标文件规定的评标方法是综合评分法、最低评标价法之外的评标方法，或者虽然名称为综合评分法、最低评标价法，但实际上不符合国家规定；</w:t>
      </w:r>
    </w:p>
    <w:p>
      <w:pPr>
        <w:pStyle w:val="null3"/>
        <w:ind w:firstLine="480"/>
      </w:pPr>
      <w:r>
        <w:rPr/>
        <w:t>（六）招标文件将投标人的资格条件列为评分因素的；</w:t>
      </w:r>
    </w:p>
    <w:p>
      <w:pPr>
        <w:pStyle w:val="null3"/>
        <w:ind w:firstLine="480"/>
      </w:pPr>
      <w:r>
        <w:rPr/>
        <w:t>（七）招标文件有违反国家其他有关强制性规定的情形。</w:t>
      </w:r>
    </w:p>
    <w:p>
      <w:pPr>
        <w:pStyle w:val="null3"/>
        <w:ind w:firstLine="480"/>
      </w:pPr>
      <w:r>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sz w:val="24"/>
          <w:b/>
        </w:rPr>
        <w:t>5.4.2符合性审查</w:t>
      </w:r>
    </w:p>
    <w:p>
      <w:pPr>
        <w:pStyle w:val="null3"/>
        <w:ind w:firstLine="480"/>
      </w:pPr>
      <w:r>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t xml:space="preserve"> 在符合性审查过程中，如果出现评标委员会成员意见不一致的情况，按照少数服从多数的原则确定，但不得违背政府采购基本原则和招标文件规定。</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审过程中，评标委员会认为供应商报价低于采购预算50%或者低于其他有效供应商报价算术平均价40%，有可能影响产品质量或者不能诚信履约的，评标委员会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评标委员会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开标一览表 标的清单</w:t>
            </w:r>
          </w:p>
        </w:tc>
      </w:tr>
      <w:tr>
        <w:tc>
          <w:tcPr>
            <w:tcW w:type="dxa" w:w="831"/>
          </w:tcPr>
          <w:p>
            <w:pPr>
              <w:pStyle w:val="null3"/>
            </w:pPr>
            <w:r>
              <w:rPr/>
              <w:t>2</w:t>
            </w:r>
          </w:p>
        </w:tc>
        <w:tc>
          <w:tcPr>
            <w:tcW w:type="dxa" w:w="2492"/>
          </w:tcPr>
          <w:p>
            <w:pPr>
              <w:pStyle w:val="null3"/>
            </w:pPr>
            <w:r>
              <w:rPr/>
              <w:t>签署、盖章</w:t>
            </w:r>
          </w:p>
        </w:tc>
        <w:tc>
          <w:tcPr>
            <w:tcW w:type="dxa" w:w="3322"/>
          </w:tcPr>
          <w:p>
            <w:pPr>
              <w:pStyle w:val="null3"/>
            </w:pPr>
            <w:r>
              <w:rPr/>
              <w:t>按照招标文件规定要求签署、盖章的</w:t>
            </w:r>
          </w:p>
        </w:tc>
        <w:tc>
          <w:tcPr>
            <w:tcW w:type="dxa" w:w="1661"/>
          </w:tcPr>
          <w:p>
            <w:pPr>
              <w:pStyle w:val="null3"/>
            </w:pPr>
            <w:r>
              <w:rPr/>
              <w:t>开标一览表 中小企业声明函 商务应答表 承诺书 商务履约及企业实力 投标人应提交的相关资格证明材料 产品技术参数表 技术要求响应偏离表 投标函 残疾人福利性单位声明函 标的清单 投标文件封面 商务要求响应偏离表 招标方案说明书 监狱企业的证明文件</w:t>
            </w:r>
          </w:p>
        </w:tc>
      </w:tr>
      <w:tr>
        <w:tc>
          <w:tcPr>
            <w:tcW w:type="dxa" w:w="831"/>
          </w:tcPr>
          <w:p>
            <w:pPr>
              <w:pStyle w:val="null3"/>
            </w:pPr>
            <w:r>
              <w:rPr/>
              <w:t>3</w:t>
            </w:r>
          </w:p>
        </w:tc>
        <w:tc>
          <w:tcPr>
            <w:tcW w:type="dxa" w:w="2492"/>
          </w:tcPr>
          <w:p>
            <w:pPr>
              <w:pStyle w:val="null3"/>
            </w:pPr>
            <w:r>
              <w:rPr/>
              <w:t>响应有效期</w:t>
            </w:r>
          </w:p>
        </w:tc>
        <w:tc>
          <w:tcPr>
            <w:tcW w:type="dxa" w:w="3322"/>
          </w:tcPr>
          <w:p>
            <w:pPr>
              <w:pStyle w:val="null3"/>
            </w:pPr>
            <w:r>
              <w:rPr/>
              <w:t>响应有效期满足要求的</w:t>
            </w:r>
          </w:p>
        </w:tc>
        <w:tc>
          <w:tcPr>
            <w:tcW w:type="dxa" w:w="1661"/>
          </w:tcPr>
          <w:p>
            <w:pPr>
              <w:pStyle w:val="null3"/>
            </w:pPr>
            <w:r>
              <w:rPr/>
              <w:t>投标函 投标文件封面</w:t>
            </w:r>
          </w:p>
        </w:tc>
      </w:tr>
      <w:tr>
        <w:tc>
          <w:tcPr>
            <w:tcW w:type="dxa" w:w="831"/>
          </w:tcPr>
          <w:p>
            <w:pPr>
              <w:pStyle w:val="null3"/>
            </w:pPr>
            <w:r>
              <w:rPr/>
              <w:t>4</w:t>
            </w:r>
          </w:p>
        </w:tc>
        <w:tc>
          <w:tcPr>
            <w:tcW w:type="dxa" w:w="2492"/>
          </w:tcPr>
          <w:p>
            <w:pPr>
              <w:pStyle w:val="null3"/>
            </w:pPr>
            <w:r>
              <w:rPr/>
              <w:t>报价</w:t>
            </w:r>
          </w:p>
        </w:tc>
        <w:tc>
          <w:tcPr>
            <w:tcW w:type="dxa" w:w="3322"/>
          </w:tcPr>
          <w:p>
            <w:pPr>
              <w:pStyle w:val="null3"/>
            </w:pPr>
            <w:r>
              <w:rPr/>
              <w:t>报价未超过招标文件中规定的最高限价的。</w:t>
            </w:r>
          </w:p>
        </w:tc>
        <w:tc>
          <w:tcPr>
            <w:tcW w:type="dxa" w:w="1661"/>
          </w:tcPr>
          <w:p>
            <w:pPr>
              <w:pStyle w:val="null3"/>
            </w:pPr>
            <w:r>
              <w:rPr/>
              <w:t>开标一览表 标的清单 投标文件封面</w:t>
            </w:r>
          </w:p>
        </w:tc>
      </w:tr>
      <w:tr>
        <w:tc>
          <w:tcPr>
            <w:tcW w:type="dxa" w:w="831"/>
          </w:tcPr>
          <w:p>
            <w:pPr>
              <w:pStyle w:val="null3"/>
            </w:pPr>
            <w:r>
              <w:rPr/>
              <w:t>5</w:t>
            </w:r>
          </w:p>
        </w:tc>
        <w:tc>
          <w:tcPr>
            <w:tcW w:type="dxa" w:w="2492"/>
          </w:tcPr>
          <w:p>
            <w:pPr>
              <w:pStyle w:val="null3"/>
            </w:pPr>
            <w:r>
              <w:rPr/>
              <w:t>实质性条款</w:t>
            </w:r>
          </w:p>
        </w:tc>
        <w:tc>
          <w:tcPr>
            <w:tcW w:type="dxa" w:w="3322"/>
          </w:tcPr>
          <w:p>
            <w:pPr>
              <w:pStyle w:val="null3"/>
            </w:pPr>
            <w:r>
              <w:rPr/>
              <w:t>满足招标文件中标注的实质性条款（服务期限/交货期、服务地点、支付方式、支付约定）要求的</w:t>
            </w:r>
          </w:p>
        </w:tc>
        <w:tc>
          <w:tcPr>
            <w:tcW w:type="dxa" w:w="1661"/>
          </w:tcPr>
          <w:p>
            <w:pPr>
              <w:pStyle w:val="null3"/>
            </w:pPr>
            <w:r>
              <w:rPr/>
              <w:t>投标函 投标文件封面</w:t>
            </w:r>
          </w:p>
        </w:tc>
      </w:tr>
      <w:tr>
        <w:tc>
          <w:tcPr>
            <w:tcW w:type="dxa" w:w="831"/>
          </w:tcPr>
          <w:p>
            <w:pPr>
              <w:pStyle w:val="null3"/>
            </w:pPr>
            <w:r>
              <w:rPr/>
              <w:t>6</w:t>
            </w:r>
          </w:p>
        </w:tc>
        <w:tc>
          <w:tcPr>
            <w:tcW w:type="dxa" w:w="2492"/>
          </w:tcPr>
          <w:p>
            <w:pPr>
              <w:pStyle w:val="null3"/>
            </w:pPr>
            <w:r>
              <w:rPr/>
              <w:t>其他无效情形</w:t>
            </w:r>
          </w:p>
        </w:tc>
        <w:tc>
          <w:tcPr>
            <w:tcW w:type="dxa" w:w="3322"/>
          </w:tcPr>
          <w:p>
            <w:pPr>
              <w:pStyle w:val="null3"/>
            </w:pPr>
            <w:r>
              <w:rPr/>
              <w:t>无法律、规章、规范性文件和招标文件规定的其他无效情形</w:t>
            </w:r>
          </w:p>
        </w:tc>
        <w:tc>
          <w:tcPr>
            <w:tcW w:type="dxa" w:w="1661"/>
          </w:tcPr>
          <w:p>
            <w:pPr>
              <w:pStyle w:val="null3"/>
            </w:pPr>
            <w:r>
              <w:rPr/>
              <w:t>投标函 投标文件封面</w:t>
            </w:r>
          </w:p>
        </w:tc>
      </w:tr>
    </w:tbl>
    <w:p>
      <w:pPr>
        <w:pStyle w:val="null3"/>
        <w:ind w:firstLine="480"/>
      </w:pPr>
      <w:r>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sz w:val="24"/>
          <w:b/>
        </w:rPr>
        <w:t>5.4.3解释、澄清有关问题</w:t>
      </w:r>
    </w:p>
    <w:p>
      <w:pPr>
        <w:pStyle w:val="null3"/>
        <w:ind w:firstLine="480"/>
      </w:pPr>
      <w:r>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t>（一）投标人投标文件中不响应招标文件规定的技术参数指标和商务应答；</w:t>
      </w:r>
    </w:p>
    <w:p>
      <w:pPr>
        <w:pStyle w:val="null3"/>
        <w:ind w:firstLine="480"/>
      </w:pPr>
      <w:r>
        <w:rPr/>
        <w:t>（二）投标人投标文件中未提供的证明其是否符合招标文件资格、符合性规定要求的相关材料。</w:t>
      </w:r>
    </w:p>
    <w:p>
      <w:pPr>
        <w:pStyle w:val="null3"/>
        <w:ind w:firstLine="480"/>
      </w:pPr>
      <w:r>
        <w:rPr/>
        <w:t>（三）投标人投标文件中的材料因印刷、影印等不清晰而难以辨认的。</w:t>
      </w:r>
    </w:p>
    <w:p>
      <w:pPr>
        <w:pStyle w:val="null3"/>
        <w:ind w:firstLine="480"/>
      </w:pPr>
      <w:r>
        <w:rPr/>
        <w:t>四、投标文件报价出现下列情况的，按以下原则处理：</w:t>
      </w:r>
    </w:p>
    <w:p>
      <w:pPr>
        <w:pStyle w:val="null3"/>
        <w:ind w:firstLine="480"/>
      </w:pPr>
      <w:r>
        <w:rPr/>
        <w:t>（一）投标文件中开标一览表（报价表）内容与投标文件中相应内容不一致的，以开标一览表（报价表）为准；</w:t>
      </w:r>
    </w:p>
    <w:p>
      <w:pPr>
        <w:pStyle w:val="null3"/>
        <w:ind w:firstLine="480"/>
      </w:pPr>
      <w:r>
        <w:rPr/>
        <w:t>（二）大写金额和小写金额不一致的，以大写金额为准，但大写金额出现文字错误，导致金额无法判断的除外；</w:t>
      </w:r>
    </w:p>
    <w:p>
      <w:pPr>
        <w:pStyle w:val="null3"/>
        <w:ind w:firstLine="480"/>
      </w:pPr>
      <w:r>
        <w:rPr/>
        <w:t>（三）单价金额小数点或者百分比有明显错位的，以开标一览表总价为准，并修改单价；</w:t>
      </w:r>
    </w:p>
    <w:p>
      <w:pPr>
        <w:pStyle w:val="null3"/>
        <w:ind w:firstLine="480"/>
      </w:pPr>
      <w:r>
        <w:rPr/>
        <w:t>（四）总价金额与按单价汇总金额不一致的，以单价金额计算结果为准。</w:t>
      </w:r>
    </w:p>
    <w:p>
      <w:pPr>
        <w:pStyle w:val="null3"/>
        <w:ind w:firstLine="480"/>
      </w:pPr>
      <w:r>
        <w:rPr/>
        <w:t xml:space="preserve"> 同时出现两种以上不一致的，按照前款规定的顺序修正。修正后的报价经投标人确认后产生约束力，投标人不确认的，其投标无效。</w:t>
      </w:r>
    </w:p>
    <w:p>
      <w:pPr>
        <w:pStyle w:val="null3"/>
        <w:ind w:firstLine="480"/>
      </w:pPr>
      <w:r>
        <w:rPr/>
        <w:t>五、对不同语言文本投标文件的解释发生异议的，以中文文本为准。</w:t>
      </w:r>
    </w:p>
    <w:p>
      <w:pPr>
        <w:pStyle w:val="null3"/>
        <w:ind w:firstLine="480"/>
      </w:pPr>
      <w:r>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t>评标委员会应当积极履行澄清、说明或者更正的职责，不得滥用权力。</w:t>
      </w:r>
    </w:p>
    <w:p>
      <w:pPr>
        <w:pStyle w:val="null3"/>
        <w:outlineLvl w:val="3"/>
      </w:pPr>
      <w:r>
        <w:rPr>
          <w:sz w:val="24"/>
          <w:b/>
        </w:rPr>
        <w:t>5.4.4比较与评价</w:t>
      </w:r>
    </w:p>
    <w:p>
      <w:pPr>
        <w:pStyle w:val="null3"/>
        <w:ind w:firstLine="480"/>
      </w:pPr>
      <w:r>
        <w:rPr/>
        <w:t xml:space="preserve"> 评标委员会应当按照招标文件规定的评标细则及标准，对符合性检查合格的投标文件进行商务和技术评估，综合比较和评价。</w:t>
      </w:r>
    </w:p>
    <w:p>
      <w:pPr>
        <w:pStyle w:val="null3"/>
        <w:outlineLvl w:val="3"/>
      </w:pPr>
      <w:r>
        <w:rPr>
          <w:sz w:val="24"/>
          <w:b/>
        </w:rPr>
        <w:t xml:space="preserve"> 5.4.5复核</w:t>
      </w:r>
    </w:p>
    <w:p>
      <w:pPr>
        <w:pStyle w:val="null3"/>
        <w:ind w:firstLine="480"/>
      </w:pPr>
      <w:r>
        <w:rPr/>
        <w:t xml:space="preserve"> 评分汇总结束后，评标委员会应当进行复核，对拟推荐为中标候选供应商、报价最低、投标文件被认定为无效等进行重点复核。</w:t>
      </w:r>
    </w:p>
    <w:p>
      <w:pPr>
        <w:pStyle w:val="null3"/>
        <w:ind w:firstLine="480"/>
      </w:pPr>
      <w:r>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t>评标结果汇总完成后，除下列情形外，任何人不得修改评标结果：</w:t>
      </w:r>
    </w:p>
    <w:p>
      <w:pPr>
        <w:pStyle w:val="null3"/>
        <w:ind w:firstLine="480"/>
      </w:pPr>
      <w:r>
        <w:rPr/>
        <w:t>（一）分值汇总计算错误的；</w:t>
      </w:r>
    </w:p>
    <w:p>
      <w:pPr>
        <w:pStyle w:val="null3"/>
        <w:ind w:firstLine="480"/>
      </w:pPr>
      <w:r>
        <w:rPr/>
        <w:t>（二）分项评分超出评分标准范围的；</w:t>
      </w:r>
    </w:p>
    <w:p>
      <w:pPr>
        <w:pStyle w:val="null3"/>
        <w:ind w:firstLine="480"/>
      </w:pPr>
      <w:r>
        <w:rPr/>
        <w:t>（三）评标委员会成员对客观评审因素评分不一致的；</w:t>
      </w:r>
    </w:p>
    <w:p>
      <w:pPr>
        <w:pStyle w:val="null3"/>
        <w:ind w:firstLine="480"/>
      </w:pPr>
      <w:r>
        <w:rPr/>
        <w:t>（四）经评标委员会认定评分畸高、畸低的。</w:t>
      </w:r>
    </w:p>
    <w:p>
      <w:pPr>
        <w:pStyle w:val="null3"/>
        <w:ind w:firstLine="480"/>
      </w:pPr>
      <w:r>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sz w:val="24"/>
          <w:b/>
        </w:rPr>
        <w:t>5.4.6确定中标候选人名单</w:t>
      </w:r>
    </w:p>
    <w:p>
      <w:pPr>
        <w:pStyle w:val="null3"/>
      </w:pPr>
      <w:r>
        <w:rPr/>
        <w:t>采购包1：</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sz w:val="24"/>
          <w:b/>
        </w:rPr>
        <w:t>5.4.7编写评标报告</w:t>
      </w:r>
    </w:p>
    <w:p>
      <w:pPr>
        <w:pStyle w:val="null3"/>
        <w:ind w:firstLine="480"/>
      </w:pPr>
      <w:r>
        <w:rPr/>
        <w:t>评标报告是评标委员会根据全体评标成员签字的评标记录和评标结果编写的报告，其主要内容包括：</w:t>
      </w:r>
    </w:p>
    <w:p>
      <w:pPr>
        <w:pStyle w:val="null3"/>
        <w:ind w:firstLine="480"/>
      </w:pPr>
      <w:r>
        <w:rPr/>
        <w:t>一、招标公告刊登的媒体名称、开标日期和地点；</w:t>
      </w:r>
    </w:p>
    <w:p>
      <w:pPr>
        <w:pStyle w:val="null3"/>
        <w:ind w:firstLine="480"/>
      </w:pPr>
      <w:r>
        <w:rPr/>
        <w:t>二、投标人名单和评标委员会成员名单；</w:t>
      </w:r>
    </w:p>
    <w:p>
      <w:pPr>
        <w:pStyle w:val="null3"/>
        <w:ind w:firstLine="480"/>
      </w:pPr>
      <w:r>
        <w:rPr/>
        <w:t>三、评审方法和标准；</w:t>
      </w:r>
    </w:p>
    <w:p>
      <w:pPr>
        <w:pStyle w:val="null3"/>
        <w:ind w:firstLine="480"/>
      </w:pPr>
      <w:r>
        <w:rPr/>
        <w:t>四、开标记录和评审情况及说明，包括投标无效供应商名单及原因；</w:t>
      </w:r>
    </w:p>
    <w:p>
      <w:pPr>
        <w:pStyle w:val="null3"/>
        <w:ind w:firstLine="480"/>
      </w:pPr>
      <w:r>
        <w:rPr/>
        <w:t>五、评标结果，确定的中标候选人名单或者经采购人委托直接确定的中标人</w:t>
      </w:r>
    </w:p>
    <w:p>
      <w:pPr>
        <w:pStyle w:val="null3"/>
        <w:ind w:firstLine="480"/>
      </w:pPr>
      <w:r>
        <w:rPr/>
        <w:t xml:space="preserve"> 六、其他需要说明的情况，包括评标过程中投标人根据评标委员会要求进行的澄清、说明或者补正，评标委员会成员的更换等；</w:t>
      </w:r>
    </w:p>
    <w:p>
      <w:pPr>
        <w:pStyle w:val="null3"/>
        <w:ind w:firstLine="480"/>
      </w:pPr>
      <w:r>
        <w:rPr/>
        <w:t>七、报价最高的投标人为中标候选人的，评标委员会应当对其报价的合理性予以特别说明。</w:t>
      </w:r>
    </w:p>
    <w:p>
      <w:pPr>
        <w:pStyle w:val="null3"/>
        <w:ind w:firstLine="480"/>
      </w:pPr>
      <w:r>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sz w:val="28"/>
          <w:b/>
        </w:rPr>
        <w:t>5.5评标争议处理规则</w:t>
      </w:r>
    </w:p>
    <w:p>
      <w:pPr>
        <w:pStyle w:val="null3"/>
        <w:ind w:firstLine="480"/>
      </w:pPr>
      <w:r>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sz w:val="28"/>
          <w:b/>
        </w:rPr>
        <w:t>5.6评标细则及标准</w:t>
      </w:r>
    </w:p>
    <w:p>
      <w:pPr>
        <w:pStyle w:val="null3"/>
        <w:ind w:firstLine="480"/>
      </w:pPr>
      <w:r>
        <w:rPr/>
        <w:t xml:space="preserve"> 一、评标委员会只对通过资格审查的投标文件，根据招标文件的要求采用相同的评标程序、评分办法及标准进行评价和比较。</w:t>
      </w:r>
    </w:p>
    <w:p>
      <w:pPr>
        <w:pStyle w:val="null3"/>
        <w:ind w:firstLine="480"/>
      </w:pPr>
      <w:r>
        <w:rPr/>
        <w:t>二、评标委员会成员应依据招标文件规定的评分标准和方法独立评审。</w:t>
      </w:r>
    </w:p>
    <w:p>
      <w:pPr>
        <w:pStyle w:val="null3"/>
        <w:outlineLvl w:val="3"/>
      </w:pPr>
      <w:r>
        <w:rPr>
          <w:sz w:val="24"/>
          <w:b/>
        </w:rPr>
        <w:t>5.6.1评分办法</w:t>
      </w:r>
    </w:p>
    <w:p>
      <w:pPr>
        <w:pStyle w:val="null3"/>
        <w:ind w:firstLine="480"/>
      </w:pPr>
      <w:r>
        <w:rPr/>
        <w:t>若采用综合评分法的，由评标委员会各成员对通过资格检查和符合性审查的投标人的投标文件进行独立评审。 投标报价得分=（评标基准价／投标报价）×100</w:t>
      </w:r>
    </w:p>
    <w:p>
      <w:pPr>
        <w:pStyle w:val="null3"/>
        <w:ind w:firstLine="480"/>
      </w:pPr>
      <w:r>
        <w:rPr/>
        <w:t>评标总得分＝F1×A1＋F2×A2＋……＋Fn×An</w:t>
      </w:r>
    </w:p>
    <w:p>
      <w:pPr>
        <w:pStyle w:val="null3"/>
        <w:ind w:firstLine="480"/>
      </w:pPr>
      <w:r>
        <w:rPr/>
        <w:t>F1、F2……Fn分别为各项评审因素的得分；</w:t>
      </w:r>
    </w:p>
    <w:p>
      <w:pPr>
        <w:pStyle w:val="null3"/>
        <w:ind w:firstLine="480"/>
      </w:pPr>
      <w:r>
        <w:rPr/>
        <w:t>A1、A2、……An 分别为各项评审因素所占的权重（A1＋A2＋……＋An＝1）。</w:t>
      </w:r>
    </w:p>
    <w:p>
      <w:pPr>
        <w:pStyle w:val="null3"/>
        <w:ind w:firstLine="480"/>
      </w:pPr>
      <w:r>
        <w:rPr/>
        <w:t>评标过程中，不得去掉报价中的最高报价和最低报价。</w:t>
      </w:r>
    </w:p>
    <w:p>
      <w:pPr>
        <w:pStyle w:val="null3"/>
        <w:ind w:firstLine="480"/>
      </w:pPr>
      <w:r>
        <w:rPr/>
        <w:t>因落实政府采购政策进行价格调整的，以调整后的价格计算评标基准价和投标报价。</w:t>
      </w:r>
    </w:p>
    <w:p>
      <w:pPr>
        <w:pStyle w:val="null3"/>
        <w:outlineLvl w:val="3"/>
      </w:pPr>
      <w:r>
        <w:rPr>
          <w:sz w:val="24"/>
          <w:b/>
        </w:rPr>
        <w:t>5.6.2评分标准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技术参数</w:t>
            </w:r>
          </w:p>
        </w:tc>
        <w:tc>
          <w:tcPr>
            <w:tcW w:type="dxa" w:w="2492"/>
          </w:tcPr>
          <w:p>
            <w:pPr>
              <w:pStyle w:val="null3"/>
            </w:pPr>
            <w:r>
              <w:rPr/>
              <w:t>完全符合、满足磋商文件技术参数要求的，计30分。参数中技术指标每有一条负偏离扣2分；带“▲”号条款为允许负偏离的核心参数需求，若未响应或者不满足，每一条扣3分，基本分扣完为止。带“★”的参数需求为实质性要求，供应商必须响应并满足的参数需求。若有一项“★”项未响应或不满足，按无效标处理。 提供相关证明文件（包括但不限于检验报告、产品技术说明书、原厂技术参数表、产品彩页、官网功能截图等）。</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产品技术参数表</w:t>
            </w:r>
          </w:p>
          <w:p>
            <w:pPr>
              <w:pStyle w:val="null3"/>
            </w:pPr>
            <w:r>
              <w:rPr/>
              <w:t>商务应答表</w:t>
            </w:r>
          </w:p>
          <w:p>
            <w:pPr>
              <w:pStyle w:val="null3"/>
            </w:pPr>
            <w:r>
              <w:rPr/>
              <w:t>招标方案说明书</w:t>
            </w:r>
          </w:p>
        </w:tc>
      </w:tr>
      <w:tr>
        <w:tc>
          <w:tcPr>
            <w:tcW w:type="dxa" w:w="831"/>
            <w:vMerge/>
          </w:tcPr>
          <w:p/>
        </w:tc>
        <w:tc>
          <w:tcPr>
            <w:tcW w:type="dxa" w:w="1661"/>
          </w:tcPr>
          <w:p>
            <w:pPr>
              <w:pStyle w:val="null3"/>
            </w:pPr>
            <w:r>
              <w:rPr/>
              <w:t>产品来源渠道</w:t>
            </w:r>
          </w:p>
        </w:tc>
        <w:tc>
          <w:tcPr>
            <w:tcW w:type="dxa" w:w="2492"/>
          </w:tcPr>
          <w:p>
            <w:pPr>
              <w:pStyle w:val="null3"/>
            </w:pPr>
            <w:r>
              <w:rPr/>
              <w:t>所投产品设备进货渠道正规，有合法有效的供货协议（不限于销售协议、代理协议、原厂授权等），所投产品设备为进口产品的需提供“进”字号注册证。确保供应的设备无假货、水货、翻新货且无产权纠纷。未提供不得分。</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产品技术参数表</w:t>
            </w:r>
          </w:p>
          <w:p>
            <w:pPr>
              <w:pStyle w:val="null3"/>
            </w:pPr>
            <w:r>
              <w:rPr/>
              <w:t>商务应答表</w:t>
            </w:r>
          </w:p>
          <w:p>
            <w:pPr>
              <w:pStyle w:val="null3"/>
            </w:pPr>
            <w:r>
              <w:rPr/>
              <w:t>招标方案说明书</w:t>
            </w:r>
          </w:p>
        </w:tc>
      </w:tr>
      <w:tr>
        <w:tc>
          <w:tcPr>
            <w:tcW w:type="dxa" w:w="831"/>
            <w:vMerge/>
          </w:tcPr>
          <w:p/>
        </w:tc>
        <w:tc>
          <w:tcPr>
            <w:tcW w:type="dxa" w:w="1661"/>
          </w:tcPr>
          <w:p>
            <w:pPr>
              <w:pStyle w:val="null3"/>
            </w:pPr>
            <w:r>
              <w:rPr/>
              <w:t>产品质量保证</w:t>
            </w:r>
          </w:p>
        </w:tc>
        <w:tc>
          <w:tcPr>
            <w:tcW w:type="dxa" w:w="2492"/>
          </w:tcPr>
          <w:p>
            <w:pPr>
              <w:pStyle w:val="null3"/>
            </w:pPr>
            <w:r>
              <w:rPr/>
              <w:t>1、所投产品设备的技术先进性、可靠性、安全性高，功能完善、货物与部件的制造技术、生产工艺达到行业内高水平、高质量标准，得9分； 2、所投产品设备的在同类中技术属于较先进、技术成熟性、设备可靠性较强，功能较完善的，得6分； 3、所投产品设备在同类中技术先进性、可靠性、安全性一般，货物及部件的制造技术、生产工艺等方面一般的，得3分； 未提供不得分。</w:t>
            </w:r>
          </w:p>
        </w:tc>
        <w:tc>
          <w:tcPr>
            <w:tcW w:type="dxa" w:w="831"/>
          </w:tcPr>
          <w:p>
            <w:pPr>
              <w:pStyle w:val="null3"/>
              <w:jc w:val="right"/>
            </w:pPr>
            <w:r>
              <w:rPr/>
              <w:t>9.0000</w:t>
            </w:r>
          </w:p>
        </w:tc>
        <w:tc>
          <w:tcPr>
            <w:tcW w:type="dxa" w:w="831"/>
          </w:tcPr>
          <w:p>
            <w:pPr>
              <w:pStyle w:val="null3"/>
            </w:pPr>
            <w:r>
              <w:rPr/>
              <w:t>主观</w:t>
            </w:r>
          </w:p>
        </w:tc>
        <w:tc>
          <w:tcPr>
            <w:tcW w:type="dxa" w:w="1661"/>
          </w:tcPr>
          <w:p>
            <w:pPr>
              <w:pStyle w:val="null3"/>
            </w:pPr>
            <w:r>
              <w:rPr/>
              <w:t>产品技术参数表</w:t>
            </w:r>
          </w:p>
          <w:p>
            <w:pPr>
              <w:pStyle w:val="null3"/>
            </w:pPr>
            <w:r>
              <w:rPr/>
              <w:t>商务应答表</w:t>
            </w:r>
          </w:p>
          <w:p>
            <w:pPr>
              <w:pStyle w:val="null3"/>
            </w:pPr>
            <w:r>
              <w:rPr/>
              <w:t>招标方案说明书</w:t>
            </w:r>
          </w:p>
        </w:tc>
      </w:tr>
      <w:tr>
        <w:tc>
          <w:tcPr>
            <w:tcW w:type="dxa" w:w="831"/>
            <w:vMerge/>
          </w:tcPr>
          <w:p/>
        </w:tc>
        <w:tc>
          <w:tcPr>
            <w:tcW w:type="dxa" w:w="1661"/>
          </w:tcPr>
          <w:p>
            <w:pPr>
              <w:pStyle w:val="null3"/>
            </w:pPr>
            <w:r>
              <w:rPr/>
              <w:t>履约能力</w:t>
            </w:r>
          </w:p>
        </w:tc>
        <w:tc>
          <w:tcPr>
            <w:tcW w:type="dxa" w:w="2492"/>
          </w:tcPr>
          <w:p>
            <w:pPr>
              <w:pStyle w:val="null3"/>
            </w:pPr>
            <w:r>
              <w:rPr/>
              <w:t>提供产品的测试、安装调试、验收的具体实施方案： 1、实施方案详细具体，阐述全面、可操作性强的,得6分； 2、实施方案较详细，阐述较全面，可操作性较强的,得3分； 3、实施方案内容不明确，可操作性差的，得1分； 未提供不得分。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产品技术参数表</w:t>
            </w:r>
          </w:p>
          <w:p>
            <w:pPr>
              <w:pStyle w:val="null3"/>
            </w:pPr>
            <w:r>
              <w:rPr/>
              <w:t>商务应答表</w:t>
            </w:r>
          </w:p>
          <w:p>
            <w:pPr>
              <w:pStyle w:val="null3"/>
            </w:pPr>
            <w:r>
              <w:rPr/>
              <w:t>招标方案说明书</w:t>
            </w:r>
          </w:p>
        </w:tc>
      </w:tr>
      <w:tr>
        <w:tc>
          <w:tcPr>
            <w:tcW w:type="dxa" w:w="831"/>
            <w:vMerge/>
          </w:tcPr>
          <w:p/>
        </w:tc>
        <w:tc>
          <w:tcPr>
            <w:tcW w:type="dxa" w:w="1661"/>
          </w:tcPr>
          <w:p>
            <w:pPr>
              <w:pStyle w:val="null3"/>
            </w:pPr>
            <w:r>
              <w:rPr/>
              <w:t>业绩</w:t>
            </w:r>
          </w:p>
        </w:tc>
        <w:tc>
          <w:tcPr>
            <w:tcW w:type="dxa" w:w="2492"/>
          </w:tcPr>
          <w:p>
            <w:pPr>
              <w:pStyle w:val="null3"/>
            </w:pPr>
            <w:r>
              <w:rPr/>
              <w:t>提供2021年1月1日（以合同签订时间为准）至今的同类业绩证明材料（业绩以有效的合同为准）。每提供1份业绩得2分，满分6分。</w:t>
            </w:r>
          </w:p>
        </w:tc>
        <w:tc>
          <w:tcPr>
            <w:tcW w:type="dxa" w:w="831"/>
          </w:tcPr>
          <w:p>
            <w:pPr>
              <w:pStyle w:val="null3"/>
              <w:jc w:val="right"/>
            </w:pPr>
            <w:r>
              <w:rPr/>
              <w:t>6.0000</w:t>
            </w:r>
          </w:p>
        </w:tc>
        <w:tc>
          <w:tcPr>
            <w:tcW w:type="dxa" w:w="831"/>
          </w:tcPr>
          <w:p>
            <w:pPr>
              <w:pStyle w:val="null3"/>
            </w:pPr>
            <w:r>
              <w:rPr/>
              <w:t>客观</w:t>
            </w:r>
          </w:p>
        </w:tc>
        <w:tc>
          <w:tcPr>
            <w:tcW w:type="dxa" w:w="1661"/>
          </w:tcPr>
          <w:p>
            <w:pPr>
              <w:pStyle w:val="null3"/>
            </w:pPr>
            <w:r>
              <w:rPr/>
              <w:t>产品技术参数表</w:t>
            </w:r>
          </w:p>
          <w:p>
            <w:pPr>
              <w:pStyle w:val="null3"/>
            </w:pPr>
            <w:r>
              <w:rPr/>
              <w:t>商务应答表</w:t>
            </w:r>
          </w:p>
          <w:p>
            <w:pPr>
              <w:pStyle w:val="null3"/>
            </w:pPr>
            <w:r>
              <w:rPr/>
              <w:t>商务履约及企业实力</w:t>
            </w:r>
          </w:p>
        </w:tc>
      </w:tr>
      <w:tr>
        <w:tc>
          <w:tcPr>
            <w:tcW w:type="dxa" w:w="831"/>
            <w:vMerge/>
          </w:tcPr>
          <w:p/>
        </w:tc>
        <w:tc>
          <w:tcPr>
            <w:tcW w:type="dxa" w:w="1661"/>
          </w:tcPr>
          <w:p>
            <w:pPr>
              <w:pStyle w:val="null3"/>
            </w:pPr>
            <w:r>
              <w:rPr/>
              <w:t>安装培训方案</w:t>
            </w:r>
          </w:p>
        </w:tc>
        <w:tc>
          <w:tcPr>
            <w:tcW w:type="dxa" w:w="2492"/>
          </w:tcPr>
          <w:p>
            <w:pPr>
              <w:pStyle w:val="null3"/>
            </w:pPr>
            <w:r>
              <w:rPr/>
              <w:t>提供安装培训方案，包括内容、人员、对象、地点等，保证采购人能够安全、正常、熟练的操作: 1、方案详细具体，内容全面，切实可行，得6分； 2、方案较明确，内容一般，可行一般，得3分； 3、方案不明确，可行性差，得1分； 未提供不得分。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产品技术参数表</w:t>
            </w:r>
          </w:p>
          <w:p>
            <w:pPr>
              <w:pStyle w:val="null3"/>
            </w:pPr>
            <w:r>
              <w:rPr/>
              <w:t>商务应答表</w:t>
            </w:r>
          </w:p>
          <w:p>
            <w:pPr>
              <w:pStyle w:val="null3"/>
            </w:pPr>
            <w:r>
              <w:rPr/>
              <w:t>招标方案说明书</w:t>
            </w:r>
          </w:p>
        </w:tc>
      </w:tr>
      <w:tr>
        <w:tc>
          <w:tcPr>
            <w:tcW w:type="dxa" w:w="831"/>
            <w:vMerge/>
          </w:tcPr>
          <w:p/>
        </w:tc>
        <w:tc>
          <w:tcPr>
            <w:tcW w:type="dxa" w:w="1661"/>
          </w:tcPr>
          <w:p>
            <w:pPr>
              <w:pStyle w:val="null3"/>
            </w:pPr>
            <w:r>
              <w:rPr/>
              <w:t>售后服务及应急方案</w:t>
            </w:r>
          </w:p>
        </w:tc>
        <w:tc>
          <w:tcPr>
            <w:tcW w:type="dxa" w:w="2492"/>
          </w:tcPr>
          <w:p>
            <w:pPr>
              <w:pStyle w:val="null3"/>
            </w:pPr>
            <w:r>
              <w:rPr/>
              <w:t>提供相关售后服务及应急方案（包括但不限于响应时间承诺、服务保障措施、质保期、维护保养及应急维修安排等等）： 1、方案内容科学合理，内容全面，详细具体，可行性高，得8分； 2、方案内容较合理，内容较明确，可行性较高，得4分； 3、方案内容不明确、可行性差，得1分； 未提供不得分。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产品技术参数表</w:t>
            </w:r>
          </w:p>
          <w:p>
            <w:pPr>
              <w:pStyle w:val="null3"/>
            </w:pPr>
            <w:r>
              <w:rPr/>
              <w:t>商务应答表</w:t>
            </w:r>
          </w:p>
          <w:p>
            <w:pPr>
              <w:pStyle w:val="null3"/>
            </w:pPr>
            <w:r>
              <w:rPr/>
              <w:t>招标方案说明书</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 xml:space="preserve"> 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ind w:firstLine="480"/>
      </w:pPr>
      <w:r>
        <w:rPr/>
        <w:t>说明：</w:t>
      </w:r>
    </w:p>
    <w:p>
      <w:pPr>
        <w:pStyle w:val="null3"/>
        <w:ind w:firstLine="480"/>
      </w:pPr>
      <w:r>
        <w:rPr/>
        <w:t>1、评分的取值按四舍五入法，保留小数点后两位；</w:t>
      </w:r>
    </w:p>
    <w:p>
      <w:pPr>
        <w:pStyle w:val="null3"/>
        <w:ind w:firstLine="480"/>
      </w:pPr>
      <w:r>
        <w:rPr/>
        <w:t>2、评分标准中要求提供复印件的证明材料须清晰可辨。</w:t>
      </w:r>
    </w:p>
    <w:p>
      <w:pPr>
        <w:pStyle w:val="null3"/>
        <w:ind w:firstLine="480"/>
      </w:pPr>
      <w:r>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sz w:val="28"/>
          <w:b/>
        </w:rPr>
        <w:t>5.7废标</w:t>
      </w:r>
    </w:p>
    <w:p>
      <w:pPr>
        <w:pStyle w:val="null3"/>
        <w:ind w:firstLine="480"/>
      </w:pPr>
      <w:r>
        <w:rPr/>
        <w:t>本次政府采购活动中，出现下列情形之一的，予以废标：</w:t>
      </w:r>
    </w:p>
    <w:p>
      <w:pPr>
        <w:pStyle w:val="null3"/>
        <w:ind w:firstLine="480"/>
      </w:pPr>
      <w:r>
        <w:rPr/>
        <w:t>一、符合专业条件的投标人或者对招标文件作实质响应的投标人不足三家的；</w:t>
      </w:r>
    </w:p>
    <w:p>
      <w:pPr>
        <w:pStyle w:val="null3"/>
        <w:ind w:firstLine="480"/>
      </w:pPr>
      <w:r>
        <w:rPr/>
        <w:t>二、出现影响采购公正的违法、违规行为的；</w:t>
      </w:r>
    </w:p>
    <w:p>
      <w:pPr>
        <w:pStyle w:val="null3"/>
        <w:ind w:firstLine="480"/>
      </w:pPr>
      <w:r>
        <w:rPr/>
        <w:t>三、投标人的报价均超过了采购预算，采购人不能支付的；</w:t>
      </w:r>
    </w:p>
    <w:p>
      <w:pPr>
        <w:pStyle w:val="null3"/>
        <w:ind w:firstLine="480"/>
      </w:pPr>
      <w:r>
        <w:rPr/>
        <w:t>四、因重大变故，采购任务取消的；</w:t>
      </w:r>
    </w:p>
    <w:p>
      <w:pPr>
        <w:pStyle w:val="null3"/>
        <w:ind w:firstLine="480"/>
      </w:pPr>
      <w:r>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sz w:val="28"/>
          <w:b/>
        </w:rPr>
        <w:t>5.8定标</w:t>
      </w:r>
    </w:p>
    <w:p>
      <w:pPr>
        <w:pStyle w:val="null3"/>
        <w:outlineLvl w:val="3"/>
      </w:pPr>
      <w:r>
        <w:rPr>
          <w:sz w:val="24"/>
          <w:b/>
        </w:rPr>
        <w:t>5.8.1 定标原则</w:t>
      </w:r>
    </w:p>
    <w:p>
      <w:pPr>
        <w:pStyle w:val="null3"/>
      </w:pPr>
      <w:r>
        <w:rPr/>
        <w:t>采购人在评标报告确定的中标候选人名单中按顺序确定1名中标人。中标候选人并列的，由采购人采取随机抽取的方式确定中标人。</w:t>
      </w:r>
    </w:p>
    <w:p>
      <w:pPr>
        <w:pStyle w:val="null3"/>
        <w:outlineLvl w:val="3"/>
      </w:pPr>
      <w:r>
        <w:rPr>
          <w:sz w:val="24"/>
          <w:b/>
        </w:rPr>
        <w:t>5.8.2定标程序</w:t>
      </w:r>
    </w:p>
    <w:p>
      <w:pPr>
        <w:pStyle w:val="null3"/>
      </w:pPr>
      <w:r>
        <w:rPr/>
        <w:t>一、评标委员会在项目电子化交易系统中编制评标情况，生成评标报告。</w:t>
      </w:r>
    </w:p>
    <w:p>
      <w:pPr>
        <w:pStyle w:val="null3"/>
      </w:pPr>
      <w:r>
        <w:rPr/>
        <w:t>二、代理机构在评标结束之日起2个工作日内将评标报告送采购人。</w:t>
      </w:r>
    </w:p>
    <w:p>
      <w:pPr>
        <w:pStyle w:val="null3"/>
      </w:pPr>
      <w:r>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t>四、根据确定的中标供应商，代理机构在陕西省政府采购网上发布中标结果公告，通过项目电子化交易系统向中标供应商发出中标通知书。</w:t>
      </w:r>
    </w:p>
    <w:p>
      <w:pPr>
        <w:pStyle w:val="null3"/>
        <w:outlineLvl w:val="2"/>
      </w:pPr>
      <w:r>
        <w:rPr>
          <w:sz w:val="28"/>
          <w:b/>
        </w:rPr>
        <w:t>5.9评审专家在政府采购活动中承担以下义务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5.10评审专家在政府采购活动中应当遵守以下工作纪律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 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第六章 投标文件格式</w:t>
      </w:r>
    </w:p>
    <w:p>
      <w:pPr>
        <w:pStyle w:val="null3"/>
      </w:pPr>
      <w:r>
        <w:rPr/>
        <w:t>采购包1：</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详见附件：投标人应提交的相关资格证明材料</w:t>
      </w:r>
    </w:p>
    <w:p>
      <w:pPr>
        <w:pStyle w:val="null3"/>
        <w:ind w:firstLine="960"/>
      </w:pPr>
      <w:r>
        <w:rPr/>
        <w:t>详见附件：产品技术参数表</w:t>
      </w:r>
    </w:p>
    <w:p>
      <w:pPr>
        <w:pStyle w:val="null3"/>
        <w:ind w:firstLine="960"/>
      </w:pPr>
      <w:r>
        <w:rPr/>
        <w:t>详见附件：商务应答表</w:t>
      </w:r>
    </w:p>
    <w:p>
      <w:pPr>
        <w:pStyle w:val="null3"/>
        <w:ind w:firstLine="960"/>
      </w:pPr>
      <w:r>
        <w:rPr/>
        <w:t>详见附件：开标一览表</w:t>
      </w:r>
    </w:p>
    <w:p>
      <w:pPr>
        <w:pStyle w:val="null3"/>
        <w:ind w:firstLine="960"/>
      </w:pPr>
      <w:r>
        <w:rPr/>
        <w:t>详见附件：标的清单</w:t>
      </w:r>
    </w:p>
    <w:p>
      <w:pPr>
        <w:pStyle w:val="null3"/>
        <w:ind w:firstLine="960"/>
      </w:pPr>
      <w:r>
        <w:rPr/>
        <w:t>详见附件：技术要求响应偏离表</w:t>
      </w:r>
    </w:p>
    <w:p>
      <w:pPr>
        <w:pStyle w:val="null3"/>
        <w:ind w:firstLine="960"/>
      </w:pPr>
      <w:r>
        <w:rPr/>
        <w:t>详见附件：商务要求响应偏离表</w:t>
      </w:r>
    </w:p>
    <w:p>
      <w:pPr>
        <w:pStyle w:val="null3"/>
        <w:ind w:firstLine="960"/>
      </w:pPr>
      <w:r>
        <w:rPr/>
        <w:t>详见附件：招标方案说明书</w:t>
      </w:r>
    </w:p>
    <w:p>
      <w:pPr>
        <w:pStyle w:val="null3"/>
        <w:ind w:firstLine="960"/>
      </w:pPr>
      <w:r>
        <w:rPr/>
        <w:t>详见附件：商务履约及企业实力</w:t>
      </w:r>
    </w:p>
    <w:p>
      <w:pPr>
        <w:pStyle w:val="null3"/>
        <w:ind w:firstLine="960"/>
      </w:pPr>
      <w:r>
        <w:rPr/>
        <w:t>详见附件：承诺书</w:t>
      </w:r>
    </w:p>
    <w:p>
      <w:pPr>
        <w:pStyle w:val="null3"/>
      </w:pPr>
      <w:r>
        <w:rPr/>
        <w:t xml:space="preserve"> </w:t>
        <w:br/>
        <w:br w:type="page"/>
      </w:r>
    </w:p>
    <w:p>
      <w:pPr>
        <w:pStyle w:val="null3"/>
        <w:jc w:val="center"/>
        <w:outlineLvl w:val="1"/>
      </w:pPr>
      <w:r>
        <w:rPr>
          <w:sz w:val="36"/>
          <w:b/>
        </w:rPr>
        <w:t>第七章 拟签订合同文本</w:t>
      </w:r>
    </w:p>
    <w:p>
      <w:pPr>
        <w:pStyle w:val="null3"/>
      </w:pPr>
      <w:r>
        <w:rPr/>
        <w:t>详见附件：合同格式.docx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