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版本号：241211001</w:t>
      </w:r>
      <w:r>
        <w:br/>
      </w:r>
      <w:r>
        <w:br/>
      </w:r>
      <w:r>
        <w:br/>
      </w:r>
      <w:r>
        <w:br/>
      </w:r>
      <w:r>
        <w:br/>
      </w:r>
    </w:p>
    <w:p>
      <w:pPr>
        <w:pStyle w:val="null3"/>
        <w:jc w:val="center"/>
        <w:outlineLvl w:val="0"/>
      </w:pPr>
      <w:r>
        <w:rPr>
          <w:sz w:val="48"/>
          <w:b/>
        </w:rPr>
        <w:t>谈 判 文 件</w:t>
      </w:r>
      <w:r>
        <w:br/>
      </w:r>
      <w:r>
        <w:br/>
      </w:r>
      <w:r>
        <w:br/>
      </w:r>
    </w:p>
    <w:p>
      <w:pPr>
        <w:pStyle w:val="null3"/>
        <w:jc w:val="center"/>
        <w:outlineLvl w:val="1"/>
      </w:pPr>
      <w:r>
        <w:rPr>
          <w:sz w:val="36"/>
          <w:b/>
        </w:rPr>
        <w:t>（货物类）</w:t>
      </w:r>
      <w:r>
        <w:br/>
      </w:r>
      <w:r>
        <w:br/>
      </w:r>
      <w:r>
        <w:br/>
      </w:r>
      <w:r>
        <w:br/>
      </w:r>
      <w:r>
        <w:br/>
      </w:r>
      <w:r>
        <w:br/>
      </w:r>
      <w:r>
        <w:br/>
      </w:r>
      <w:r>
        <w:br/>
      </w:r>
      <w:r>
        <w:br/>
      </w:r>
      <w:r>
        <w:br/>
      </w:r>
      <w:r>
        <w:br/>
      </w:r>
    </w:p>
    <w:p>
      <w:pPr>
        <w:pStyle w:val="null3"/>
        <w:jc w:val="center"/>
        <w:outlineLvl w:val="2"/>
      </w:pPr>
      <w:r>
        <w:rPr>
          <w:sz w:val="28"/>
          <w:b/>
        </w:rPr>
        <w:t>采购项目名称：</w:t>
      </w:r>
      <w:r>
        <w:rPr>
          <w:sz w:val="28"/>
          <w:b/>
        </w:rPr>
        <w:t>万能材料试验机及原子力显微镜采购项目</w:t>
      </w:r>
    </w:p>
    <w:p>
      <w:pPr>
        <w:pStyle w:val="null3"/>
        <w:jc w:val="center"/>
        <w:outlineLvl w:val="2"/>
      </w:pPr>
      <w:r>
        <w:rPr>
          <w:sz w:val="28"/>
          <w:b/>
        </w:rPr>
        <w:t>采购项目编号：</w:t>
      </w:r>
      <w:r>
        <w:rPr>
          <w:sz w:val="28"/>
          <w:b/>
        </w:rPr>
        <w:t>RTZB--2024--2120</w:t>
      </w:r>
      <w:r>
        <w:br/>
      </w:r>
      <w:r>
        <w:br/>
      </w:r>
      <w:r>
        <w:br/>
      </w:r>
    </w:p>
    <w:p>
      <w:pPr>
        <w:pStyle w:val="null3"/>
        <w:jc w:val="center"/>
        <w:outlineLvl w:val="2"/>
      </w:pPr>
      <w:r>
        <w:rPr>
          <w:sz w:val="28"/>
          <w:b/>
        </w:rPr>
        <w:t>西北大学</w:t>
      </w:r>
    </w:p>
    <w:p>
      <w:pPr>
        <w:pStyle w:val="null3"/>
        <w:jc w:val="center"/>
        <w:outlineLvl w:val="2"/>
      </w:pPr>
      <w:r>
        <w:rPr>
          <w:sz w:val="28"/>
          <w:b/>
        </w:rPr>
        <w:t>陕西瑞通工程造价咨询有限公司</w:t>
      </w:r>
      <w:r>
        <w:rPr>
          <w:sz w:val="28"/>
          <w:b/>
        </w:rPr>
        <w:t>共同编制</w:t>
      </w:r>
    </w:p>
    <w:p>
      <w:pPr>
        <w:pStyle w:val="null3"/>
        <w:jc w:val="center"/>
        <w:outlineLvl w:val="2"/>
      </w:pPr>
      <w:r>
        <w:rPr>
          <w:sz w:val="28"/>
          <w:b/>
        </w:rPr>
        <w:t>2024年12月11日</w:t>
      </w:r>
    </w:p>
    <w:p>
      <w:pPr>
        <w:pStyle w:val="null3"/>
      </w:pPr>
      <w:r>
        <w:rPr/>
        <w:t xml:space="preserve"> </w:t>
        <w:br/>
        <w:br w:type="page"/>
      </w:r>
    </w:p>
    <w:p>
      <w:pPr>
        <w:pStyle w:val="null3"/>
        <w:jc w:val="center"/>
        <w:outlineLvl w:val="1"/>
      </w:pPr>
      <w:r>
        <w:rPr>
          <w:sz w:val="36"/>
          <w:b/>
        </w:rPr>
        <w:t>第一章 竞争性谈判邀请</w:t>
      </w:r>
    </w:p>
    <w:p>
      <w:pPr>
        <w:pStyle w:val="null3"/>
        <w:ind w:firstLine="480"/>
      </w:pPr>
      <w:r>
        <w:rPr/>
        <w:t>陕西瑞通工程造价咨询有限公司</w:t>
      </w:r>
      <w:r>
        <w:rPr/>
        <w:t>（以下简称“代理机构”）受</w:t>
      </w:r>
      <w:r>
        <w:rPr/>
        <w:t>西北大学</w:t>
      </w:r>
      <w:r>
        <w:rPr/>
        <w:t>委托，拟对</w:t>
      </w:r>
      <w:r>
        <w:rPr/>
        <w:t>万能材料试验机及原子力显微镜采购项目</w:t>
      </w:r>
      <w:r>
        <w:rPr/>
        <w:t>采用竞争性谈判采购方式进行采购，兹邀请供应商参加本项目的竞争性谈判。</w:t>
      </w:r>
    </w:p>
    <w:p>
      <w:pPr>
        <w:pStyle w:val="null3"/>
        <w:outlineLvl w:val="2"/>
      </w:pPr>
      <w:r>
        <w:rPr>
          <w:sz w:val="28"/>
          <w:b/>
        </w:rPr>
        <w:t>一、项目编号：</w:t>
      </w:r>
      <w:r>
        <w:rPr>
          <w:sz w:val="28"/>
          <w:b/>
        </w:rPr>
        <w:t>RTZB--2024--2120</w:t>
      </w:r>
    </w:p>
    <w:p>
      <w:pPr>
        <w:pStyle w:val="null3"/>
        <w:outlineLvl w:val="2"/>
      </w:pPr>
      <w:r>
        <w:rPr>
          <w:sz w:val="28"/>
          <w:b/>
        </w:rPr>
        <w:t>二、项目名称：</w:t>
      </w:r>
      <w:r>
        <w:rPr>
          <w:sz w:val="28"/>
          <w:b/>
        </w:rPr>
        <w:t>万能材料试验机及原子力显微镜采购项目</w:t>
      </w:r>
    </w:p>
    <w:p>
      <w:pPr>
        <w:pStyle w:val="null3"/>
        <w:outlineLvl w:val="2"/>
      </w:pPr>
      <w:r>
        <w:rPr>
          <w:sz w:val="28"/>
          <w:b/>
        </w:rPr>
        <w:t>三、谈判项目简介：</w:t>
      </w:r>
    </w:p>
    <w:p>
      <w:pPr>
        <w:pStyle w:val="null3"/>
        <w:ind w:firstLine="480"/>
      </w:pPr>
      <w:r>
        <w:rPr/>
        <w:t>西北大学拟采购万能材料试验机1套，原子力显微镜1套，采购预算2525800元。详见第三章采购需求。</w:t>
      </w:r>
    </w:p>
    <w:p>
      <w:pPr>
        <w:pStyle w:val="null3"/>
        <w:outlineLvl w:val="2"/>
      </w:pPr>
      <w:r>
        <w:rPr>
          <w:sz w:val="28"/>
          <w:b/>
        </w:rPr>
        <w:t>四、邀请供应商：</w:t>
      </w:r>
    </w:p>
    <w:p>
      <w:pPr>
        <w:pStyle w:val="null3"/>
      </w:pPr>
      <w:r>
        <w:rPr/>
        <w:t>本次采购采取公告征集邀请谈判的供应商。</w:t>
      </w:r>
    </w:p>
    <w:p>
      <w:pPr>
        <w:pStyle w:val="null3"/>
      </w:pPr>
      <w:r>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落实政府采购促进中小企业发展的相关政策：</w:t>
      </w:r>
    </w:p>
    <w:p>
      <w:pPr>
        <w:pStyle w:val="null3"/>
      </w:pPr>
      <w:r>
        <w:rPr/>
        <w:t>无</w:t>
      </w:r>
    </w:p>
    <w:p>
      <w:pPr>
        <w:pStyle w:val="null3"/>
        <w:ind w:firstLine="440"/>
        <w:jc w:val="left"/>
      </w:pPr>
      <w:r>
        <w:rPr>
          <w:sz w:val="22"/>
        </w:rPr>
        <w:t>注：监狱企业和残疾人福利性单位视同小微企业，符合中小企业划分标准的个体工商户视同中小企业。</w:t>
      </w:r>
    </w:p>
    <w:p>
      <w:pPr>
        <w:pStyle w:val="null3"/>
        <w:ind w:firstLine="480"/>
      </w:pPr>
      <w:r>
        <w:rPr/>
        <w:t>（三）本项目的特定资格要求：</w:t>
      </w:r>
    </w:p>
    <w:p>
      <w:pPr>
        <w:pStyle w:val="null3"/>
      </w:pPr>
      <w:r>
        <w:rPr/>
        <w:t>采购包1：</w:t>
      </w:r>
    </w:p>
    <w:p>
      <w:pPr>
        <w:pStyle w:val="null3"/>
      </w:pPr>
      <w:r>
        <w:rPr/>
        <w:t>1、信用证明：未被信用中国网站列入失信被执行人和重大税收违法案件当事人名单、未被中国政府采购网列入政府采购严重违法失信行为记录名单（开标时系统查询）、参加本次政府采购活动前3年内在经营活动中没有重大违纪并提供书面声明。</w:t>
      </w:r>
    </w:p>
    <w:p>
      <w:pPr>
        <w:pStyle w:val="null3"/>
      </w:pPr>
      <w:r>
        <w:rPr/>
        <w:t>2、注册证照：法人单位提供带有统一社会信用代码营业执照，未提供的接受采购人通过国家企业信用信息公示系统（http://www.gsxt.gov.cn/index.html）进行相关信息的核实，并承担核实不到的后果；事业单位提供事业单位法人登记证；其他组织提供有效合法的登记证明文件；自然人提供身份证。</w:t>
      </w:r>
    </w:p>
    <w:p>
      <w:pPr>
        <w:pStyle w:val="null3"/>
      </w:pPr>
      <w:r>
        <w:rPr/>
        <w:t>3、供应商代表授权：提供法定代表人证明书和代表人授权委托书。</w:t>
      </w:r>
    </w:p>
    <w:p>
      <w:pPr>
        <w:pStyle w:val="null3"/>
      </w:pPr>
      <w:r>
        <w:rPr/>
        <w:t>4、财务状况证明：提供2023年度经第三方会计事务所审计过的财务报告，或谈判截止时间前90天内基本账户银行出具的资信证明。注：①提供财务报告的，内容应完整。②提供资信证明的，必须提供资信证明全部页以及基本户信息（提供开户许可证复印件或提供基本银行账户信息复印件加盖公章）。银行出具的存款证明不能代替资信证明，存款证明无效。</w:t>
      </w:r>
    </w:p>
    <w:p>
      <w:pPr>
        <w:pStyle w:val="null3"/>
      </w:pPr>
      <w:r>
        <w:rPr/>
        <w:t>5、纳税证明：提供2024年1月1日至今至少一次依法纳税的凭证（至少包括企业所得税或增值税中的一种）；依法免税或不需交税的应提供链条完整的证明；成立不足一个月的提供将依法纳税的承诺书（格式自拟）。注：①零报税的提供申报成功的凭证。②时间以税款所属时段为准。</w:t>
      </w:r>
    </w:p>
    <w:p>
      <w:pPr>
        <w:pStyle w:val="null3"/>
      </w:pPr>
      <w:r>
        <w:rPr/>
        <w:t>6、社会保障资金缴纳证明：提供2024年1月1日至今至少一个月的社会保障资金缴存凭证或社保机构开具的社会保险参保缴费情况证明；依法不需要缴纳社会保障资金的应提供链条完整的证明；成立不足一个月的提供将依法交纳社会保障资金的承诺书（格式自拟）。注：①通过代缴方式缴存的，需提供链条完整的证明材料，证明材料至少包括代缴方的缴存凭证、投标人向代缴方用于缴存社保的银行转账单据。②供应商可自行打印带有社保机构公章的缴存凭证；提供银行交纳单据的，单据应显示社保缴存项（任一项）。</w:t>
      </w:r>
    </w:p>
    <w:p>
      <w:pPr>
        <w:pStyle w:val="null3"/>
      </w:pPr>
      <w:r>
        <w:rPr/>
        <w:t>7、履约能力证明：提供具有履行本合同所必需的专业技术能力的声明。</w:t>
      </w:r>
    </w:p>
    <w:p>
      <w:pPr>
        <w:pStyle w:val="null3"/>
      </w:pPr>
      <w:r>
        <w:rPr/>
        <w:t>8、产品授权：提供进口产品的，须提供自产品制造商起链条完整的针对本项目或所投产品的授权书，授权函为外文的须提供逐一对应的中文译文（外籍人士的签字除外）并加盖投标人公章。国产产品无此要求。</w:t>
      </w:r>
    </w:p>
    <w:p>
      <w:pPr>
        <w:pStyle w:val="null3"/>
      </w:pPr>
      <w:r>
        <w:rPr/>
        <w:t>9、联合体投标：不接受联合体，提供非联合体声明。</w:t>
      </w:r>
    </w:p>
    <w:p>
      <w:pPr>
        <w:pStyle w:val="null3"/>
      </w:pPr>
      <w:r>
        <w:rPr/>
        <w:t>采购包2：</w:t>
      </w:r>
    </w:p>
    <w:p>
      <w:pPr>
        <w:pStyle w:val="null3"/>
      </w:pPr>
      <w:r>
        <w:rPr/>
        <w:t>1、信用证明：未被信用中国网站列入失信被执行人和重大税收违法案件当事人名单、未被中国政府采购网列入政府采购严重违法失信行为记录名单（开标时系统查询）、参加本次政府采购活动前3年内在经营活动中没有重大违纪并提供书面声明。</w:t>
      </w:r>
    </w:p>
    <w:p>
      <w:pPr>
        <w:pStyle w:val="null3"/>
      </w:pPr>
      <w:r>
        <w:rPr/>
        <w:t>2、注册证照：法人单位提供带有统一社会信用代码营业执照，未提供的接受采购人通过国家企业信用信息公示系统（http://www.gsxt.gov.cn/index.html）进行相关信息的核实，并承担核实不到的后果；事业单位提供事业单位法人登记证；其他组织提供有效合法的登记证明文件；自然人提供身份证。</w:t>
      </w:r>
    </w:p>
    <w:p>
      <w:pPr>
        <w:pStyle w:val="null3"/>
      </w:pPr>
      <w:r>
        <w:rPr/>
        <w:t>3、供应商代表授权：提供法定代表人证明书和代表人授权委托书。</w:t>
      </w:r>
    </w:p>
    <w:p>
      <w:pPr>
        <w:pStyle w:val="null3"/>
      </w:pPr>
      <w:r>
        <w:rPr/>
        <w:t>4、财务状况证明：提供2023年度经第三方会计事务所审计过的财务报告，或谈判截止时间前90天内基本账户银行出具的资信证明。注：①提供财务报告的，内容应完整。②提供资信证明的，必须提供资信证明全部页以及基本户信息（提供开户许可证复印件或提供基本银行账户信息复印件加盖公章）。银行出具的存款证明不能代替资信证明，存款证明无效。</w:t>
      </w:r>
    </w:p>
    <w:p>
      <w:pPr>
        <w:pStyle w:val="null3"/>
      </w:pPr>
      <w:r>
        <w:rPr/>
        <w:t>5、纳税证明：提供2024年1月1日至今至少一次依法纳税的凭证（至少包括企业所得税或增值税中的一种）；依法免税或不需交税的应提供链条完整的证明；成立不足一个月的提供将依法纳税的承诺书（格式自拟）。注：①零报税的提供申报成功的凭证。②时间以税款所属时段为准。</w:t>
      </w:r>
    </w:p>
    <w:p>
      <w:pPr>
        <w:pStyle w:val="null3"/>
      </w:pPr>
      <w:r>
        <w:rPr/>
        <w:t>6、社会保障资金缴纳证明：提供2024年1月1日至今至少一个月的社会保障资金缴存凭证或社保机构开具的社会保险参保缴费情况证明；依法不需要缴纳社会保障资金的应提供链条完整的证明；成立不足一个月的提供将依法交纳社会保障资金的承诺书（格式自拟）。注：①通过代缴方式缴存的，需提供链条完整的证明材料，证明材料至少包括代缴方的缴存凭证、投标人向代缴方用于缴存社保的银行转账单据。②供应商可自行打印带有社保机构公章的缴存凭证；提供银行交纳单据的，单据应显示社保缴存项（任一项）。</w:t>
      </w:r>
    </w:p>
    <w:p>
      <w:pPr>
        <w:pStyle w:val="null3"/>
      </w:pPr>
      <w:r>
        <w:rPr/>
        <w:t>7、履约能力证明：提供具有履行本合同所必需的专业技术能力的声明。</w:t>
      </w:r>
    </w:p>
    <w:p>
      <w:pPr>
        <w:pStyle w:val="null3"/>
      </w:pPr>
      <w:r>
        <w:rPr/>
        <w:t>8、产品授权：提供进口产品的，须提供自产品制造商起链条完整的针对本项目或所投产品的授权书，授权函为外文的须提供逐一对应的中文译文（外籍人士的签字除外）并加盖投标人公章。国产产品无此要求。</w:t>
      </w:r>
    </w:p>
    <w:p>
      <w:pPr>
        <w:pStyle w:val="null3"/>
      </w:pPr>
      <w:r>
        <w:rPr/>
        <w:t>9、联合体投标：不接受联合体，提供非联合体声明。</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七、竞争性谈判文件获取时间、方式及地址</w:t>
      </w:r>
    </w:p>
    <w:p>
      <w:pPr>
        <w:pStyle w:val="null3"/>
        <w:ind w:firstLine="480"/>
      </w:pPr>
      <w:r>
        <w:rPr/>
        <w:t>（一）谈判文件获取时间：详见采购公告或邀请书</w:t>
      </w:r>
    </w:p>
    <w:p>
      <w:pPr>
        <w:pStyle w:val="null3"/>
        <w:ind w:firstLine="480"/>
      </w:pPr>
      <w:r>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t>注：获取的谈判文件主体格式包括pdf、word两种格式版本，其中以pdf格式为准。</w:t>
      </w:r>
    </w:p>
    <w:p>
      <w:pPr>
        <w:pStyle w:val="null3"/>
        <w:outlineLvl w:val="2"/>
      </w:pPr>
      <w:r>
        <w:rPr>
          <w:sz w:val="28"/>
          <w:b/>
        </w:rPr>
        <w:t>八、提交首次响应文件截止时间及开启时间、地点、方式：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九、谈判方式</w:t>
      </w:r>
    </w:p>
    <w:p>
      <w:pPr>
        <w:pStyle w:val="null3"/>
        <w:ind w:firstLine="480"/>
      </w:pPr>
      <w:r>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西北大学</w:t>
      </w:r>
    </w:p>
    <w:p>
      <w:pPr>
        <w:pStyle w:val="null3"/>
      </w:pPr>
      <w:r>
        <w:rPr/>
        <w:t xml:space="preserve"> 地址： </w:t>
      </w:r>
      <w:r>
        <w:rPr/>
        <w:t>西安市长安区郭杜教育科技产业区学府大街1号</w:t>
      </w:r>
    </w:p>
    <w:p>
      <w:pPr>
        <w:pStyle w:val="null3"/>
      </w:pPr>
      <w:r>
        <w:rPr/>
        <w:t xml:space="preserve"> 邮编： </w:t>
      </w:r>
      <w:r>
        <w:rPr/>
        <w:t>710199</w:t>
      </w:r>
    </w:p>
    <w:p>
      <w:pPr>
        <w:pStyle w:val="null3"/>
      </w:pPr>
      <w:r>
        <w:rPr/>
        <w:t xml:space="preserve"> 联系人： </w:t>
      </w:r>
      <w:r>
        <w:rPr/>
        <w:t>张老师</w:t>
      </w:r>
    </w:p>
    <w:p>
      <w:pPr>
        <w:pStyle w:val="null3"/>
      </w:pPr>
      <w:r>
        <w:rPr/>
        <w:t xml:space="preserve"> 联系电话： </w:t>
      </w:r>
      <w:r>
        <w:rPr/>
        <w:t>029-88302565</w:t>
      </w:r>
    </w:p>
    <w:p>
      <w:pPr>
        <w:pStyle w:val="null3"/>
        <w:outlineLvl w:val="3"/>
      </w:pPr>
      <w:r>
        <w:rPr>
          <w:sz w:val="24"/>
          <w:b/>
        </w:rPr>
        <w:t>代理机构：</w:t>
      </w:r>
      <w:r>
        <w:rPr>
          <w:sz w:val="24"/>
          <w:b/>
        </w:rPr>
        <w:t>陕西瑞通工程造价咨询有限公司</w:t>
      </w:r>
    </w:p>
    <w:p>
      <w:pPr>
        <w:pStyle w:val="null3"/>
      </w:pPr>
      <w:r>
        <w:rPr/>
        <w:t xml:space="preserve"> 地址： </w:t>
      </w:r>
      <w:r>
        <w:rPr/>
        <w:t>西安市科技路30号合力紫郡A座2204室</w:t>
      </w:r>
    </w:p>
    <w:p>
      <w:pPr>
        <w:pStyle w:val="null3"/>
      </w:pPr>
      <w:r>
        <w:rPr/>
        <w:t xml:space="preserve"> 邮编： </w:t>
      </w:r>
      <w:r>
        <w:rPr/>
        <w:t xml:space="preserve"> 710075</w:t>
      </w:r>
    </w:p>
    <w:p>
      <w:pPr>
        <w:pStyle w:val="null3"/>
      </w:pPr>
      <w:r>
        <w:rPr/>
        <w:t xml:space="preserve"> 联系人： </w:t>
      </w:r>
      <w:r>
        <w:rPr/>
        <w:t>贾堃 水思楠 张晨 张岩</w:t>
      </w:r>
    </w:p>
    <w:p>
      <w:pPr>
        <w:pStyle w:val="null3"/>
      </w:pPr>
      <w:r>
        <w:rPr/>
        <w:t xml:space="preserve"> 联系电话： </w:t>
      </w:r>
      <w:r>
        <w:rPr/>
        <w:t xml:space="preserve"> 029-88224132-8007</w:t>
      </w:r>
    </w:p>
    <w:p>
      <w:pPr>
        <w:pStyle w:val="null3"/>
        <w:outlineLvl w:val="3"/>
      </w:pPr>
      <w:r>
        <w:rPr>
          <w:sz w:val="24"/>
          <w:b/>
        </w:rPr>
        <w:t>采购监督机构：</w:t>
      </w:r>
      <w:r>
        <w:rPr>
          <w:sz w:val="24"/>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采购包1：1,606,000.00元</w:t>
            </w:r>
          </w:p>
          <w:p>
            <w:pPr>
              <w:pStyle w:val="null3"/>
            </w:pPr>
            <w:r>
              <w:rPr/>
              <w:t>采购包2：919,800.00元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最低评标价法(详见第六章)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p>
          <w:p>
            <w:pPr>
              <w:pStyle w:val="null3"/>
            </w:pPr>
            <w:r>
              <w:rPr/>
              <w:t>采购包2：不接受</w:t>
            </w:r>
            <w:r>
              <w:rPr/>
              <w:t xml:space="preserve"> 如以联合体响应的，联合体各方均应当具备本谈判文件要求的资格条件和能力。</w:t>
            </w:r>
          </w:p>
          <w:p>
            <w:pPr>
              <w:pStyle w:val="null3"/>
            </w:pPr>
            <w:r>
              <w:rPr/>
              <w:t xml:space="preserve"> （1）联合体各方均应具有承担本谈判项目必备的条件，如相应的人力、物力、资金等。</w:t>
            </w:r>
          </w:p>
          <w:p>
            <w:pPr>
              <w:pStyle w:val="null3"/>
            </w:pPr>
            <w:r>
              <w:rPr/>
              <w:t xml:space="preserve"> （2）谈判文件对供应商资格条件有特殊要求的，联合体各个成员都应当具备规定的相应资格条件。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无</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无</w:t>
            </w:r>
            <w:r>
              <w:rPr/>
              <w:t>产品属于节能产品政府采购品目清单中应优先采购的产品范围，本项目采购的</w:t>
            </w:r>
            <w:r>
              <w:rPr/>
              <w:t>无</w:t>
            </w:r>
            <w:r>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t>9</w:t>
            </w:r>
          </w:p>
        </w:tc>
        <w:tc>
          <w:tcPr>
            <w:tcW w:type="dxa" w:w="2252"/>
          </w:tcPr>
          <w:p>
            <w:pPr>
              <w:pStyle w:val="null3"/>
            </w:pPr>
            <w:r>
              <w:rPr/>
              <w:t>谈判保证金</w:t>
            </w:r>
          </w:p>
        </w:tc>
        <w:tc>
          <w:tcPr>
            <w:tcW w:type="dxa" w:w="5004"/>
          </w:tcPr>
          <w:p>
            <w:pPr>
              <w:pStyle w:val="null3"/>
            </w:pPr>
            <w:r>
              <w:rPr/>
              <w:t>采购包1保证金金额：32,000.00元</w:t>
            </w:r>
          </w:p>
          <w:p>
            <w:pPr>
              <w:pStyle w:val="null3"/>
            </w:pPr>
            <w:r>
              <w:rPr/>
              <w:t>采购包2保证金金额：18,000.00元</w:t>
            </w:r>
          </w:p>
          <w:p>
            <w:pPr>
              <w:pStyle w:val="null3"/>
            </w:pPr>
            <w:r>
              <w:rPr/>
              <w:t>缴交渠道：转账、支票、汇票等（需通过实体账户、户名及开户行信息）</w:t>
            </w:r>
          </w:p>
          <w:p>
            <w:pPr>
              <w:pStyle w:val="null3"/>
            </w:pPr>
            <w:r>
              <w:rPr/>
              <w:t>开户名称：陕西瑞通工程造价咨询有限公司</w:t>
            </w:r>
          </w:p>
          <w:p>
            <w:pPr>
              <w:pStyle w:val="null3"/>
            </w:pPr>
            <w:r>
              <w:rPr/>
              <w:t>开户银行：中国民生银行西安分行营业部</w:t>
            </w:r>
          </w:p>
          <w:p>
            <w:pPr>
              <w:pStyle w:val="null3"/>
            </w:pPr>
            <w:r>
              <w:rPr/>
              <w:t>银行账号：698207824</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采购包1：缴纳</w:t>
            </w:r>
          </w:p>
          <w:p>
            <w:pPr>
              <w:pStyle w:val="null3"/>
            </w:pPr>
            <w:r>
              <w:rPr/>
              <w:t>本采购包履约保证金为合同金额的5.0%</w:t>
            </w:r>
          </w:p>
          <w:p>
            <w:pPr>
              <w:pStyle w:val="null3"/>
            </w:pPr>
            <w:r>
              <w:rPr/>
              <w:t>说明：中标供应商在与采购人签订合同前，须缴纳履约保证金。 转账银行：交通银行太白路支行 转账账号：西北大学611301015018001145006 说明：转账金额到账后，可持银行回执到西北大学采购与招标办公室换取收据。 待合同执行完毕、项目验收合格后凭验收单和缴款收据，合同履约保证金予以退还。如遇下列情况之一者，合同履约保证金不予退还，作为对采购人的赔偿：（1）合同签订后不能按合同时限要求提供服务的；（2）项目与合同不符或验收不合格的；（3）不能按合同履约的。</w:t>
            </w:r>
          </w:p>
          <w:p>
            <w:pPr>
              <w:pStyle w:val="null3"/>
            </w:pPr>
            <w:r>
              <w:rPr/>
              <w:t>采购包2：缴纳</w:t>
            </w:r>
          </w:p>
          <w:p>
            <w:pPr>
              <w:pStyle w:val="null3"/>
            </w:pPr>
            <w:r>
              <w:rPr/>
              <w:t>本采购包履约保证金为合同金额的5.0%</w:t>
            </w:r>
          </w:p>
          <w:p>
            <w:pPr>
              <w:pStyle w:val="null3"/>
            </w:pPr>
            <w:r>
              <w:rPr/>
              <w:t>说明：中标供应商在与采购人签订合同前，须缴纳履约保证金。 转账银行：交通银行太白路支行 转账账号：西北大学611301015018001145006 说明：转账金额到账后，可持银行回执到西北大学采购与招标办公室换取收据。 待合同执行完毕、项目验收合格后凭验收单和缴款收据，合同履约保证金予以退还。如遇下列情况之一者，合同履约保证金不予退还，作为对采购人的赔偿：（1）合同签订后不能按合同时限要求提供服务的；（2）项目与合同不符或验收不合格的；（3）不能按合同履约的。</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提交响应文件的截止之日起不少于</w:t>
            </w:r>
            <w:r>
              <w:rPr/>
              <w:t>120</w:t>
            </w:r>
            <w:r>
              <w:rPr/>
              <w:t>天。</w:t>
            </w:r>
          </w:p>
        </w:tc>
      </w:tr>
      <w:tr>
        <w:tc>
          <w:tcPr>
            <w:tcW w:type="dxa" w:w="1051"/>
          </w:tcPr>
          <w:p>
            <w:pPr>
              <w:pStyle w:val="null3"/>
            </w:pPr>
            <w:r>
              <w:rPr/>
              <w:t>13</w:t>
            </w:r>
          </w:p>
        </w:tc>
        <w:tc>
          <w:tcPr>
            <w:tcW w:type="dxa" w:w="2252"/>
          </w:tcPr>
          <w:p>
            <w:pPr>
              <w:pStyle w:val="null3"/>
            </w:pPr>
            <w:r>
              <w:rPr/>
              <w:t>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代理服务费收费标准：中标/成交供应商 代理服务费收费标准：参照国家计委颁布的《招标代理服务收费管理暂行办法》（计价格[2002]1980号）及发改办价格[2003]857号文件的规定各包以中标价为基础按货物类标准下浮20%收取，投标人在下载中标通知书时一次性缴清。</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允许。本项目允许采购进口产品，进口产品的清单详见第3章。</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p>
            <w:pPr>
              <w:pStyle w:val="null3"/>
            </w:pPr>
            <w:r>
              <w:rPr/>
              <w:t>采购包2：组织现场踏勘：否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出现下列情形之一的，采购人或者代理机构应当中止电子化采购活动，并保留相关证明材料备查：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2.2.1适用范围</w:t>
      </w:r>
    </w:p>
    <w:p>
      <w:pPr>
        <w:pStyle w:val="null3"/>
        <w:ind w:firstLine="480"/>
      </w:pPr>
      <w:r>
        <w:rPr/>
        <w:t>一、本竞争性谈判文件仅适用于本次竞争性谈判采购项目。</w:t>
      </w:r>
    </w:p>
    <w:p>
      <w:pPr>
        <w:pStyle w:val="null3"/>
        <w:ind w:firstLine="480"/>
      </w:pPr>
      <w:r>
        <w:rPr/>
        <w:t>二、本竞争性谈判文件的最终解释权由</w:t>
      </w:r>
      <w:r>
        <w:rPr/>
        <w:t>西北大学</w:t>
      </w:r>
      <w:r>
        <w:rPr/>
        <w:t>和</w:t>
      </w:r>
      <w:r>
        <w:rPr/>
        <w:t>陕西瑞通工程造价咨询有限公司</w:t>
      </w:r>
      <w:r>
        <w:rPr/>
        <w:t>享有。竞争性谈判文件中供应商参加本次政府采购活动应当具备的条件、技术清单、参数、商务及其他要求由</w:t>
      </w:r>
      <w:r>
        <w:rPr/>
        <w:t>西北大学</w:t>
      </w:r>
      <w:r>
        <w:rPr/>
        <w:t>负责解释。除上述竞争性谈判文件内容，其他内容由</w:t>
      </w:r>
      <w:r>
        <w:rPr/>
        <w:t>陕西瑞通工程造价咨询有限公司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一、“采购人”是指依法进行政府采购的各级国家机关、事业单位、团体组织。本次谈判的采购人是</w:t>
      </w:r>
      <w:r>
        <w:rPr/>
        <w:t>西北大学</w:t>
      </w:r>
      <w:r>
        <w:rPr/>
        <w:t>。</w:t>
      </w:r>
    </w:p>
    <w:p>
      <w:pPr>
        <w:pStyle w:val="null3"/>
        <w:ind w:firstLine="480"/>
      </w:pPr>
      <w:r>
        <w:rPr/>
        <w:t xml:space="preserve"> 二、“供应商”是指在按照采购公告规定获取谈判文件，拟参加响应和向采购人提供货物、工程或服务的法人、其他组织或自然人。</w:t>
      </w:r>
    </w:p>
    <w:p>
      <w:pPr>
        <w:pStyle w:val="null3"/>
        <w:ind w:firstLine="480"/>
      </w:pPr>
      <w:r>
        <w:rPr/>
        <w:t xml:space="preserve"> 三、“代理机构”是指集中采购机构和集中采购机构以外的代理机构。本项目的代理机构是</w:t>
      </w:r>
      <w:r>
        <w:rPr/>
        <w:t>陕西瑞通工程造价咨询有限公司</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五、“电子评审”是指通过项目电子化交易系统在线完成资格审查小组、谈判小组组建，开展资格和符合性审查、出具谈判报告、推荐成交候选供应商等活动。</w:t>
      </w:r>
    </w:p>
    <w:p>
      <w:pPr>
        <w:pStyle w:val="null3"/>
        <w:outlineLvl w:val="3"/>
      </w:pPr>
      <w:r>
        <w:rPr>
          <w:sz w:val="24"/>
          <w:b/>
        </w:rPr>
        <w:t>2.2.3响应费用（实质性要求）</w:t>
      </w:r>
    </w:p>
    <w:p>
      <w:pPr>
        <w:pStyle w:val="null3"/>
        <w:ind w:firstLine="480"/>
      </w:pPr>
      <w:r>
        <w:rPr/>
        <w:t>供应商应自行承担参加竞争性谈判采购活动的全部费用。</w:t>
      </w:r>
    </w:p>
    <w:p>
      <w:pPr>
        <w:pStyle w:val="null3"/>
        <w:outlineLvl w:val="2"/>
      </w:pPr>
      <w:r>
        <w:rPr>
          <w:sz w:val="28"/>
          <w:b/>
        </w:rPr>
        <w:t>2.3竞争性谈判文件</w:t>
      </w:r>
    </w:p>
    <w:p>
      <w:pPr>
        <w:pStyle w:val="null3"/>
        <w:outlineLvl w:val="3"/>
      </w:pPr>
      <w:r>
        <w:rPr>
          <w:sz w:val="24"/>
          <w:b/>
        </w:rPr>
        <w:t xml:space="preserve"> 2.3.1竞争性谈判文件的构成</w:t>
      </w:r>
    </w:p>
    <w:p>
      <w:pPr>
        <w:pStyle w:val="null3"/>
        <w:ind w:firstLine="480"/>
      </w:pPr>
      <w:r>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t>（一）竞争性谈判邀请；</w:t>
      </w:r>
    </w:p>
    <w:p>
      <w:pPr>
        <w:pStyle w:val="null3"/>
        <w:ind w:firstLine="480"/>
      </w:pPr>
      <w:r>
        <w:rPr/>
        <w:t>（二）供应商须知；</w:t>
      </w:r>
    </w:p>
    <w:p>
      <w:pPr>
        <w:pStyle w:val="null3"/>
        <w:ind w:firstLine="480"/>
      </w:pPr>
      <w:r>
        <w:rPr/>
        <w:t>（三）谈判项目技术、服务、商务及其他要求；</w:t>
      </w:r>
    </w:p>
    <w:p>
      <w:pPr>
        <w:pStyle w:val="null3"/>
        <w:ind w:firstLine="480"/>
      </w:pPr>
      <w:r>
        <w:rPr/>
        <w:t>（四）资格审查；</w:t>
      </w:r>
    </w:p>
    <w:p>
      <w:pPr>
        <w:pStyle w:val="null3"/>
        <w:ind w:firstLine="480"/>
      </w:pPr>
      <w:r>
        <w:rPr/>
        <w:t>（五）谈判过程中可实质性变动的内容；</w:t>
      </w:r>
    </w:p>
    <w:p>
      <w:pPr>
        <w:pStyle w:val="null3"/>
        <w:ind w:firstLine="480"/>
      </w:pPr>
      <w:r>
        <w:rPr/>
        <w:t>（六）谈判办法；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sz w:val="24"/>
          <w:b/>
        </w:rPr>
        <w:t xml:space="preserve"> 2.3.2竞争性谈判文件的澄清和修改</w:t>
      </w:r>
    </w:p>
    <w:p>
      <w:pPr>
        <w:pStyle w:val="null3"/>
        <w:ind w:firstLine="480"/>
      </w:pPr>
      <w:r>
        <w:rPr/>
        <w:t>一、在提交首次响应文件截止时间前，采购人或者代理机构可以对已发出的谈判文件进行必要的澄清或者修改。</w:t>
      </w:r>
    </w:p>
    <w:p>
      <w:pPr>
        <w:pStyle w:val="null3"/>
      </w:pPr>
      <w:r>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2.4.1响应文件的语言（实质性要求）</w:t>
      </w:r>
    </w:p>
    <w:p>
      <w:pPr>
        <w:pStyle w:val="null3"/>
        <w:ind w:firstLine="480"/>
      </w:pPr>
      <w:r>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除谈判文件中另有规定外，本项目均采用国家法定的计量单位。</w:t>
      </w:r>
    </w:p>
    <w:p>
      <w:pPr>
        <w:pStyle w:val="null3"/>
        <w:outlineLvl w:val="3"/>
      </w:pPr>
      <w:r>
        <w:rPr>
          <w:sz w:val="24"/>
          <w:b/>
        </w:rPr>
        <w:t>2.4.3响应货币）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四、构成本谈判文件的各组成部分，未经采购人书面同意，供应商不得擅自复印或用于非本谈判项目所需的其他目的。</w:t>
      </w:r>
    </w:p>
    <w:p>
      <w:pPr>
        <w:pStyle w:val="null3"/>
        <w:outlineLvl w:val="3"/>
      </w:pPr>
      <w:r>
        <w:rPr>
          <w:sz w:val="24"/>
          <w:b/>
        </w:rPr>
        <w:t>2.4.5响应文件的组成（实质性要求）</w:t>
      </w:r>
    </w:p>
    <w:p>
      <w:pPr>
        <w:pStyle w:val="null3"/>
        <w:ind w:firstLine="480"/>
      </w:pPr>
      <w:r>
        <w:rPr/>
        <w:t>供应商应按照谈判文件的规定和要求编制响应文件。</w:t>
      </w:r>
    </w:p>
    <w:p>
      <w:pPr>
        <w:pStyle w:val="null3"/>
        <w:ind w:firstLine="480"/>
        <w:jc w:val="left"/>
      </w:pPr>
      <w:r>
        <w:rPr/>
        <w:t>响应文件具体内容详见第七章。</w:t>
      </w:r>
    </w:p>
    <w:p>
      <w:pPr>
        <w:pStyle w:val="null3"/>
        <w:outlineLvl w:val="3"/>
      </w:pPr>
      <w:r>
        <w:rPr>
          <w:sz w:val="24"/>
          <w:b/>
        </w:rPr>
        <w:t>2.4.6响应文件格式</w:t>
      </w:r>
    </w:p>
    <w:p>
      <w:pPr>
        <w:pStyle w:val="null3"/>
        <w:ind w:firstLine="480"/>
      </w:pPr>
      <w:r>
        <w:rPr/>
        <w:t>1.供应商应按照谈判文件第七章中提供的“响应文件格式”填写相关内容。</w:t>
      </w:r>
    </w:p>
    <w:p>
      <w:pPr>
        <w:pStyle w:val="null3"/>
        <w:ind w:firstLine="480"/>
      </w:pPr>
      <w:r>
        <w:rPr/>
        <w:t>2.对于没有格式要求的响应文件由供应商自行编写。</w:t>
      </w:r>
    </w:p>
    <w:p>
      <w:pPr>
        <w:pStyle w:val="null3"/>
        <w:outlineLvl w:val="3"/>
      </w:pPr>
      <w:r>
        <w:rPr>
          <w:sz w:val="24"/>
          <w:b/>
        </w:rPr>
        <w:t>2.4.7响应报价（实质性要求）</w:t>
      </w:r>
    </w:p>
    <w:p>
      <w:pPr>
        <w:pStyle w:val="null3"/>
        <w:ind w:firstLine="480"/>
      </w:pPr>
      <w:r>
        <w:rPr/>
        <w:t xml:space="preserve"> 一、供应商的报价是其响应谈判项目要求的全部工作内容的价格体现，包括供应商完成本项目所需的一切费用。</w:t>
      </w:r>
    </w:p>
    <w:p>
      <w:pPr>
        <w:pStyle w:val="null3"/>
        <w:ind w:firstLine="480"/>
      </w:pPr>
      <w:r>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2.4.9响应文件的制作、签章和加密（实质性要求）</w:t>
      </w:r>
    </w:p>
    <w:p>
      <w:pPr>
        <w:pStyle w:val="null3"/>
        <w:ind w:firstLine="480"/>
      </w:pPr>
      <w:r>
        <w:rPr/>
        <w:t xml:space="preserve"> 一、响应文件应当根据谈判通知书进行编制。供应商应通过陕西省政府采购网-办事指南-CA及签章服务下载投标（响应）客户端，使用客户端编制响应文件。</w:t>
      </w:r>
    </w:p>
    <w:p>
      <w:pPr>
        <w:pStyle w:val="null3"/>
        <w:ind w:firstLine="480"/>
      </w:pPr>
      <w:r>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2.5开启、资格审查、谈判和确定成交供应商</w:t>
      </w:r>
    </w:p>
    <w:p>
      <w:pPr>
        <w:pStyle w:val="null3"/>
        <w:outlineLvl w:val="3"/>
      </w:pPr>
      <w:r>
        <w:rPr>
          <w:sz w:val="24"/>
          <w:b/>
        </w:rPr>
        <w:t>2.5.1谈判开启程序</w:t>
      </w:r>
    </w:p>
    <w:p>
      <w:pPr>
        <w:pStyle w:val="null3"/>
        <w:ind w:firstLine="480"/>
      </w:pPr>
      <w:r>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t>二、谈判开启准备工作</w:t>
      </w:r>
    </w:p>
    <w:p>
      <w:pPr>
        <w:pStyle w:val="null3"/>
        <w:ind w:firstLine="480"/>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详见谈判文件第四章。</w:t>
      </w:r>
    </w:p>
    <w:p>
      <w:pPr>
        <w:pStyle w:val="null3"/>
        <w:outlineLvl w:val="3"/>
      </w:pPr>
      <w:r>
        <w:rPr>
          <w:sz w:val="24"/>
          <w:b/>
        </w:rPr>
        <w:t>2.5.4谈判</w:t>
      </w:r>
    </w:p>
    <w:p>
      <w:pPr>
        <w:pStyle w:val="null3"/>
        <w:ind w:firstLine="480"/>
      </w:pPr>
      <w:r>
        <w:rPr/>
        <w:t>详见谈判文件第六章。</w:t>
      </w:r>
    </w:p>
    <w:p>
      <w:pPr>
        <w:pStyle w:val="null3"/>
        <w:outlineLvl w:val="3"/>
      </w:pPr>
      <w:r>
        <w:rPr>
          <w:sz w:val="24"/>
          <w:b/>
        </w:rPr>
        <w:t>2.5.5、成交通知书</w:t>
      </w:r>
    </w:p>
    <w:p>
      <w:pPr>
        <w:pStyle w:val="null3"/>
        <w:ind w:firstLine="480"/>
      </w:pPr>
      <w:r>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二、采购人和成交供应商签订的采购合同不得对谈判文件确定的事项以及成交供应商的响应文件作实质性修改。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 xml:space="preserve"> 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pPr>
      <w:r>
        <w:rPr/>
        <w:t>采购包2：不允许合同分包。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sz w:val="28"/>
          <w:b/>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2"/>
      </w:pPr>
      <w:r>
        <w:rPr>
          <w:sz w:val="28"/>
          <w:b/>
        </w:rPr>
        <w:t>2.6.7履约验收方案</w:t>
      </w:r>
    </w:p>
    <w:p>
      <w:pPr>
        <w:pStyle w:val="null3"/>
      </w:pPr>
      <w:r>
        <w:rPr/>
        <w:t>采购包1：</w:t>
      </w:r>
    </w:p>
    <w:p>
      <w:pPr>
        <w:pStyle w:val="null3"/>
      </w:pPr>
      <w:r>
        <w:rPr/>
        <w:t>根据谈判文件、响应文件及合同约定执行。</w:t>
      </w:r>
    </w:p>
    <w:p>
      <w:pPr>
        <w:pStyle w:val="null3"/>
      </w:pPr>
      <w:r>
        <w:rPr/>
        <w:t>采购包2：</w:t>
      </w:r>
    </w:p>
    <w:p>
      <w:pPr>
        <w:pStyle w:val="null3"/>
      </w:pPr>
      <w:r>
        <w:rPr/>
        <w:t>根据谈判文件、响应文件及合同约定执行</w:t>
      </w:r>
    </w:p>
    <w:p>
      <w:pPr>
        <w:pStyle w:val="null3"/>
        <w:outlineLvl w:val="2"/>
      </w:pPr>
      <w:r>
        <w:rPr>
          <w:sz w:val="28"/>
          <w:b/>
        </w:rPr>
        <w:t>2.6.8资金支付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2.7.1谈判活动纪律要求</w:t>
      </w:r>
    </w:p>
    <w:p>
      <w:pPr>
        <w:pStyle w:val="null3"/>
        <w:ind w:firstLine="480"/>
      </w:pPr>
      <w:r>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t>对各供应商的商业秘密，谈判小组成员应予以保密，不得泄露给其他供应商。</w:t>
      </w:r>
    </w:p>
    <w:p>
      <w:pPr>
        <w:pStyle w:val="null3"/>
        <w:outlineLvl w:val="3"/>
      </w:pPr>
      <w:r>
        <w:rPr>
          <w:sz w:val="24"/>
          <w:b/>
        </w:rPr>
        <w:t>2.7.2供应商不得具有的情形（实质性要求）</w:t>
      </w:r>
    </w:p>
    <w:p>
      <w:pPr>
        <w:pStyle w:val="null3"/>
        <w:ind w:firstLine="480"/>
      </w:pPr>
      <w:r>
        <w:rPr/>
        <w:t>供应商参加谈判不得有下列情形：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（二）不同供应商委托同一单位或者个人办理谈判事宜；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五、向采购人或代理机构、谈判小组成员行贿或者提供其他不正当利益；</w:t>
      </w:r>
    </w:p>
    <w:p>
      <w:pPr>
        <w:pStyle w:val="null3"/>
        <w:ind w:firstLine="480"/>
      </w:pPr>
      <w:r>
        <w:rPr/>
        <w:t>六、在谈判过程中与采购人或代理机构进行协商谈判；</w:t>
      </w:r>
    </w:p>
    <w:p>
      <w:pPr>
        <w:pStyle w:val="null3"/>
        <w:ind w:firstLine="480"/>
      </w:pPr>
      <w:r>
        <w:rPr/>
        <w:t>七、成交后无正当理由拒不与采购人签订政府采购合同；</w:t>
      </w:r>
    </w:p>
    <w:p>
      <w:pPr>
        <w:pStyle w:val="null3"/>
        <w:ind w:firstLine="480"/>
      </w:pPr>
      <w:r>
        <w:rPr/>
        <w:t>八、未按照谈判文件确定的事项签订政府采购合同；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供应商有上述情形的，按照规定追究法律责任，具有前述一至十三条情形之一的，其响应文件无效，或取消被确认为成交供应商的资格或认定成交无效。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陕西瑞通工程造价咨询有限公司</w:t>
      </w:r>
      <w:r>
        <w:rPr/>
        <w:t xml:space="preserve"> 负责答复；供应商对除采购需求外的采购文件的询问、质疑由</w:t>
      </w:r>
      <w:r>
        <w:rPr/>
        <w:t>陕西瑞通工程造价咨询有限公司</w:t>
      </w:r>
      <w:r>
        <w:rPr/>
        <w:t xml:space="preserve"> 负责答复；供应商对采购过程、采购结果的询问、质疑由 </w:t>
      </w:r>
      <w:r>
        <w:rPr/>
        <w:t>陕西瑞通工程造价咨询有限公司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pPr>
      <w:r>
        <w:rPr/>
        <w:t>答复主体：代理机构</w:t>
      </w:r>
    </w:p>
    <w:p>
      <w:pPr>
        <w:pStyle w:val="null3"/>
      </w:pPr>
      <w:r>
        <w:rPr/>
        <w:t>联系人：贾堃 喻涛</w:t>
      </w:r>
    </w:p>
    <w:p>
      <w:pPr>
        <w:pStyle w:val="null3"/>
      </w:pPr>
      <w:r>
        <w:rPr/>
        <w:t>联系电话：029-88224132</w:t>
      </w:r>
    </w:p>
    <w:p>
      <w:pPr>
        <w:pStyle w:val="null3"/>
      </w:pPr>
      <w:r>
        <w:rPr/>
        <w:t>地址：西安市高新区科技路30号合力紫郡A座2204室</w:t>
      </w:r>
    </w:p>
    <w:p>
      <w:pPr>
        <w:pStyle w:val="null3"/>
      </w:pPr>
      <w:r>
        <w:rPr/>
        <w:t>邮编：710075</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（五）针对质疑事项必要的证明材料（针对谈判文件提出的质疑，需提交从项目电子化交易系统获取的谈判文件回执单）。</w:t>
      </w:r>
    </w:p>
    <w:p>
      <w:pPr>
        <w:pStyle w:val="null3"/>
        <w:ind w:firstLine="480"/>
      </w:pPr>
      <w:r>
        <w:rPr/>
        <w:t>注：根据《中华人民共和国政府采购法》的规定，供应商质疑不得超出谈判文件、采购过程、采购结果的范围。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t xml:space="preserve"> </w:t>
        <w:br/>
        <w:br w:type="page"/>
      </w:r>
    </w:p>
    <w:p>
      <w:pPr>
        <w:pStyle w:val="null3"/>
        <w:jc w:val="center"/>
        <w:outlineLvl w:val="1"/>
      </w:pPr>
      <w:r>
        <w:rPr>
          <w:sz w:val="36"/>
          <w:b/>
        </w:rPr>
        <w:t>第三章 谈判项目技术、服务、商务及其他要求</w:t>
      </w:r>
    </w:p>
    <w:p>
      <w:pPr>
        <w:pStyle w:val="null3"/>
        <w:ind w:firstLine="480"/>
      </w:pPr>
      <w:r>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西北大学拟采购万能材料试验机1套，原子力显微镜1套，采购预算2525800元。</w:t>
      </w:r>
    </w:p>
    <w:p>
      <w:pPr>
        <w:pStyle w:val="null3"/>
        <w:outlineLvl w:val="2"/>
      </w:pPr>
      <w:r>
        <w:rPr>
          <w:sz w:val="28"/>
          <w:b/>
        </w:rPr>
        <w:t>3.2采购内容</w:t>
      </w:r>
    </w:p>
    <w:p>
      <w:pPr>
        <w:pStyle w:val="null3"/>
      </w:pPr>
      <w:r>
        <w:rPr/>
        <w:t>采购包1：</w:t>
      </w:r>
    </w:p>
    <w:p>
      <w:pPr>
        <w:pStyle w:val="null3"/>
      </w:pPr>
      <w:r>
        <w:rPr/>
        <w:t>采购包预算金额（元）: 1,606,000.00</w:t>
      </w:r>
    </w:p>
    <w:p>
      <w:pPr>
        <w:pStyle w:val="null3"/>
      </w:pPr>
      <w:r>
        <w:rPr/>
        <w:t>采购包最高限价（元）: 1,606,000.00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万能材料试验机</w:t>
            </w:r>
          </w:p>
        </w:tc>
        <w:tc>
          <w:tcPr>
            <w:tcW w:type="dxa" w:w="831"/>
          </w:tcPr>
          <w:p>
            <w:pPr>
              <w:pStyle w:val="null3"/>
              <w:jc w:val="right"/>
            </w:pPr>
            <w:r>
              <w:rPr/>
              <w:t>1.00</w:t>
            </w:r>
          </w:p>
        </w:tc>
        <w:tc>
          <w:tcPr>
            <w:tcW w:type="dxa" w:w="831"/>
          </w:tcPr>
          <w:p>
            <w:pPr>
              <w:pStyle w:val="null3"/>
              <w:jc w:val="right"/>
            </w:pPr>
            <w:r>
              <w:rPr/>
              <w:t>1,606,000.00</w:t>
            </w:r>
          </w:p>
        </w:tc>
        <w:tc>
          <w:tcPr>
            <w:tcW w:type="dxa" w:w="831"/>
          </w:tcPr>
          <w:p>
            <w:pPr>
              <w:pStyle w:val="null3"/>
            </w:pPr>
            <w:r>
              <w:rPr/>
              <w:t>套</w:t>
            </w:r>
          </w:p>
        </w:tc>
        <w:tc>
          <w:tcPr>
            <w:tcW w:type="dxa" w:w="831"/>
          </w:tcPr>
          <w:p>
            <w:pPr>
              <w:pStyle w:val="null3"/>
            </w:pPr>
            <w:r>
              <w:rPr/>
              <w:t>工业</w:t>
            </w:r>
          </w:p>
        </w:tc>
        <w:tc>
          <w:tcPr>
            <w:tcW w:type="dxa" w:w="831"/>
          </w:tcPr>
          <w:p>
            <w:pPr>
              <w:pStyle w:val="null3"/>
            </w:pPr>
            <w:r>
              <w:rPr/>
              <w:t>是</w:t>
            </w:r>
          </w:p>
        </w:tc>
        <w:tc>
          <w:tcPr>
            <w:tcW w:type="dxa" w:w="831"/>
          </w:tcPr>
          <w:p>
            <w:pPr>
              <w:pStyle w:val="null3"/>
            </w:pPr>
            <w:r>
              <w:rPr/>
              <w:t>是</w:t>
            </w:r>
          </w:p>
        </w:tc>
        <w:tc>
          <w:tcPr>
            <w:tcW w:type="dxa" w:w="831"/>
          </w:tcPr>
          <w:p>
            <w:pPr>
              <w:pStyle w:val="null3"/>
            </w:pPr>
            <w:r>
              <w:rPr/>
              <w:t>否</w:t>
            </w:r>
          </w:p>
        </w:tc>
        <w:tc>
          <w:tcPr>
            <w:tcW w:type="dxa" w:w="831"/>
          </w:tcPr>
          <w:p>
            <w:pPr>
              <w:pStyle w:val="null3"/>
            </w:pPr>
            <w:r>
              <w:rPr/>
              <w:t>否</w:t>
            </w:r>
          </w:p>
        </w:tc>
      </w:tr>
    </w:tbl>
    <w:p>
      <w:pPr>
        <w:pStyle w:val="null3"/>
      </w:pPr>
      <w:r>
        <w:rPr/>
        <w:t>采购包2：</w:t>
      </w:r>
    </w:p>
    <w:p>
      <w:pPr>
        <w:pStyle w:val="null3"/>
      </w:pPr>
      <w:r>
        <w:rPr/>
        <w:t>采购包预算金额（元）: 919,800.00</w:t>
      </w:r>
    </w:p>
    <w:p>
      <w:pPr>
        <w:pStyle w:val="null3"/>
      </w:pPr>
      <w:r>
        <w:rPr/>
        <w:t>采购包最高限价（元）: 919,800.00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 xml:space="preserve"> 原子力显微镜</w:t>
            </w:r>
          </w:p>
        </w:tc>
        <w:tc>
          <w:tcPr>
            <w:tcW w:type="dxa" w:w="831"/>
          </w:tcPr>
          <w:p>
            <w:pPr>
              <w:pStyle w:val="null3"/>
              <w:jc w:val="right"/>
            </w:pPr>
            <w:r>
              <w:rPr/>
              <w:t>1.00</w:t>
            </w:r>
          </w:p>
        </w:tc>
        <w:tc>
          <w:tcPr>
            <w:tcW w:type="dxa" w:w="831"/>
          </w:tcPr>
          <w:p>
            <w:pPr>
              <w:pStyle w:val="null3"/>
              <w:jc w:val="right"/>
            </w:pPr>
            <w:r>
              <w:rPr/>
              <w:t>919,800.00</w:t>
            </w:r>
          </w:p>
        </w:tc>
        <w:tc>
          <w:tcPr>
            <w:tcW w:type="dxa" w:w="831"/>
          </w:tcPr>
          <w:p>
            <w:pPr>
              <w:pStyle w:val="null3"/>
            </w:pPr>
            <w:r>
              <w:rPr/>
              <w:t>套</w:t>
            </w:r>
          </w:p>
        </w:tc>
        <w:tc>
          <w:tcPr>
            <w:tcW w:type="dxa" w:w="831"/>
          </w:tcPr>
          <w:p>
            <w:pPr>
              <w:pStyle w:val="null3"/>
            </w:pPr>
            <w:r>
              <w:rPr/>
              <w:t>工业</w:t>
            </w:r>
          </w:p>
        </w:tc>
        <w:tc>
          <w:tcPr>
            <w:tcW w:type="dxa" w:w="831"/>
          </w:tcPr>
          <w:p>
            <w:pPr>
              <w:pStyle w:val="null3"/>
            </w:pPr>
            <w:r>
              <w:rPr/>
              <w:t>是</w:t>
            </w:r>
          </w:p>
        </w:tc>
        <w:tc>
          <w:tcPr>
            <w:tcW w:type="dxa" w:w="831"/>
          </w:tcPr>
          <w:p>
            <w:pPr>
              <w:pStyle w:val="null3"/>
            </w:pPr>
            <w:r>
              <w:rPr/>
              <w:t>是</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标的名称：万能材料试验机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60"/>
              <w:gridCol w:w="315"/>
              <w:gridCol w:w="1576"/>
              <w:gridCol w:w="232"/>
              <w:gridCol w:w="166"/>
            </w:tblGrid>
            <w:tr>
              <w:tc>
                <w:tcPr>
                  <w:tcW w:type="dxa" w:w="2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微软雅黑" w:hAnsi="微软雅黑" w:cs="微软雅黑" w:eastAsia="微软雅黑"/>
                      <w:sz w:val="28"/>
                      <w:b/>
                    </w:rPr>
                    <w:t>序</w:t>
                  </w:r>
                  <w:r>
                    <w:rPr>
                      <w:rFonts w:ascii="仿宋_gb2312" w:hAnsi="仿宋_gb2312" w:cs="仿宋_gb2312" w:eastAsia="仿宋_gb2312"/>
                      <w:sz w:val="28"/>
                      <w:b/>
                    </w:rPr>
                    <w:t>号</w:t>
                  </w:r>
                </w:p>
              </w:tc>
              <w:tc>
                <w:tcPr>
                  <w:tcW w:type="dxa" w:w="31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rPr>
                    <w:t>货物名称</w:t>
                  </w:r>
                </w:p>
              </w:tc>
              <w:tc>
                <w:tcPr>
                  <w:tcW w:type="dxa" w:w="157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rPr>
                    <w:t>技术参数</w:t>
                  </w:r>
                </w:p>
              </w:tc>
              <w:tc>
                <w:tcPr>
                  <w:tcW w:type="dxa" w:w="23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微软雅黑" w:hAnsi="微软雅黑" w:cs="微软雅黑" w:eastAsia="微软雅黑"/>
                      <w:sz w:val="28"/>
                      <w:b/>
                    </w:rPr>
                    <w:t>数</w:t>
                  </w:r>
                  <w:r>
                    <w:rPr>
                      <w:rFonts w:ascii="仿宋_gb2312" w:hAnsi="仿宋_gb2312" w:cs="仿宋_gb2312" w:eastAsia="仿宋_gb2312"/>
                      <w:sz w:val="28"/>
                      <w:b/>
                    </w:rPr>
                    <w:t>量</w:t>
                  </w:r>
                </w:p>
              </w:tc>
              <w:tc>
                <w:tcPr>
                  <w:tcW w:type="dxa" w:w="16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微软雅黑" w:hAnsi="微软雅黑" w:cs="微软雅黑" w:eastAsia="微软雅黑"/>
                      <w:sz w:val="28"/>
                      <w:b/>
                    </w:rPr>
                    <w:t>单</w:t>
                  </w:r>
                  <w:r>
                    <w:rPr>
                      <w:rFonts w:ascii="仿宋_gb2312" w:hAnsi="仿宋_gb2312" w:cs="仿宋_gb2312" w:eastAsia="仿宋_gb2312"/>
                      <w:sz w:val="28"/>
                      <w:b/>
                    </w:rPr>
                    <w:t>位</w:t>
                  </w:r>
                </w:p>
              </w:tc>
            </w:tr>
            <w:tr>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p>
              </w:tc>
              <w:tc>
                <w:tcPr>
                  <w:tcW w:type="dxa" w:w="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万能材料试验机</w:t>
                  </w:r>
                </w:p>
              </w:tc>
              <w:tc>
                <w:tcPr>
                  <w:tcW w:type="dxa" w:w="15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一、主机框架要求</w:t>
                  </w:r>
                </w:p>
                <w:p>
                  <w:pPr>
                    <w:pStyle w:val="null3"/>
                    <w:jc w:val="both"/>
                  </w:pPr>
                  <w:r>
                    <w:rPr>
                      <w:rFonts w:ascii="calibri" w:hAnsi="calibri" w:cs="calibri" w:eastAsia="calibri"/>
                      <w:sz w:val="21"/>
                    </w:rPr>
                    <w:t>1</w:t>
                  </w:r>
                  <w:r>
                    <w:rPr>
                      <w:rFonts w:ascii="calibri" w:hAnsi="calibri" w:cs="calibri" w:eastAsia="calibri"/>
                      <w:sz w:val="21"/>
                    </w:rPr>
                    <w:t xml:space="preserve">. </w:t>
                  </w:r>
                  <w:r>
                    <w:rPr>
                      <w:rFonts w:ascii="宋体" w:hAnsi="宋体" w:cs="宋体" w:eastAsia="宋体"/>
                      <w:sz w:val="21"/>
                    </w:rPr>
                    <w:t>主机结构：双立柱落地式主机</w:t>
                  </w:r>
                </w:p>
                <w:p>
                  <w:pPr>
                    <w:pStyle w:val="null3"/>
                    <w:jc w:val="both"/>
                  </w:pPr>
                  <w:r>
                    <w:rPr>
                      <w:rFonts w:ascii="calibri" w:hAnsi="calibri" w:cs="calibri" w:eastAsia="calibri"/>
                      <w:sz w:val="21"/>
                    </w:rPr>
                    <w:t>2</w:t>
                  </w:r>
                  <w:r>
                    <w:rPr>
                      <w:rFonts w:ascii="calibri" w:hAnsi="calibri" w:cs="calibri" w:eastAsia="calibri"/>
                      <w:sz w:val="21"/>
                    </w:rPr>
                    <w:t xml:space="preserve">. </w:t>
                  </w:r>
                  <w:r>
                    <w:rPr>
                      <w:rFonts w:ascii="宋体" w:hAnsi="宋体" w:cs="宋体" w:eastAsia="宋体"/>
                      <w:sz w:val="21"/>
                    </w:rPr>
                    <w:t>最大载荷：</w:t>
                  </w:r>
                  <w:r>
                    <w:rPr>
                      <w:rFonts w:ascii="宋体" w:hAnsi="宋体" w:cs="宋体" w:eastAsia="宋体"/>
                      <w:sz w:val="21"/>
                    </w:rPr>
                    <w:t>≥</w:t>
                  </w:r>
                  <w:r>
                    <w:rPr>
                      <w:rFonts w:ascii="calibri" w:hAnsi="calibri" w:cs="calibri" w:eastAsia="calibri"/>
                      <w:sz w:val="21"/>
                    </w:rPr>
                    <w:t>100 kN</w:t>
                  </w:r>
                </w:p>
                <w:p>
                  <w:pPr>
                    <w:pStyle w:val="null3"/>
                    <w:jc w:val="both"/>
                  </w:pPr>
                  <w:r>
                    <w:rPr>
                      <w:rFonts w:ascii="calibri" w:hAnsi="calibri" w:cs="calibri" w:eastAsia="calibri"/>
                      <w:sz w:val="21"/>
                    </w:rPr>
                    <w:t>3</w:t>
                  </w:r>
                  <w:r>
                    <w:rPr>
                      <w:rFonts w:ascii="calibri" w:hAnsi="calibri" w:cs="calibri" w:eastAsia="calibri"/>
                      <w:sz w:val="21"/>
                    </w:rPr>
                    <w:t xml:space="preserve">. </w:t>
                  </w:r>
                  <w:r>
                    <w:rPr>
                      <w:rFonts w:ascii="宋体" w:hAnsi="宋体" w:cs="宋体" w:eastAsia="宋体"/>
                      <w:sz w:val="21"/>
                    </w:rPr>
                    <w:t>试验空间：横梁底部至工作台距离不小于</w:t>
                  </w:r>
                  <w:r>
                    <w:rPr>
                      <w:rFonts w:ascii="calibri" w:hAnsi="calibri" w:cs="calibri" w:eastAsia="calibri"/>
                      <w:sz w:val="21"/>
                    </w:rPr>
                    <w:t>1250mm</w:t>
                  </w:r>
                  <w:r>
                    <w:rPr>
                      <w:rFonts w:ascii="宋体" w:hAnsi="宋体" w:cs="宋体" w:eastAsia="宋体"/>
                      <w:sz w:val="21"/>
                    </w:rPr>
                    <w:t>，试验空间宽度不小于</w:t>
                  </w:r>
                  <w:r>
                    <w:rPr>
                      <w:rFonts w:ascii="calibri" w:hAnsi="calibri" w:cs="calibri" w:eastAsia="calibri"/>
                      <w:sz w:val="21"/>
                    </w:rPr>
                    <w:t>600mm</w:t>
                  </w:r>
                </w:p>
                <w:p>
                  <w:pPr>
                    <w:pStyle w:val="null3"/>
                    <w:jc w:val="both"/>
                  </w:pPr>
                  <w:r>
                    <w:rPr>
                      <w:rFonts w:ascii="calibri" w:hAnsi="calibri" w:cs="calibri" w:eastAsia="calibri"/>
                      <w:sz w:val="21"/>
                    </w:rPr>
                    <w:t>4</w:t>
                  </w:r>
                  <w:r>
                    <w:rPr>
                      <w:rFonts w:ascii="calibri" w:hAnsi="calibri" w:cs="calibri" w:eastAsia="calibri"/>
                      <w:sz w:val="21"/>
                    </w:rPr>
                    <w:t xml:space="preserve">. </w:t>
                  </w:r>
                  <w:r>
                    <w:rPr>
                      <w:rFonts w:ascii="宋体" w:hAnsi="宋体" w:cs="宋体" w:eastAsia="宋体"/>
                      <w:sz w:val="21"/>
                    </w:rPr>
                    <w:t>主机刚度：不小于</w:t>
                  </w:r>
                  <w:r>
                    <w:rPr>
                      <w:rFonts w:ascii="calibri" w:hAnsi="calibri" w:cs="calibri" w:eastAsia="calibri"/>
                      <w:sz w:val="21"/>
                    </w:rPr>
                    <w:t>300 kN/mm</w:t>
                  </w:r>
                  <w:r>
                    <w:rPr>
                      <w:rFonts w:ascii="宋体" w:hAnsi="宋体" w:cs="宋体" w:eastAsia="宋体"/>
                      <w:sz w:val="21"/>
                    </w:rPr>
                    <w:t>，</w:t>
                  </w:r>
                  <w:r>
                    <w:rPr>
                      <w:rFonts w:ascii="宋体" w:hAnsi="宋体" w:cs="宋体" w:eastAsia="宋体"/>
                      <w:sz w:val="21"/>
                      <w:b/>
                    </w:rPr>
                    <w:t>提供相关证明材料（不限于官网截图、产品彩页、技术白皮书等）</w:t>
                  </w:r>
                </w:p>
                <w:p>
                  <w:pPr>
                    <w:pStyle w:val="null3"/>
                    <w:jc w:val="both"/>
                  </w:pPr>
                  <w:r>
                    <w:rPr>
                      <w:rFonts w:ascii="calibri" w:hAnsi="calibri" w:cs="calibri" w:eastAsia="calibri"/>
                      <w:sz w:val="21"/>
                    </w:rPr>
                    <w:t>5</w:t>
                  </w:r>
                  <w:r>
                    <w:rPr>
                      <w:rFonts w:ascii="calibri" w:hAnsi="calibri" w:cs="calibri" w:eastAsia="calibri"/>
                      <w:sz w:val="21"/>
                    </w:rPr>
                    <w:t>.</w:t>
                  </w:r>
                  <w:r>
                    <w:rPr>
                      <w:rFonts w:ascii="宋体" w:hAnsi="宋体" w:cs="宋体" w:eastAsia="宋体"/>
                      <w:sz w:val="21"/>
                    </w:rPr>
                    <w:t>横梁位移检测精度：指示值</w:t>
                  </w:r>
                  <w:r>
                    <w:rPr>
                      <w:rFonts w:ascii="calibri" w:hAnsi="calibri" w:cs="calibri" w:eastAsia="calibri"/>
                      <w:sz w:val="21"/>
                    </w:rPr>
                    <w:t>±0.05%</w:t>
                  </w:r>
                  <w:r>
                    <w:rPr>
                      <w:rFonts w:ascii="宋体" w:hAnsi="宋体" w:cs="宋体" w:eastAsia="宋体"/>
                      <w:sz w:val="21"/>
                    </w:rPr>
                    <w:t>以内，当指示值在</w:t>
                  </w:r>
                  <w:r>
                    <w:rPr>
                      <w:rFonts w:ascii="calibri" w:hAnsi="calibri" w:cs="calibri" w:eastAsia="calibri"/>
                      <w:sz w:val="21"/>
                    </w:rPr>
                    <w:t>20mm</w:t>
                  </w:r>
                  <w:r>
                    <w:rPr>
                      <w:rFonts w:ascii="宋体" w:hAnsi="宋体" w:cs="宋体" w:eastAsia="宋体"/>
                      <w:sz w:val="21"/>
                    </w:rPr>
                    <w:t>以下时，精度应</w:t>
                  </w:r>
                  <w:r>
                    <w:rPr>
                      <w:rFonts w:ascii="宋体" w:hAnsi="宋体" w:cs="宋体" w:eastAsia="宋体"/>
                      <w:sz w:val="21"/>
                    </w:rPr>
                    <w:t>≤</w:t>
                  </w:r>
                  <w:r>
                    <w:rPr>
                      <w:rFonts w:ascii="calibri" w:hAnsi="calibri" w:cs="calibri" w:eastAsia="calibri"/>
                      <w:sz w:val="21"/>
                    </w:rPr>
                    <w:t>±0.0</w:t>
                  </w:r>
                  <w:r>
                    <w:rPr>
                      <w:rFonts w:ascii="calibri" w:hAnsi="calibri" w:cs="calibri" w:eastAsia="calibri"/>
                      <w:sz w:val="21"/>
                    </w:rPr>
                    <w:t>3</w:t>
                  </w:r>
                  <w:r>
                    <w:rPr>
                      <w:rFonts w:ascii="calibri" w:hAnsi="calibri" w:cs="calibri" w:eastAsia="calibri"/>
                      <w:sz w:val="21"/>
                    </w:rPr>
                    <w:t>mm</w:t>
                  </w:r>
                  <w:r>
                    <w:rPr>
                      <w:rFonts w:ascii="宋体" w:hAnsi="宋体" w:cs="宋体" w:eastAsia="宋体"/>
                      <w:sz w:val="21"/>
                    </w:rPr>
                    <w:t>，</w:t>
                  </w:r>
                  <w:r>
                    <w:rPr>
                      <w:rFonts w:ascii="宋体" w:hAnsi="宋体" w:cs="宋体" w:eastAsia="宋体"/>
                      <w:sz w:val="21"/>
                      <w:b/>
                    </w:rPr>
                    <w:t>提供相关证明材料（不限于官网截图、产品彩页、技术白皮书等）</w:t>
                  </w:r>
                </w:p>
                <w:p>
                  <w:pPr>
                    <w:pStyle w:val="null3"/>
                    <w:jc w:val="both"/>
                  </w:pPr>
                  <w:r>
                    <w:rPr>
                      <w:rFonts w:ascii="calibri" w:hAnsi="calibri" w:cs="calibri" w:eastAsia="calibri"/>
                      <w:sz w:val="21"/>
                    </w:rPr>
                    <w:t>6</w:t>
                  </w:r>
                  <w:r>
                    <w:rPr>
                      <w:rFonts w:ascii="calibri" w:hAnsi="calibri" w:cs="calibri" w:eastAsia="calibri"/>
                      <w:sz w:val="21"/>
                    </w:rPr>
                    <w:t>.</w:t>
                  </w:r>
                  <w:r>
                    <w:rPr>
                      <w:rFonts w:ascii="宋体" w:hAnsi="宋体" w:cs="宋体" w:eastAsia="宋体"/>
                      <w:sz w:val="21"/>
                    </w:rPr>
                    <w:t>试验加载速度：满载荷下达到</w:t>
                  </w:r>
                  <w:r>
                    <w:rPr>
                      <w:rFonts w:ascii="calibri" w:hAnsi="calibri" w:cs="calibri" w:eastAsia="calibri"/>
                      <w:sz w:val="21"/>
                    </w:rPr>
                    <w:t>0.00005~1</w:t>
                  </w:r>
                  <w:r>
                    <w:rPr>
                      <w:rFonts w:ascii="calibri" w:hAnsi="calibri" w:cs="calibri" w:eastAsia="calibri"/>
                      <w:sz w:val="21"/>
                    </w:rPr>
                    <w:t>45</w:t>
                  </w:r>
                  <w:r>
                    <w:rPr>
                      <w:rFonts w:ascii="calibri" w:hAnsi="calibri" w:cs="calibri" w:eastAsia="calibri"/>
                      <w:sz w:val="21"/>
                    </w:rPr>
                    <w:t>0 mm/min</w:t>
                  </w:r>
                  <w:r>
                    <w:rPr>
                      <w:rFonts w:ascii="宋体" w:hAnsi="宋体" w:cs="宋体" w:eastAsia="宋体"/>
                      <w:sz w:val="21"/>
                      <w:b/>
                    </w:rPr>
                    <w:t>提供相关证明材料（不限于官网截图、产品彩页、技术白皮书等）</w:t>
                  </w:r>
                </w:p>
                <w:p>
                  <w:pPr>
                    <w:pStyle w:val="null3"/>
                    <w:jc w:val="both"/>
                  </w:pPr>
                  <w:r>
                    <w:rPr>
                      <w:rFonts w:ascii="calibri" w:hAnsi="calibri" w:cs="calibri" w:eastAsia="calibri"/>
                      <w:sz w:val="21"/>
                    </w:rPr>
                    <w:t>7</w:t>
                  </w:r>
                  <w:r>
                    <w:rPr>
                      <w:rFonts w:ascii="calibri" w:hAnsi="calibri" w:cs="calibri" w:eastAsia="calibri"/>
                      <w:sz w:val="21"/>
                    </w:rPr>
                    <w:t>.</w:t>
                  </w:r>
                  <w:r>
                    <w:rPr>
                      <w:rFonts w:ascii="宋体" w:hAnsi="宋体" w:cs="宋体" w:eastAsia="宋体"/>
                      <w:sz w:val="21"/>
                    </w:rPr>
                    <w:t>试验返回速度：</w:t>
                  </w:r>
                  <w:r>
                    <w:rPr>
                      <w:rFonts w:ascii="宋体" w:hAnsi="宋体" w:cs="宋体" w:eastAsia="宋体"/>
                      <w:sz w:val="21"/>
                    </w:rPr>
                    <w:t>≥</w:t>
                  </w:r>
                  <w:r>
                    <w:rPr>
                      <w:rFonts w:ascii="calibri" w:hAnsi="calibri" w:cs="calibri" w:eastAsia="calibri"/>
                      <w:sz w:val="21"/>
                    </w:rPr>
                    <w:t>1</w:t>
                  </w:r>
                  <w:r>
                    <w:rPr>
                      <w:rFonts w:ascii="calibri" w:hAnsi="calibri" w:cs="calibri" w:eastAsia="calibri"/>
                      <w:sz w:val="21"/>
                    </w:rPr>
                    <w:t>75</w:t>
                  </w:r>
                  <w:r>
                    <w:rPr>
                      <w:rFonts w:ascii="calibri" w:hAnsi="calibri" w:cs="calibri" w:eastAsia="calibri"/>
                      <w:sz w:val="21"/>
                    </w:rPr>
                    <w:t>0 mm/min</w:t>
                  </w:r>
                  <w:r>
                    <w:rPr>
                      <w:rFonts w:ascii="宋体" w:hAnsi="宋体" w:cs="宋体" w:eastAsia="宋体"/>
                      <w:sz w:val="21"/>
                    </w:rPr>
                    <w:t>，</w:t>
                  </w:r>
                  <w:r>
                    <w:rPr>
                      <w:rFonts w:ascii="宋体" w:hAnsi="宋体" w:cs="宋体" w:eastAsia="宋体"/>
                      <w:sz w:val="21"/>
                      <w:b/>
                    </w:rPr>
                    <w:t>提供相关证明材料（不限于官网截图、产品彩页、技术白皮书等）</w:t>
                  </w:r>
                </w:p>
                <w:p>
                  <w:pPr>
                    <w:pStyle w:val="null3"/>
                    <w:jc w:val="both"/>
                  </w:pPr>
                  <w:r>
                    <w:rPr>
                      <w:rFonts w:ascii="calibri" w:hAnsi="calibri" w:cs="calibri" w:eastAsia="calibri"/>
                      <w:sz w:val="21"/>
                    </w:rPr>
                    <w:t>8</w:t>
                  </w:r>
                  <w:r>
                    <w:rPr>
                      <w:rFonts w:ascii="calibri" w:hAnsi="calibri" w:cs="calibri" w:eastAsia="calibri"/>
                      <w:sz w:val="21"/>
                    </w:rPr>
                    <w:t xml:space="preserve">. </w:t>
                  </w:r>
                  <w:r>
                    <w:rPr>
                      <w:rFonts w:ascii="宋体" w:hAnsi="宋体" w:cs="宋体" w:eastAsia="宋体"/>
                      <w:sz w:val="21"/>
                    </w:rPr>
                    <w:t>试验速度精度：</w:t>
                  </w:r>
                  <w:r>
                    <w:rPr>
                      <w:rFonts w:ascii="calibri" w:hAnsi="calibri" w:cs="calibri" w:eastAsia="calibri"/>
                      <w:sz w:val="21"/>
                    </w:rPr>
                    <w:t>±0.1%</w:t>
                  </w:r>
                </w:p>
                <w:p>
                  <w:pPr>
                    <w:pStyle w:val="null3"/>
                    <w:jc w:val="both"/>
                  </w:pPr>
                  <w:r>
                    <w:rPr>
                      <w:rFonts w:ascii="calibri" w:hAnsi="calibri" w:cs="calibri" w:eastAsia="calibri"/>
                      <w:sz w:val="21"/>
                    </w:rPr>
                    <w:t>9</w:t>
                  </w:r>
                  <w:r>
                    <w:rPr>
                      <w:rFonts w:ascii="calibri" w:hAnsi="calibri" w:cs="calibri" w:eastAsia="calibri"/>
                      <w:sz w:val="21"/>
                    </w:rPr>
                    <w:t xml:space="preserve">. </w:t>
                  </w:r>
                  <w:r>
                    <w:rPr>
                      <w:rFonts w:ascii="宋体" w:hAnsi="宋体" w:cs="宋体" w:eastAsia="宋体"/>
                      <w:sz w:val="21"/>
                    </w:rPr>
                    <w:t>横梁分辨率：</w:t>
                  </w:r>
                  <w:r>
                    <w:rPr>
                      <w:rFonts w:ascii="宋体" w:hAnsi="宋体" w:cs="宋体" w:eastAsia="宋体"/>
                      <w:sz w:val="21"/>
                    </w:rPr>
                    <w:t>≥</w:t>
                  </w:r>
                  <w:r>
                    <w:rPr>
                      <w:rFonts w:ascii="calibri" w:hAnsi="calibri" w:cs="calibri" w:eastAsia="calibri"/>
                      <w:sz w:val="21"/>
                    </w:rPr>
                    <w:t>8.33nm</w:t>
                  </w:r>
                </w:p>
                <w:p>
                  <w:pPr>
                    <w:pStyle w:val="null3"/>
                    <w:jc w:val="both"/>
                  </w:pPr>
                  <w:r>
                    <w:rPr>
                      <w:rFonts w:ascii="calibri" w:hAnsi="calibri" w:cs="calibri" w:eastAsia="calibri"/>
                      <w:sz w:val="21"/>
                    </w:rPr>
                    <w:t>10</w:t>
                  </w:r>
                  <w:r>
                    <w:rPr>
                      <w:rFonts w:ascii="calibri" w:hAnsi="calibri" w:cs="calibri" w:eastAsia="calibri"/>
                      <w:sz w:val="21"/>
                    </w:rPr>
                    <w:t>.</w:t>
                  </w:r>
                  <w:r>
                    <w:rPr>
                      <w:rFonts w:ascii="calibri" w:hAnsi="calibri" w:cs="calibri" w:eastAsia="calibri"/>
                      <w:sz w:val="21"/>
                    </w:rPr>
                    <w:t xml:space="preserve"> </w:t>
                  </w:r>
                  <w:r>
                    <w:rPr>
                      <w:rFonts w:ascii="宋体" w:hAnsi="宋体" w:cs="宋体" w:eastAsia="宋体"/>
                      <w:sz w:val="21"/>
                    </w:rPr>
                    <w:t>数据采样能力：最快每秒可采集</w:t>
                  </w:r>
                  <w:r>
                    <w:rPr>
                      <w:rFonts w:ascii="宋体" w:hAnsi="宋体" w:cs="宋体" w:eastAsia="宋体"/>
                      <w:sz w:val="21"/>
                    </w:rPr>
                    <w:t>≥</w:t>
                  </w:r>
                  <w:r>
                    <w:rPr>
                      <w:rFonts w:ascii="calibri" w:hAnsi="calibri" w:cs="calibri" w:eastAsia="calibri"/>
                      <w:sz w:val="21"/>
                    </w:rPr>
                    <w:t>9800</w:t>
                  </w:r>
                  <w:r>
                    <w:rPr>
                      <w:rFonts w:ascii="宋体" w:hAnsi="宋体" w:cs="宋体" w:eastAsia="宋体"/>
                      <w:sz w:val="21"/>
                    </w:rPr>
                    <w:t>组载荷</w:t>
                  </w:r>
                  <w:r>
                    <w:rPr>
                      <w:rFonts w:ascii="calibri" w:hAnsi="calibri" w:cs="calibri" w:eastAsia="calibri"/>
                      <w:sz w:val="21"/>
                    </w:rPr>
                    <w:t>-</w:t>
                  </w:r>
                  <w:r>
                    <w:rPr>
                      <w:rFonts w:ascii="宋体" w:hAnsi="宋体" w:cs="宋体" w:eastAsia="宋体"/>
                      <w:sz w:val="21"/>
                    </w:rPr>
                    <w:t>位移数据</w:t>
                  </w:r>
                  <w:r>
                    <w:rPr>
                      <w:rFonts w:ascii="宋体" w:hAnsi="宋体" w:cs="宋体" w:eastAsia="宋体"/>
                      <w:sz w:val="21"/>
                    </w:rPr>
                    <w:t>，</w:t>
                  </w:r>
                  <w:r>
                    <w:rPr>
                      <w:rFonts w:ascii="宋体" w:hAnsi="宋体" w:cs="宋体" w:eastAsia="宋体"/>
                      <w:sz w:val="21"/>
                      <w:b/>
                    </w:rPr>
                    <w:t>提供相关证明材料（不限于官网截图、产品彩页、技术白皮书等）</w:t>
                  </w:r>
                </w:p>
                <w:p>
                  <w:pPr>
                    <w:pStyle w:val="null3"/>
                    <w:jc w:val="both"/>
                  </w:pPr>
                  <w:r>
                    <w:rPr>
                      <w:rFonts w:ascii="calibri" w:hAnsi="calibri" w:cs="calibri" w:eastAsia="calibri"/>
                      <w:sz w:val="21"/>
                    </w:rPr>
                    <w:t>11</w:t>
                  </w:r>
                  <w:r>
                    <w:rPr>
                      <w:rFonts w:ascii="calibri" w:hAnsi="calibri" w:cs="calibri" w:eastAsia="calibri"/>
                      <w:sz w:val="21"/>
                    </w:rPr>
                    <w:t>.</w:t>
                  </w:r>
                  <w:r>
                    <w:rPr>
                      <w:rFonts w:ascii="calibri" w:hAnsi="calibri" w:cs="calibri" w:eastAsia="calibri"/>
                      <w:sz w:val="21"/>
                    </w:rPr>
                    <w:t xml:space="preserve"> </w:t>
                  </w:r>
                  <w:r>
                    <w:rPr>
                      <w:rFonts w:ascii="宋体" w:hAnsi="宋体" w:cs="宋体" w:eastAsia="宋体"/>
                      <w:sz w:val="21"/>
                    </w:rPr>
                    <w:t>独立控制器：控制器和电气部分与主机分离，可有效避免试样断裂时的冲击对电气部分带来的影响。</w:t>
                  </w:r>
                  <w:r>
                    <w:rPr>
                      <w:rFonts w:ascii="宋体" w:hAnsi="宋体" w:cs="宋体" w:eastAsia="宋体"/>
                      <w:sz w:val="21"/>
                    </w:rPr>
                    <w:t>提供相关证明材料</w:t>
                  </w:r>
                  <w:r>
                    <w:rPr>
                      <w:rFonts w:ascii="宋体" w:hAnsi="宋体" w:cs="宋体" w:eastAsia="宋体"/>
                      <w:sz w:val="21"/>
                      <w:b/>
                    </w:rPr>
                    <w:t>（不限于官网截图、产品彩页、技术白皮书等）</w:t>
                  </w:r>
                </w:p>
                <w:p>
                  <w:pPr>
                    <w:pStyle w:val="null3"/>
                    <w:jc w:val="both"/>
                  </w:pPr>
                  <w:r>
                    <w:rPr>
                      <w:rFonts w:ascii="calibri" w:hAnsi="calibri" w:cs="calibri" w:eastAsia="calibri"/>
                      <w:sz w:val="21"/>
                    </w:rPr>
                    <w:t>12</w:t>
                  </w:r>
                  <w:r>
                    <w:rPr>
                      <w:rFonts w:ascii="calibri" w:hAnsi="calibri" w:cs="calibri" w:eastAsia="calibri"/>
                      <w:sz w:val="21"/>
                    </w:rPr>
                    <w:t>.</w:t>
                  </w:r>
                  <w:r>
                    <w:rPr>
                      <w:rFonts w:ascii="宋体" w:hAnsi="宋体" w:cs="宋体" w:eastAsia="宋体"/>
                      <w:sz w:val="21"/>
                    </w:rPr>
                    <w:t>语音向导</w:t>
                  </w:r>
                  <w:r>
                    <w:rPr>
                      <w:rFonts w:ascii="calibri" w:hAnsi="calibri" w:cs="calibri" w:eastAsia="calibri"/>
                      <w:sz w:val="21"/>
                    </w:rPr>
                    <w:t>/</w:t>
                  </w:r>
                  <w:r>
                    <w:rPr>
                      <w:rFonts w:ascii="宋体" w:hAnsi="宋体" w:cs="宋体" w:eastAsia="宋体"/>
                      <w:sz w:val="21"/>
                    </w:rPr>
                    <w:t>语音操作：可通过语音操作来执行相关的试验机操作。</w:t>
                  </w:r>
                </w:p>
                <w:p>
                  <w:pPr>
                    <w:pStyle w:val="null3"/>
                    <w:jc w:val="both"/>
                  </w:pPr>
                  <w:r>
                    <w:rPr>
                      <w:rFonts w:ascii="宋体" w:hAnsi="宋体" w:cs="宋体" w:eastAsia="宋体"/>
                      <w:sz w:val="21"/>
                    </w:rPr>
                    <w:t>二、载荷传感器要求</w:t>
                  </w:r>
                </w:p>
                <w:p>
                  <w:pPr>
                    <w:pStyle w:val="null3"/>
                    <w:jc w:val="both"/>
                  </w:pPr>
                  <w:r>
                    <w:rPr>
                      <w:rFonts w:ascii="calibri" w:hAnsi="calibri" w:cs="calibri" w:eastAsia="calibri"/>
                      <w:sz w:val="21"/>
                    </w:rPr>
                    <w:t>1</w:t>
                  </w:r>
                  <w:r>
                    <w:rPr>
                      <w:rFonts w:ascii="calibri" w:hAnsi="calibri" w:cs="calibri" w:eastAsia="calibri"/>
                      <w:sz w:val="21"/>
                    </w:rPr>
                    <w:t xml:space="preserve">. </w:t>
                  </w:r>
                  <w:r>
                    <w:rPr>
                      <w:rFonts w:ascii="宋体" w:hAnsi="宋体" w:cs="宋体" w:eastAsia="宋体"/>
                      <w:sz w:val="21"/>
                    </w:rPr>
                    <w:t>配备</w:t>
                  </w:r>
                  <w:r>
                    <w:rPr>
                      <w:rFonts w:ascii="calibri" w:hAnsi="calibri" w:cs="calibri" w:eastAsia="calibri"/>
                      <w:sz w:val="21"/>
                    </w:rPr>
                    <w:t>100 kN</w:t>
                  </w:r>
                  <w:r>
                    <w:rPr>
                      <w:rFonts w:ascii="宋体" w:hAnsi="宋体" w:cs="宋体" w:eastAsia="宋体"/>
                      <w:sz w:val="21"/>
                    </w:rPr>
                    <w:t>拉压双向载荷传感器。</w:t>
                  </w:r>
                </w:p>
                <w:p>
                  <w:pPr>
                    <w:pStyle w:val="null3"/>
                    <w:jc w:val="both"/>
                  </w:pPr>
                  <w:r>
                    <w:rPr>
                      <w:rFonts w:ascii="calibri" w:hAnsi="calibri" w:cs="calibri" w:eastAsia="calibri"/>
                      <w:sz w:val="21"/>
                    </w:rPr>
                    <w:t>2</w:t>
                  </w:r>
                  <w:r>
                    <w:rPr>
                      <w:rFonts w:ascii="calibri" w:hAnsi="calibri" w:cs="calibri" w:eastAsia="calibri"/>
                      <w:sz w:val="21"/>
                    </w:rPr>
                    <w:t>.</w:t>
                  </w:r>
                  <w:r>
                    <w:rPr>
                      <w:rFonts w:ascii="宋体" w:hAnsi="宋体" w:cs="宋体" w:eastAsia="宋体"/>
                      <w:sz w:val="21"/>
                    </w:rPr>
                    <w:t>高精度传感器：在</w:t>
                  </w:r>
                  <w:r>
                    <w:rPr>
                      <w:rFonts w:ascii="calibri" w:hAnsi="calibri" w:cs="calibri" w:eastAsia="calibri"/>
                      <w:sz w:val="21"/>
                    </w:rPr>
                    <w:t>1/1000~1/100</w:t>
                  </w:r>
                  <w:r>
                    <w:rPr>
                      <w:rFonts w:ascii="宋体" w:hAnsi="宋体" w:cs="宋体" w:eastAsia="宋体"/>
                      <w:sz w:val="21"/>
                    </w:rPr>
                    <w:t>的量程范围内，满足</w:t>
                  </w:r>
                  <w:r>
                    <w:rPr>
                      <w:rFonts w:ascii="calibri" w:hAnsi="calibri" w:cs="calibri" w:eastAsia="calibri"/>
                      <w:sz w:val="21"/>
                    </w:rPr>
                    <w:t>0.5</w:t>
                  </w:r>
                  <w:r>
                    <w:rPr>
                      <w:rFonts w:ascii="宋体" w:hAnsi="宋体" w:cs="宋体" w:eastAsia="宋体"/>
                      <w:sz w:val="21"/>
                    </w:rPr>
                    <w:t>级要求，即误差小于示值的</w:t>
                  </w:r>
                  <w:r>
                    <w:rPr>
                      <w:rFonts w:ascii="calibri" w:hAnsi="calibri" w:cs="calibri" w:eastAsia="calibri"/>
                      <w:sz w:val="21"/>
                    </w:rPr>
                    <w:t>±0.5%</w:t>
                  </w:r>
                  <w:r>
                    <w:rPr>
                      <w:rFonts w:ascii="宋体" w:hAnsi="宋体" w:cs="宋体" w:eastAsia="宋体"/>
                      <w:sz w:val="21"/>
                    </w:rPr>
                    <w:t>，在</w:t>
                  </w:r>
                  <w:r>
                    <w:rPr>
                      <w:rFonts w:ascii="calibri" w:hAnsi="calibri" w:cs="calibri" w:eastAsia="calibri"/>
                      <w:sz w:val="21"/>
                    </w:rPr>
                    <w:t>1/100~1/1</w:t>
                  </w:r>
                  <w:r>
                    <w:rPr>
                      <w:rFonts w:ascii="宋体" w:hAnsi="宋体" w:cs="宋体" w:eastAsia="宋体"/>
                      <w:sz w:val="21"/>
                    </w:rPr>
                    <w:t>的量程范围内，满足</w:t>
                  </w:r>
                  <w:r>
                    <w:rPr>
                      <w:rFonts w:ascii="calibri" w:hAnsi="calibri" w:cs="calibri" w:eastAsia="calibri"/>
                      <w:sz w:val="21"/>
                    </w:rPr>
                    <w:t>0.3</w:t>
                  </w:r>
                  <w:r>
                    <w:rPr>
                      <w:rFonts w:ascii="宋体" w:hAnsi="宋体" w:cs="宋体" w:eastAsia="宋体"/>
                      <w:sz w:val="21"/>
                    </w:rPr>
                    <w:t>级要求，即误差小于示值的</w:t>
                  </w:r>
                  <w:r>
                    <w:rPr>
                      <w:rFonts w:ascii="calibri" w:hAnsi="calibri" w:cs="calibri" w:eastAsia="calibri"/>
                      <w:sz w:val="21"/>
                    </w:rPr>
                    <w:t>±0.3%</w:t>
                  </w:r>
                  <w:r>
                    <w:rPr>
                      <w:rFonts w:ascii="宋体" w:hAnsi="宋体" w:cs="宋体" w:eastAsia="宋体"/>
                      <w:sz w:val="21"/>
                    </w:rPr>
                    <w:t>，</w:t>
                  </w:r>
                  <w:r>
                    <w:rPr>
                      <w:rFonts w:ascii="宋体" w:hAnsi="宋体" w:cs="宋体" w:eastAsia="宋体"/>
                      <w:sz w:val="21"/>
                      <w:b/>
                    </w:rPr>
                    <w:t>提供相关证明材料（不限于官网截图、产品彩页、技术白皮书等）</w:t>
                  </w:r>
                </w:p>
                <w:p>
                  <w:pPr>
                    <w:pStyle w:val="null3"/>
                    <w:jc w:val="both"/>
                  </w:pPr>
                  <w:r>
                    <w:rPr>
                      <w:rFonts w:ascii="calibri" w:hAnsi="calibri" w:cs="calibri" w:eastAsia="calibri"/>
                      <w:sz w:val="21"/>
                    </w:rPr>
                    <w:t>3</w:t>
                  </w:r>
                  <w:r>
                    <w:rPr>
                      <w:rFonts w:ascii="calibri" w:hAnsi="calibri" w:cs="calibri" w:eastAsia="calibri"/>
                      <w:sz w:val="21"/>
                    </w:rPr>
                    <w:t xml:space="preserve">. </w:t>
                  </w:r>
                  <w:r>
                    <w:rPr>
                      <w:rFonts w:ascii="宋体" w:hAnsi="宋体" w:cs="宋体" w:eastAsia="宋体"/>
                      <w:sz w:val="21"/>
                    </w:rPr>
                    <w:t>传感器连接：</w:t>
                  </w:r>
                  <w:r>
                    <w:rPr>
                      <w:rFonts w:ascii="宋体" w:hAnsi="宋体" w:cs="宋体" w:eastAsia="宋体"/>
                      <w:sz w:val="21"/>
                    </w:rPr>
                    <w:t>安装小载荷传感器时无需拆卸</w:t>
                  </w:r>
                  <w:r>
                    <w:rPr>
                      <w:rFonts w:ascii="calibri" w:hAnsi="calibri" w:cs="calibri" w:eastAsia="calibri"/>
                      <w:sz w:val="21"/>
                    </w:rPr>
                    <w:t>100 kN</w:t>
                  </w:r>
                  <w:r>
                    <w:rPr>
                      <w:rFonts w:ascii="宋体" w:hAnsi="宋体" w:cs="宋体" w:eastAsia="宋体"/>
                      <w:sz w:val="21"/>
                    </w:rPr>
                    <w:t>传感器。</w:t>
                  </w:r>
                </w:p>
                <w:p>
                  <w:pPr>
                    <w:pStyle w:val="null3"/>
                    <w:jc w:val="both"/>
                  </w:pPr>
                  <w:r>
                    <w:rPr>
                      <w:rFonts w:ascii="宋体" w:hAnsi="宋体" w:cs="宋体" w:eastAsia="宋体"/>
                      <w:sz w:val="21"/>
                    </w:rPr>
                    <w:t>三、引伸计要求</w:t>
                  </w:r>
                </w:p>
                <w:p>
                  <w:pPr>
                    <w:pStyle w:val="null3"/>
                    <w:jc w:val="both"/>
                  </w:pPr>
                  <w:r>
                    <w:rPr>
                      <w:rFonts w:ascii="calibri" w:hAnsi="calibri" w:cs="calibri" w:eastAsia="calibri"/>
                      <w:sz w:val="21"/>
                    </w:rPr>
                    <w:t>1</w:t>
                  </w:r>
                  <w:r>
                    <w:rPr>
                      <w:rFonts w:ascii="calibri" w:hAnsi="calibri" w:cs="calibri" w:eastAsia="calibri"/>
                      <w:sz w:val="21"/>
                    </w:rPr>
                    <w:t xml:space="preserve">. </w:t>
                  </w:r>
                  <w:r>
                    <w:rPr>
                      <w:rFonts w:ascii="宋体" w:hAnsi="宋体" w:cs="宋体" w:eastAsia="宋体"/>
                      <w:sz w:val="21"/>
                    </w:rPr>
                    <w:t>配备非接触式引伸计，可同时测量纵向及横向（即轴向及宽度）变形。</w:t>
                  </w:r>
                </w:p>
                <w:p>
                  <w:pPr>
                    <w:pStyle w:val="null3"/>
                    <w:jc w:val="both"/>
                  </w:pPr>
                  <w:r>
                    <w:rPr>
                      <w:rFonts w:ascii="calibri" w:hAnsi="calibri" w:cs="calibri" w:eastAsia="calibri"/>
                      <w:sz w:val="21"/>
                    </w:rPr>
                    <w:t>2.</w:t>
                  </w:r>
                  <w:r>
                    <w:rPr>
                      <w:rFonts w:ascii="宋体" w:hAnsi="宋体" w:cs="宋体" w:eastAsia="宋体"/>
                      <w:sz w:val="21"/>
                    </w:rPr>
                    <w:t>常温下测量精度：纵横向均需满足</w:t>
                  </w:r>
                  <w:r>
                    <w:rPr>
                      <w:rFonts w:ascii="calibri" w:hAnsi="calibri" w:cs="calibri" w:eastAsia="calibri"/>
                      <w:sz w:val="21"/>
                    </w:rPr>
                    <w:t>ISO 0.5</w:t>
                  </w:r>
                  <w:r>
                    <w:rPr>
                      <w:rFonts w:ascii="宋体" w:hAnsi="宋体" w:cs="宋体" w:eastAsia="宋体"/>
                      <w:sz w:val="21"/>
                    </w:rPr>
                    <w:t>级要求。纵向</w:t>
                  </w:r>
                  <w:r>
                    <w:rPr>
                      <w:rFonts w:ascii="calibri" w:hAnsi="calibri" w:cs="calibri" w:eastAsia="calibri"/>
                      <w:sz w:val="21"/>
                    </w:rPr>
                    <w:t>120 mm</w:t>
                  </w:r>
                  <w:r>
                    <w:rPr>
                      <w:rFonts w:ascii="宋体" w:hAnsi="宋体" w:cs="宋体" w:eastAsia="宋体"/>
                      <w:sz w:val="21"/>
                    </w:rPr>
                    <w:t>以下时，绝对精度高于</w:t>
                  </w:r>
                  <w:r>
                    <w:rPr>
                      <w:rFonts w:ascii="calibri" w:hAnsi="calibri" w:cs="calibri" w:eastAsia="calibri"/>
                      <w:sz w:val="21"/>
                    </w:rPr>
                    <w:t>±1.5 μm</w:t>
                  </w:r>
                  <w:r>
                    <w:rPr>
                      <w:rFonts w:ascii="宋体" w:hAnsi="宋体" w:cs="宋体" w:eastAsia="宋体"/>
                      <w:sz w:val="21"/>
                    </w:rPr>
                    <w:t>；横向</w:t>
                  </w:r>
                  <w:r>
                    <w:rPr>
                      <w:rFonts w:ascii="calibri" w:hAnsi="calibri" w:cs="calibri" w:eastAsia="calibri"/>
                      <w:sz w:val="21"/>
                    </w:rPr>
                    <w:t>90 mm</w:t>
                  </w:r>
                  <w:r>
                    <w:rPr>
                      <w:rFonts w:ascii="宋体" w:hAnsi="宋体" w:cs="宋体" w:eastAsia="宋体"/>
                      <w:sz w:val="21"/>
                    </w:rPr>
                    <w:t>以下时，绝对精度高于</w:t>
                  </w:r>
                  <w:r>
                    <w:rPr>
                      <w:rFonts w:ascii="calibri" w:hAnsi="calibri" w:cs="calibri" w:eastAsia="calibri"/>
                      <w:sz w:val="21"/>
                    </w:rPr>
                    <w:t>±2 μm</w:t>
                  </w:r>
                  <w:r>
                    <w:rPr>
                      <w:rFonts w:ascii="宋体" w:hAnsi="宋体" w:cs="宋体" w:eastAsia="宋体"/>
                      <w:sz w:val="21"/>
                    </w:rPr>
                    <w:t>，</w:t>
                  </w:r>
                  <w:r>
                    <w:rPr>
                      <w:rFonts w:ascii="宋体" w:hAnsi="宋体" w:cs="宋体" w:eastAsia="宋体"/>
                      <w:sz w:val="21"/>
                      <w:b/>
                    </w:rPr>
                    <w:t>提供相关证明材料（不限于官网截图、产品彩页、技术白皮书等）</w:t>
                  </w:r>
                </w:p>
                <w:p>
                  <w:pPr>
                    <w:pStyle w:val="null3"/>
                    <w:jc w:val="both"/>
                  </w:pPr>
                  <w:r>
                    <w:rPr>
                      <w:rFonts w:ascii="宋体" w:hAnsi="宋体" w:cs="宋体" w:eastAsia="宋体"/>
                      <w:sz w:val="21"/>
                    </w:rPr>
                    <w:t>四、配置要求</w:t>
                  </w:r>
                </w:p>
                <w:p>
                  <w:pPr>
                    <w:pStyle w:val="null3"/>
                    <w:jc w:val="both"/>
                  </w:pPr>
                  <w:r>
                    <w:rPr>
                      <w:rFonts w:ascii="宋体" w:hAnsi="宋体" w:cs="宋体" w:eastAsia="宋体"/>
                      <w:sz w:val="21"/>
                    </w:rPr>
                    <w:t>工作站</w:t>
                  </w:r>
                  <w:r>
                    <w:rPr>
                      <w:rFonts w:ascii="宋体" w:hAnsi="宋体" w:cs="宋体" w:eastAsia="宋体"/>
                      <w:sz w:val="21"/>
                    </w:rPr>
                    <w:t>（不低于</w:t>
                  </w:r>
                  <w:r>
                    <w:rPr>
                      <w:rFonts w:ascii="calibri" w:hAnsi="calibri" w:cs="calibri" w:eastAsia="calibri"/>
                      <w:sz w:val="21"/>
                    </w:rPr>
                    <w:t>I7</w:t>
                  </w:r>
                  <w:r>
                    <w:rPr>
                      <w:rFonts w:ascii="宋体" w:hAnsi="宋体" w:cs="宋体" w:eastAsia="宋体"/>
                      <w:sz w:val="21"/>
                    </w:rPr>
                    <w:t>处理器</w:t>
                  </w:r>
                  <w:r>
                    <w:rPr>
                      <w:rFonts w:ascii="calibri" w:hAnsi="calibri" w:cs="calibri" w:eastAsia="calibri"/>
                      <w:sz w:val="21"/>
                    </w:rPr>
                    <w:t>16G</w:t>
                  </w:r>
                  <w:r>
                    <w:rPr>
                      <w:rFonts w:ascii="宋体" w:hAnsi="宋体" w:cs="宋体" w:eastAsia="宋体"/>
                      <w:sz w:val="21"/>
                    </w:rPr>
                    <w:t>内存</w:t>
                  </w:r>
                  <w:r>
                    <w:rPr>
                      <w:rFonts w:ascii="calibri" w:hAnsi="calibri" w:cs="calibri" w:eastAsia="calibri"/>
                      <w:sz w:val="21"/>
                    </w:rPr>
                    <w:t>1000G</w:t>
                  </w:r>
                  <w:r>
                    <w:rPr>
                      <w:rFonts w:ascii="宋体" w:hAnsi="宋体" w:cs="宋体" w:eastAsia="宋体"/>
                      <w:sz w:val="21"/>
                    </w:rPr>
                    <w:t>硬盘）</w:t>
                  </w:r>
                  <w:r>
                    <w:rPr>
                      <w:rFonts w:ascii="calibri" w:hAnsi="calibri" w:cs="calibri" w:eastAsia="calibri"/>
                      <w:sz w:val="21"/>
                    </w:rPr>
                    <w:t>1</w:t>
                  </w:r>
                  <w:r>
                    <w:rPr>
                      <w:rFonts w:ascii="宋体" w:hAnsi="宋体" w:cs="宋体" w:eastAsia="宋体"/>
                      <w:sz w:val="21"/>
                    </w:rPr>
                    <w:t>套</w:t>
                  </w:r>
                </w:p>
              </w:tc>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calibri" w:hAnsi="calibri" w:cs="calibri" w:eastAsia="calibri"/>
                      <w:sz w:val="28"/>
                    </w:rPr>
                    <w:t>1</w:t>
                  </w:r>
                </w:p>
              </w:tc>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8"/>
                    </w:rPr>
                    <w:t>套</w:t>
                  </w:r>
                </w:p>
              </w:tc>
            </w:tr>
          </w:tbl>
          <w:p>
            <w:pPr>
              <w:pStyle w:val="null3"/>
              <w:jc w:val="both"/>
            </w:pPr>
            <w:r>
              <w:rPr>
                <w:rFonts w:ascii="宋体" w:hAnsi="宋体" w:cs="宋体" w:eastAsia="宋体"/>
                <w:sz w:val="24"/>
                <w:b/>
              </w:rPr>
              <w:t>以上所有要求不允许负偏离，有一项负偏离为无效响应。采购需求中要求提供证明材料的需提供证明材料，其他以《投标产品技术指标偏离表》响应为准。</w:t>
            </w:r>
          </w:p>
        </w:tc>
      </w:tr>
    </w:tbl>
    <w:p>
      <w:pPr>
        <w:pStyle w:val="null3"/>
      </w:pPr>
      <w:r>
        <w:rPr/>
        <w:t>采购包2：</w:t>
      </w:r>
    </w:p>
    <w:p>
      <w:pPr>
        <w:pStyle w:val="null3"/>
      </w:pPr>
      <w:r>
        <w:rPr/>
        <w:t>供应商报价不允许超过标的金额</w:t>
      </w:r>
    </w:p>
    <w:p>
      <w:pPr>
        <w:pStyle w:val="null3"/>
      </w:pPr>
      <w:r>
        <w:rPr/>
        <w:t>（招单价的）供应商报价不允许超过标的单价</w:t>
      </w:r>
    </w:p>
    <w:p>
      <w:pPr>
        <w:pStyle w:val="null3"/>
      </w:pPr>
      <w:r>
        <w:rPr/>
        <w:t>标的名称： 原子力显微镜</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54"/>
              <w:gridCol w:w="355"/>
              <w:gridCol w:w="1433"/>
              <w:gridCol w:w="254"/>
              <w:gridCol w:w="254"/>
            </w:tblGrid>
            <w:tr>
              <w:tc>
                <w:tcPr>
                  <w:tcW w:type="dxa" w:w="25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微软雅黑" w:hAnsi="微软雅黑" w:cs="微软雅黑" w:eastAsia="微软雅黑"/>
                      <w:sz w:val="28"/>
                      <w:b/>
                    </w:rPr>
                    <w:t>序</w:t>
                  </w:r>
                  <w:r>
                    <w:rPr>
                      <w:rFonts w:ascii="仿宋_gb2312" w:hAnsi="仿宋_gb2312" w:cs="仿宋_gb2312" w:eastAsia="仿宋_gb2312"/>
                      <w:sz w:val="28"/>
                      <w:b/>
                    </w:rPr>
                    <w:t>号</w:t>
                  </w:r>
                </w:p>
              </w:tc>
              <w:tc>
                <w:tcPr>
                  <w:tcW w:type="dxa" w:w="35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rPr>
                    <w:t>货物名称</w:t>
                  </w:r>
                </w:p>
              </w:tc>
              <w:tc>
                <w:tcPr>
                  <w:tcW w:type="dxa" w:w="143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rPr>
                    <w:t>技术参数</w:t>
                  </w:r>
                </w:p>
              </w:tc>
              <w:tc>
                <w:tcPr>
                  <w:tcW w:type="dxa" w:w="25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微软雅黑" w:hAnsi="微软雅黑" w:cs="微软雅黑" w:eastAsia="微软雅黑"/>
                      <w:sz w:val="28"/>
                      <w:b/>
                    </w:rPr>
                    <w:t>数</w:t>
                  </w:r>
                  <w:r>
                    <w:rPr>
                      <w:rFonts w:ascii="仿宋_gb2312" w:hAnsi="仿宋_gb2312" w:cs="仿宋_gb2312" w:eastAsia="仿宋_gb2312"/>
                      <w:sz w:val="28"/>
                      <w:b/>
                    </w:rPr>
                    <w:t>量</w:t>
                  </w:r>
                </w:p>
              </w:tc>
              <w:tc>
                <w:tcPr>
                  <w:tcW w:type="dxa" w:w="25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微软雅黑" w:hAnsi="微软雅黑" w:cs="微软雅黑" w:eastAsia="微软雅黑"/>
                      <w:sz w:val="28"/>
                      <w:b/>
                    </w:rPr>
                    <w:t>单</w:t>
                  </w:r>
                  <w:r>
                    <w:rPr>
                      <w:rFonts w:ascii="仿宋_gb2312" w:hAnsi="仿宋_gb2312" w:cs="仿宋_gb2312" w:eastAsia="仿宋_gb2312"/>
                      <w:sz w:val="28"/>
                      <w:b/>
                    </w:rPr>
                    <w:t>位</w:t>
                  </w:r>
                </w:p>
              </w:tc>
            </w:tr>
            <w:tr>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p>
              </w:tc>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8"/>
                    </w:rPr>
                    <w:t>原子力显微镜</w:t>
                  </w:r>
                </w:p>
              </w:tc>
              <w:tc>
                <w:tcPr>
                  <w:tcW w:type="dxa" w:w="14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一、技术指标</w:t>
                  </w:r>
                </w:p>
                <w:p>
                  <w:pPr>
                    <w:pStyle w:val="null3"/>
                    <w:jc w:val="both"/>
                  </w:pPr>
                  <w:r>
                    <w:rPr>
                      <w:rFonts w:ascii="calibri" w:hAnsi="calibri" w:cs="calibri" w:eastAsia="calibri"/>
                      <w:sz w:val="21"/>
                    </w:rPr>
                    <w:t>1</w:t>
                  </w:r>
                  <w:r>
                    <w:rPr>
                      <w:rFonts w:ascii="宋体" w:hAnsi="宋体" w:cs="宋体" w:eastAsia="宋体"/>
                      <w:sz w:val="21"/>
                    </w:rPr>
                    <w:t>．</w:t>
                  </w:r>
                  <w:r>
                    <w:rPr>
                      <w:rFonts w:ascii="宋体" w:hAnsi="宋体" w:cs="宋体" w:eastAsia="宋体"/>
                      <w:sz w:val="21"/>
                    </w:rPr>
                    <w:t>能够在大气及液体精确观测样品表面三维微观形貌；同时可对样品表面各类物理特性进行研究；能测试多种材料表面组分区别、摩擦力等功能；可用来精确测试力学特性及机械性能。</w:t>
                  </w:r>
                </w:p>
                <w:p>
                  <w:pPr>
                    <w:pStyle w:val="null3"/>
                    <w:jc w:val="both"/>
                  </w:pPr>
                  <w:r>
                    <w:rPr>
                      <w:rFonts w:ascii="calibri" w:hAnsi="calibri" w:cs="calibri" w:eastAsia="calibri"/>
                      <w:sz w:val="21"/>
                    </w:rPr>
                    <w:t>2</w:t>
                  </w:r>
                  <w:r>
                    <w:rPr>
                      <w:rFonts w:ascii="宋体" w:hAnsi="宋体" w:cs="宋体" w:eastAsia="宋体"/>
                      <w:sz w:val="21"/>
                    </w:rPr>
                    <w:t>．</w:t>
                  </w:r>
                  <w:r>
                    <w:rPr>
                      <w:rFonts w:ascii="宋体" w:hAnsi="宋体" w:cs="宋体" w:eastAsia="宋体"/>
                      <w:sz w:val="21"/>
                    </w:rPr>
                    <w:t>噪音水平：</w:t>
                  </w:r>
                  <w:r>
                    <w:rPr>
                      <w:rFonts w:ascii="calibri" w:hAnsi="calibri" w:cs="calibri" w:eastAsia="calibri"/>
                      <w:sz w:val="21"/>
                    </w:rPr>
                    <w:t>≤0.03nm</w:t>
                  </w:r>
                </w:p>
                <w:p>
                  <w:pPr>
                    <w:pStyle w:val="null3"/>
                    <w:jc w:val="both"/>
                  </w:pPr>
                  <w:r>
                    <w:rPr>
                      <w:rFonts w:ascii="calibri" w:hAnsi="calibri" w:cs="calibri" w:eastAsia="calibri"/>
                      <w:sz w:val="21"/>
                    </w:rPr>
                    <w:t>3</w:t>
                  </w:r>
                  <w:r>
                    <w:rPr>
                      <w:rFonts w:ascii="宋体" w:hAnsi="宋体" w:cs="宋体" w:eastAsia="宋体"/>
                      <w:sz w:val="21"/>
                    </w:rPr>
                    <w:t>．</w:t>
                  </w:r>
                  <w:r>
                    <w:rPr>
                      <w:rFonts w:ascii="宋体" w:hAnsi="宋体" w:cs="宋体" w:eastAsia="宋体"/>
                      <w:sz w:val="21"/>
                    </w:rPr>
                    <w:t>分辨率：</w:t>
                  </w:r>
                  <w:r>
                    <w:rPr>
                      <w:rFonts w:ascii="calibri" w:hAnsi="calibri" w:cs="calibri" w:eastAsia="calibri"/>
                      <w:sz w:val="21"/>
                    </w:rPr>
                    <w:t>XY</w:t>
                  </w:r>
                  <w:r>
                    <w:rPr>
                      <w:rFonts w:ascii="宋体" w:hAnsi="宋体" w:cs="宋体" w:eastAsia="宋体"/>
                      <w:sz w:val="21"/>
                    </w:rPr>
                    <w:t>：</w:t>
                  </w:r>
                  <w:r>
                    <w:rPr>
                      <w:rFonts w:ascii="calibri" w:hAnsi="calibri" w:cs="calibri" w:eastAsia="calibri"/>
                      <w:sz w:val="21"/>
                    </w:rPr>
                    <w:t>≤0.15nm,  Z</w:t>
                  </w:r>
                  <w:r>
                    <w:rPr>
                      <w:rFonts w:ascii="宋体" w:hAnsi="宋体" w:cs="宋体" w:eastAsia="宋体"/>
                      <w:sz w:val="21"/>
                    </w:rPr>
                    <w:t>：</w:t>
                  </w:r>
                  <w:r>
                    <w:rPr>
                      <w:rFonts w:ascii="calibri" w:hAnsi="calibri" w:cs="calibri" w:eastAsia="calibri"/>
                      <w:sz w:val="21"/>
                    </w:rPr>
                    <w:t>≤0.01nm</w:t>
                  </w:r>
                  <w:r>
                    <w:rPr>
                      <w:rFonts w:ascii="宋体" w:hAnsi="宋体" w:cs="宋体" w:eastAsia="宋体"/>
                      <w:sz w:val="21"/>
                    </w:rPr>
                    <w:t>，可得到清晰稳定的云母原子图像</w:t>
                  </w:r>
                  <w:r>
                    <w:rPr>
                      <w:rFonts w:ascii="宋体" w:hAnsi="宋体" w:cs="宋体" w:eastAsia="宋体"/>
                      <w:sz w:val="21"/>
                    </w:rPr>
                    <w:t>，</w:t>
                  </w:r>
                  <w:r>
                    <w:rPr>
                      <w:rFonts w:ascii="宋体" w:hAnsi="宋体" w:cs="宋体" w:eastAsia="宋体"/>
                      <w:sz w:val="21"/>
                      <w:b/>
                    </w:rPr>
                    <w:t>提供相关证明材料（不限于官网截图、产品彩页、技术白皮书等）</w:t>
                  </w:r>
                </w:p>
                <w:p>
                  <w:pPr>
                    <w:pStyle w:val="null3"/>
                    <w:jc w:val="both"/>
                  </w:pPr>
                  <w:r>
                    <w:rPr>
                      <w:rFonts w:ascii="&quot;times new roman&quot;" w:hAnsi="&quot;times new roman&quot;" w:cs="&quot;times new roman&quot;" w:eastAsia="&quot;times new roman&quot;"/>
                      <w:sz w:val="19"/>
                    </w:rPr>
                    <w:t>4.扫描器</w:t>
                  </w:r>
                </w:p>
                <w:p>
                  <w:pPr>
                    <w:pStyle w:val="null3"/>
                    <w:jc w:val="both"/>
                  </w:pPr>
                  <w:r>
                    <w:rPr>
                      <w:rFonts w:ascii="calibri" w:hAnsi="calibri" w:cs="calibri" w:eastAsia="calibri"/>
                      <w:sz w:val="21"/>
                    </w:rPr>
                    <w:t>4.1</w:t>
                  </w:r>
                  <w:r>
                    <w:rPr>
                      <w:rFonts w:ascii="宋体" w:hAnsi="宋体" w:cs="宋体" w:eastAsia="宋体"/>
                      <w:sz w:val="21"/>
                    </w:rPr>
                    <w:t>．</w:t>
                  </w:r>
                  <w:r>
                    <w:rPr>
                      <w:rFonts w:ascii="宋体" w:hAnsi="宋体" w:cs="宋体" w:eastAsia="宋体"/>
                      <w:sz w:val="21"/>
                    </w:rPr>
                    <w:t>高速扫描器</w:t>
                  </w:r>
                  <w:r>
                    <w:rPr>
                      <w:rFonts w:ascii="calibri" w:hAnsi="calibri" w:cs="calibri" w:eastAsia="calibri"/>
                      <w:sz w:val="21"/>
                    </w:rPr>
                    <w:t>XY≥10µm, Z≥1µm</w:t>
                  </w:r>
                  <w:r>
                    <w:rPr>
                      <w:rFonts w:ascii="宋体" w:hAnsi="宋体" w:cs="宋体" w:eastAsia="宋体"/>
                      <w:sz w:val="21"/>
                    </w:rPr>
                    <w:t>，</w:t>
                  </w:r>
                  <w:r>
                    <w:rPr>
                      <w:rFonts w:ascii="宋体" w:hAnsi="宋体" w:cs="宋体" w:eastAsia="宋体"/>
                      <w:sz w:val="21"/>
                      <w:b/>
                    </w:rPr>
                    <w:t>提供相关证明材料（不限于官网截图、产品彩页、技术白皮书等）</w:t>
                  </w:r>
                </w:p>
                <w:p>
                  <w:pPr>
                    <w:pStyle w:val="null3"/>
                    <w:jc w:val="both"/>
                  </w:pPr>
                  <w:r>
                    <w:rPr>
                      <w:rFonts w:ascii="calibri" w:hAnsi="calibri" w:cs="calibri" w:eastAsia="calibri"/>
                      <w:sz w:val="21"/>
                    </w:rPr>
                    <w:t>4.2</w:t>
                  </w:r>
                  <w:r>
                    <w:rPr>
                      <w:rFonts w:ascii="宋体" w:hAnsi="宋体" w:cs="宋体" w:eastAsia="宋体"/>
                      <w:sz w:val="21"/>
                    </w:rPr>
                    <w:t>．</w:t>
                  </w:r>
                  <w:r>
                    <w:rPr>
                      <w:rFonts w:ascii="宋体" w:hAnsi="宋体" w:cs="宋体" w:eastAsia="宋体"/>
                      <w:sz w:val="21"/>
                    </w:rPr>
                    <w:t>广域扫描器</w:t>
                  </w:r>
                  <w:r>
                    <w:rPr>
                      <w:rFonts w:ascii="calibri" w:hAnsi="calibri" w:cs="calibri" w:eastAsia="calibri"/>
                      <w:sz w:val="21"/>
                    </w:rPr>
                    <w:t>XY≥12</w:t>
                  </w:r>
                  <w:r>
                    <w:rPr>
                      <w:rFonts w:ascii="calibri" w:hAnsi="calibri" w:cs="calibri" w:eastAsia="calibri"/>
                      <w:sz w:val="21"/>
                    </w:rPr>
                    <w:t>4</w:t>
                  </w:r>
                  <w:r>
                    <w:rPr>
                      <w:rFonts w:ascii="calibri" w:hAnsi="calibri" w:cs="calibri" w:eastAsia="calibri"/>
                      <w:sz w:val="21"/>
                    </w:rPr>
                    <w:t>µm, Z≥7µm</w:t>
                  </w:r>
                  <w:r>
                    <w:rPr>
                      <w:rFonts w:ascii="宋体" w:hAnsi="宋体" w:cs="宋体" w:eastAsia="宋体"/>
                      <w:sz w:val="21"/>
                    </w:rPr>
                    <w:t>；</w:t>
                  </w:r>
                </w:p>
                <w:p>
                  <w:pPr>
                    <w:pStyle w:val="null3"/>
                    <w:jc w:val="both"/>
                  </w:pPr>
                  <w:r>
                    <w:rPr>
                      <w:rFonts w:ascii="calibri" w:hAnsi="calibri" w:cs="calibri" w:eastAsia="calibri"/>
                      <w:sz w:val="21"/>
                    </w:rPr>
                    <w:t>5</w:t>
                  </w:r>
                  <w:r>
                    <w:rPr>
                      <w:rFonts w:ascii="宋体" w:hAnsi="宋体" w:cs="宋体" w:eastAsia="宋体"/>
                      <w:sz w:val="21"/>
                    </w:rPr>
                    <w:t>．</w:t>
                  </w:r>
                  <w:r>
                    <w:rPr>
                      <w:rFonts w:ascii="宋体" w:hAnsi="宋体" w:cs="宋体" w:eastAsia="宋体"/>
                      <w:sz w:val="21"/>
                    </w:rPr>
                    <w:t>工作模式</w:t>
                  </w:r>
                </w:p>
                <w:p>
                  <w:pPr>
                    <w:pStyle w:val="null3"/>
                    <w:jc w:val="both"/>
                  </w:pPr>
                  <w:r>
                    <w:rPr>
                      <w:rFonts w:ascii="calibri" w:hAnsi="calibri" w:cs="calibri" w:eastAsia="calibri"/>
                      <w:sz w:val="21"/>
                    </w:rPr>
                    <w:t xml:space="preserve">5.1 </w:t>
                  </w:r>
                  <w:r>
                    <w:rPr>
                      <w:rFonts w:ascii="宋体" w:hAnsi="宋体" w:cs="宋体" w:eastAsia="宋体"/>
                      <w:sz w:val="21"/>
                    </w:rPr>
                    <w:t>具备完善的形貌表征模式，接触模式、动态模式、相位成像模式、水平力模式。</w:t>
                  </w:r>
                </w:p>
                <w:p>
                  <w:pPr>
                    <w:pStyle w:val="null3"/>
                    <w:jc w:val="both"/>
                  </w:pPr>
                  <w:r>
                    <w:rPr>
                      <w:rFonts w:ascii="calibri" w:hAnsi="calibri" w:cs="calibri" w:eastAsia="calibri"/>
                      <w:sz w:val="21"/>
                    </w:rPr>
                    <w:t xml:space="preserve">5.2 </w:t>
                  </w:r>
                  <w:r>
                    <w:rPr>
                      <w:rFonts w:ascii="宋体" w:hAnsi="宋体" w:cs="宋体" w:eastAsia="宋体"/>
                      <w:sz w:val="21"/>
                    </w:rPr>
                    <w:t>具备完善的机械性能测试功能，力曲线、力调制模式。</w:t>
                  </w:r>
                </w:p>
                <w:p>
                  <w:pPr>
                    <w:pStyle w:val="null3"/>
                    <w:jc w:val="both"/>
                  </w:pPr>
                  <w:r>
                    <w:rPr>
                      <w:rFonts w:ascii="calibri" w:hAnsi="calibri" w:cs="calibri" w:eastAsia="calibri"/>
                      <w:sz w:val="21"/>
                    </w:rPr>
                    <w:t>6</w:t>
                  </w:r>
                  <w:r>
                    <w:rPr>
                      <w:rFonts w:ascii="宋体" w:hAnsi="宋体" w:cs="宋体" w:eastAsia="宋体"/>
                      <w:sz w:val="21"/>
                    </w:rPr>
                    <w:t>．</w:t>
                  </w:r>
                  <w:r>
                    <w:rPr>
                      <w:rFonts w:ascii="宋体" w:hAnsi="宋体" w:cs="宋体" w:eastAsia="宋体"/>
                      <w:sz w:val="21"/>
                    </w:rPr>
                    <w:t>一键扫描，自动进针。无需手动进针步骤，无论探针与样品间距多少均可自动进针。</w:t>
                  </w:r>
                </w:p>
                <w:p>
                  <w:pPr>
                    <w:pStyle w:val="null3"/>
                    <w:jc w:val="both"/>
                  </w:pPr>
                  <w:r>
                    <w:rPr>
                      <w:rFonts w:ascii="calibri" w:hAnsi="calibri" w:cs="calibri" w:eastAsia="calibri"/>
                      <w:sz w:val="21"/>
                    </w:rPr>
                    <w:t>7</w:t>
                  </w:r>
                  <w:r>
                    <w:rPr>
                      <w:rFonts w:ascii="宋体" w:hAnsi="宋体" w:cs="宋体" w:eastAsia="宋体"/>
                      <w:sz w:val="21"/>
                    </w:rPr>
                    <w:t>．</w:t>
                  </w:r>
                  <w:r>
                    <w:rPr>
                      <w:rFonts w:ascii="宋体" w:hAnsi="宋体" w:cs="宋体" w:eastAsia="宋体"/>
                      <w:sz w:val="21"/>
                    </w:rPr>
                    <w:t>具有头部滑动机构，探针架安装状态下可直接装载样品，无需重新调整光路</w:t>
                  </w:r>
                </w:p>
                <w:p>
                  <w:pPr>
                    <w:pStyle w:val="null3"/>
                    <w:jc w:val="both"/>
                  </w:pPr>
                  <w:r>
                    <w:rPr>
                      <w:rFonts w:ascii="calibri" w:hAnsi="calibri" w:cs="calibri" w:eastAsia="calibri"/>
                      <w:sz w:val="21"/>
                    </w:rPr>
                    <w:t>8</w:t>
                  </w:r>
                  <w:r>
                    <w:rPr>
                      <w:rFonts w:ascii="宋体" w:hAnsi="宋体" w:cs="宋体" w:eastAsia="宋体"/>
                      <w:sz w:val="21"/>
                    </w:rPr>
                    <w:t>．</w:t>
                  </w:r>
                  <w:r>
                    <w:rPr>
                      <w:rFonts w:ascii="宋体" w:hAnsi="宋体" w:cs="宋体" w:eastAsia="宋体"/>
                      <w:sz w:val="21"/>
                    </w:rPr>
                    <w:t>配置内部凝胶体减震</w:t>
                  </w:r>
                  <w:r>
                    <w:rPr>
                      <w:rFonts w:ascii="calibri" w:hAnsi="calibri" w:cs="calibri" w:eastAsia="calibri"/>
                      <w:sz w:val="21"/>
                    </w:rPr>
                    <w:t>+</w:t>
                  </w:r>
                  <w:r>
                    <w:rPr>
                      <w:rFonts w:ascii="宋体" w:hAnsi="宋体" w:cs="宋体" w:eastAsia="宋体"/>
                      <w:sz w:val="21"/>
                    </w:rPr>
                    <w:t>外部减震台二级减震系统，有效消除高频和低频震动影响</w:t>
                  </w:r>
                </w:p>
                <w:p>
                  <w:pPr>
                    <w:pStyle w:val="null3"/>
                    <w:jc w:val="both"/>
                  </w:pPr>
                  <w:r>
                    <w:rPr>
                      <w:rFonts w:ascii="calibri" w:hAnsi="calibri" w:cs="calibri" w:eastAsia="calibri"/>
                      <w:sz w:val="21"/>
                    </w:rPr>
                    <w:t>9</w:t>
                  </w:r>
                  <w:r>
                    <w:rPr>
                      <w:rFonts w:ascii="宋体" w:hAnsi="宋体" w:cs="宋体" w:eastAsia="宋体"/>
                      <w:sz w:val="21"/>
                    </w:rPr>
                    <w:t>．</w:t>
                  </w:r>
                  <w:r>
                    <w:rPr>
                      <w:rFonts w:ascii="宋体" w:hAnsi="宋体" w:cs="宋体" w:eastAsia="宋体"/>
                      <w:sz w:val="21"/>
                    </w:rPr>
                    <w:t>样品台尺寸</w:t>
                  </w:r>
                  <w:r>
                    <w:rPr>
                      <w:rFonts w:ascii="宋体" w:hAnsi="宋体" w:cs="宋体" w:eastAsia="宋体"/>
                      <w:sz w:val="21"/>
                    </w:rPr>
                    <w:t>：</w:t>
                  </w:r>
                  <w:r>
                    <w:rPr>
                      <w:rFonts w:ascii="calibri" w:hAnsi="calibri" w:cs="calibri" w:eastAsia="calibri"/>
                      <w:sz w:val="21"/>
                    </w:rPr>
                    <w:t>≥Ø2</w:t>
                  </w:r>
                  <w:r>
                    <w:rPr>
                      <w:rFonts w:ascii="calibri" w:hAnsi="calibri" w:cs="calibri" w:eastAsia="calibri"/>
                      <w:sz w:val="21"/>
                    </w:rPr>
                    <w:t>3</w:t>
                  </w:r>
                  <w:r>
                    <w:rPr>
                      <w:rFonts w:ascii="calibri" w:hAnsi="calibri" w:cs="calibri" w:eastAsia="calibri"/>
                      <w:sz w:val="21"/>
                    </w:rPr>
                    <w:t>mm×</w:t>
                  </w:r>
                  <w:r>
                    <w:rPr>
                      <w:rFonts w:ascii="calibri" w:hAnsi="calibri" w:cs="calibri" w:eastAsia="calibri"/>
                      <w:sz w:val="21"/>
                    </w:rPr>
                    <w:t>7</w:t>
                  </w:r>
                  <w:r>
                    <w:rPr>
                      <w:rFonts w:ascii="calibri" w:hAnsi="calibri" w:cs="calibri" w:eastAsia="calibri"/>
                      <w:sz w:val="21"/>
                    </w:rPr>
                    <w:t>mm</w:t>
                  </w:r>
                  <w:r>
                    <w:rPr>
                      <w:rFonts w:ascii="宋体" w:hAnsi="宋体" w:cs="宋体" w:eastAsia="宋体"/>
                      <w:sz w:val="21"/>
                    </w:rPr>
                    <w:t>，</w:t>
                  </w:r>
                  <w:r>
                    <w:rPr>
                      <w:rFonts w:ascii="宋体" w:hAnsi="宋体" w:cs="宋体" w:eastAsia="宋体"/>
                      <w:sz w:val="21"/>
                      <w:b/>
                    </w:rPr>
                    <w:t>提供相关证明材料（不限于官网截图、产品彩页、技术白皮书等）</w:t>
                  </w:r>
                </w:p>
                <w:p>
                  <w:pPr>
                    <w:pStyle w:val="null3"/>
                    <w:jc w:val="both"/>
                  </w:pPr>
                  <w:r>
                    <w:rPr>
                      <w:rFonts w:ascii="calibri" w:hAnsi="calibri" w:cs="calibri" w:eastAsia="calibri"/>
                      <w:sz w:val="21"/>
                    </w:rPr>
                    <w:t>10</w:t>
                  </w:r>
                  <w:r>
                    <w:rPr>
                      <w:rFonts w:ascii="宋体" w:hAnsi="宋体" w:cs="宋体" w:eastAsia="宋体"/>
                      <w:sz w:val="21"/>
                    </w:rPr>
                    <w:t>．</w:t>
                  </w:r>
                  <w:r>
                    <w:rPr>
                      <w:rFonts w:ascii="宋体" w:hAnsi="宋体" w:cs="宋体" w:eastAsia="宋体"/>
                      <w:sz w:val="21"/>
                    </w:rPr>
                    <w:t>控制系统单元</w:t>
                  </w:r>
                </w:p>
                <w:p>
                  <w:pPr>
                    <w:pStyle w:val="null3"/>
                    <w:jc w:val="both"/>
                  </w:pPr>
                  <w:r>
                    <w:rPr>
                      <w:rFonts w:ascii="calibri" w:hAnsi="calibri" w:cs="calibri" w:eastAsia="calibri"/>
                      <w:sz w:val="21"/>
                    </w:rPr>
                    <w:t>10.1</w:t>
                  </w:r>
                  <w:r>
                    <w:rPr>
                      <w:rFonts w:ascii="宋体" w:hAnsi="宋体" w:cs="宋体" w:eastAsia="宋体"/>
                      <w:sz w:val="21"/>
                    </w:rPr>
                    <w:t>数据读取</w:t>
                  </w:r>
                  <w:r>
                    <w:rPr>
                      <w:rFonts w:ascii="宋体" w:hAnsi="宋体" w:cs="宋体" w:eastAsia="宋体"/>
                      <w:sz w:val="21"/>
                    </w:rPr>
                    <w:t>：</w:t>
                  </w:r>
                  <w:r>
                    <w:rPr>
                      <w:rFonts w:ascii="宋体" w:hAnsi="宋体" w:cs="宋体" w:eastAsia="宋体"/>
                      <w:sz w:val="21"/>
                    </w:rPr>
                    <w:t>同时读取</w:t>
                  </w:r>
                  <w:r>
                    <w:rPr>
                      <w:rFonts w:ascii="calibri" w:hAnsi="calibri" w:cs="calibri" w:eastAsia="calibri"/>
                      <w:sz w:val="21"/>
                    </w:rPr>
                    <w:t>12</w:t>
                  </w:r>
                  <w:r>
                    <w:rPr>
                      <w:rFonts w:ascii="宋体" w:hAnsi="宋体" w:cs="宋体" w:eastAsia="宋体"/>
                      <w:sz w:val="21"/>
                    </w:rPr>
                    <w:t>路</w:t>
                  </w:r>
                  <w:r>
                    <w:rPr>
                      <w:rFonts w:ascii="宋体" w:hAnsi="宋体" w:cs="宋体" w:eastAsia="宋体"/>
                      <w:sz w:val="21"/>
                    </w:rPr>
                    <w:t>信号</w:t>
                  </w:r>
                </w:p>
                <w:p>
                  <w:pPr>
                    <w:pStyle w:val="null3"/>
                    <w:jc w:val="both"/>
                  </w:pPr>
                  <w:r>
                    <w:rPr>
                      <w:rFonts w:ascii="calibri" w:hAnsi="calibri" w:cs="calibri" w:eastAsia="calibri"/>
                      <w:sz w:val="21"/>
                    </w:rPr>
                    <w:t>10.2</w:t>
                  </w:r>
                  <w:r>
                    <w:rPr>
                      <w:rFonts w:ascii="宋体" w:hAnsi="宋体" w:cs="宋体" w:eastAsia="宋体"/>
                      <w:sz w:val="21"/>
                    </w:rPr>
                    <w:t>扫描像素</w:t>
                  </w:r>
                  <w:r>
                    <w:rPr>
                      <w:rFonts w:ascii="calibri" w:hAnsi="calibri" w:cs="calibri" w:eastAsia="calibri"/>
                      <w:sz w:val="21"/>
                    </w:rPr>
                    <w:t>≥2048×2048</w:t>
                  </w:r>
                </w:p>
                <w:p>
                  <w:pPr>
                    <w:pStyle w:val="null3"/>
                    <w:jc w:val="both"/>
                  </w:pPr>
                  <w:r>
                    <w:rPr>
                      <w:rFonts w:ascii="calibri" w:hAnsi="calibri" w:cs="calibri" w:eastAsia="calibri"/>
                      <w:sz w:val="21"/>
                    </w:rPr>
                    <w:t>10.</w:t>
                  </w:r>
                  <w:r>
                    <w:rPr>
                      <w:rFonts w:ascii="calibri" w:hAnsi="calibri" w:cs="calibri" w:eastAsia="calibri"/>
                      <w:sz w:val="21"/>
                    </w:rPr>
                    <w:t>3</w:t>
                  </w:r>
                  <w:r>
                    <w:rPr>
                      <w:rFonts w:ascii="宋体" w:hAnsi="宋体" w:cs="宋体" w:eastAsia="宋体"/>
                      <w:sz w:val="21"/>
                    </w:rPr>
                    <w:t>动态模式探针频率范围：</w:t>
                  </w:r>
                  <w:r>
                    <w:rPr>
                      <w:rFonts w:ascii="calibri" w:hAnsi="calibri" w:cs="calibri" w:eastAsia="calibri"/>
                      <w:sz w:val="21"/>
                    </w:rPr>
                    <w:t>1KHz~500kHz</w:t>
                  </w:r>
                  <w:r>
                    <w:rPr>
                      <w:rFonts w:ascii="宋体" w:hAnsi="宋体" w:cs="宋体" w:eastAsia="宋体"/>
                      <w:sz w:val="21"/>
                    </w:rPr>
                    <w:t>，最小步进值为</w:t>
                  </w:r>
                  <w:r>
                    <w:rPr>
                      <w:rFonts w:ascii="calibri" w:hAnsi="calibri" w:cs="calibri" w:eastAsia="calibri"/>
                      <w:sz w:val="21"/>
                    </w:rPr>
                    <w:t>1Hz</w:t>
                  </w:r>
                  <w:r>
                    <w:rPr>
                      <w:rFonts w:ascii="宋体" w:hAnsi="宋体" w:cs="宋体" w:eastAsia="宋体"/>
                      <w:sz w:val="21"/>
                    </w:rPr>
                    <w:t>，</w:t>
                  </w:r>
                  <w:r>
                    <w:rPr>
                      <w:rFonts w:ascii="宋体" w:hAnsi="宋体" w:cs="宋体" w:eastAsia="宋体"/>
                      <w:sz w:val="21"/>
                      <w:b/>
                    </w:rPr>
                    <w:t>提供相关证明材料（不限于官网截图、产品彩页、技术白皮书等）</w:t>
                  </w:r>
                </w:p>
                <w:p>
                  <w:pPr>
                    <w:pStyle w:val="null3"/>
                    <w:jc w:val="both"/>
                  </w:pPr>
                  <w:r>
                    <w:rPr>
                      <w:rFonts w:ascii="calibri" w:hAnsi="calibri" w:cs="calibri" w:eastAsia="calibri"/>
                      <w:sz w:val="21"/>
                    </w:rPr>
                    <w:t>10.</w:t>
                  </w:r>
                  <w:r>
                    <w:rPr>
                      <w:rFonts w:ascii="calibri" w:hAnsi="calibri" w:cs="calibri" w:eastAsia="calibri"/>
                      <w:sz w:val="21"/>
                    </w:rPr>
                    <w:t>4</w:t>
                  </w:r>
                  <w:r>
                    <w:rPr>
                      <w:rFonts w:ascii="宋体" w:hAnsi="宋体" w:cs="宋体" w:eastAsia="宋体"/>
                      <w:sz w:val="21"/>
                    </w:rPr>
                    <w:t>样品全自动趋近，无需事先手动缩小</w:t>
                  </w:r>
                  <w:r>
                    <w:rPr>
                      <w:rFonts w:ascii="宋体" w:hAnsi="宋体" w:cs="宋体" w:eastAsia="宋体"/>
                      <w:sz w:val="21"/>
                    </w:rPr>
                    <w:t>样品与探针间的</w:t>
                  </w:r>
                  <w:r>
                    <w:rPr>
                      <w:rFonts w:ascii="宋体" w:hAnsi="宋体" w:cs="宋体" w:eastAsia="宋体"/>
                      <w:sz w:val="21"/>
                    </w:rPr>
                    <w:t>间距</w:t>
                  </w:r>
                  <w:r>
                    <w:rPr>
                      <w:rFonts w:ascii="宋体" w:hAnsi="宋体" w:cs="宋体" w:eastAsia="宋体"/>
                      <w:sz w:val="21"/>
                    </w:rPr>
                    <w:t>，</w:t>
                  </w:r>
                  <w:r>
                    <w:rPr>
                      <w:rFonts w:ascii="宋体" w:hAnsi="宋体" w:cs="宋体" w:eastAsia="宋体"/>
                      <w:sz w:val="21"/>
                    </w:rPr>
                    <w:t>最小趋近步长</w:t>
                  </w:r>
                  <w:r>
                    <w:rPr>
                      <w:rFonts w:ascii="宋体" w:hAnsi="宋体" w:cs="宋体" w:eastAsia="宋体"/>
                      <w:sz w:val="21"/>
                    </w:rPr>
                    <w:t>≤</w:t>
                  </w:r>
                  <w:r>
                    <w:rPr>
                      <w:rFonts w:ascii="宋体" w:hAnsi="宋体" w:cs="宋体" w:eastAsia="宋体"/>
                      <w:sz w:val="21"/>
                    </w:rPr>
                    <w:t>22nm</w:t>
                  </w:r>
                  <w:r>
                    <w:rPr>
                      <w:rFonts w:ascii="calibri" w:hAnsi="calibri" w:cs="calibri" w:eastAsia="calibri"/>
                      <w:sz w:val="21"/>
                    </w:rPr>
                    <w:t xml:space="preserve"> </w:t>
                  </w:r>
                </w:p>
                <w:p>
                  <w:pPr>
                    <w:pStyle w:val="null3"/>
                    <w:jc w:val="both"/>
                  </w:pPr>
                  <w:r>
                    <w:rPr>
                      <w:rFonts w:ascii="calibri" w:hAnsi="calibri" w:cs="calibri" w:eastAsia="calibri"/>
                      <w:sz w:val="21"/>
                    </w:rPr>
                    <w:t>10.</w:t>
                  </w:r>
                  <w:r>
                    <w:rPr>
                      <w:rFonts w:ascii="calibri" w:hAnsi="calibri" w:cs="calibri" w:eastAsia="calibri"/>
                      <w:sz w:val="21"/>
                    </w:rPr>
                    <w:t>5</w:t>
                  </w:r>
                  <w:r>
                    <w:rPr>
                      <w:rFonts w:ascii="calibri" w:hAnsi="calibri" w:cs="calibri" w:eastAsia="calibri"/>
                      <w:sz w:val="21"/>
                    </w:rPr>
                    <w:t xml:space="preserve"> </w:t>
                  </w:r>
                  <w:r>
                    <w:rPr>
                      <w:rFonts w:ascii="宋体" w:hAnsi="宋体" w:cs="宋体" w:eastAsia="宋体"/>
                      <w:sz w:val="21"/>
                    </w:rPr>
                    <w:t>扫描精度控制：</w:t>
                  </w:r>
                  <w:r>
                    <w:rPr>
                      <w:rFonts w:ascii="calibri" w:hAnsi="calibri" w:cs="calibri" w:eastAsia="calibri"/>
                      <w:sz w:val="21"/>
                    </w:rPr>
                    <w:t>XY</w:t>
                  </w:r>
                  <w:r>
                    <w:rPr>
                      <w:rFonts w:ascii="宋体" w:hAnsi="宋体" w:cs="宋体" w:eastAsia="宋体"/>
                      <w:sz w:val="21"/>
                    </w:rPr>
                    <w:t>方向：</w:t>
                  </w:r>
                  <w:r>
                    <w:rPr>
                      <w:rFonts w:ascii="calibri" w:hAnsi="calibri" w:cs="calibri" w:eastAsia="calibri"/>
                      <w:sz w:val="21"/>
                    </w:rPr>
                    <w:t>≥16</w:t>
                  </w:r>
                  <w:r>
                    <w:rPr>
                      <w:rFonts w:ascii="宋体" w:hAnsi="宋体" w:cs="宋体" w:eastAsia="宋体"/>
                      <w:sz w:val="21"/>
                    </w:rPr>
                    <w:t>位控制，</w:t>
                  </w:r>
                  <w:r>
                    <w:rPr>
                      <w:rFonts w:ascii="calibri" w:hAnsi="calibri" w:cs="calibri" w:eastAsia="calibri"/>
                      <w:sz w:val="21"/>
                    </w:rPr>
                    <w:t>Z</w:t>
                  </w:r>
                  <w:r>
                    <w:rPr>
                      <w:rFonts w:ascii="宋体" w:hAnsi="宋体" w:cs="宋体" w:eastAsia="宋体"/>
                      <w:sz w:val="21"/>
                    </w:rPr>
                    <w:t>方向：</w:t>
                  </w:r>
                  <w:r>
                    <w:rPr>
                      <w:rFonts w:ascii="calibri" w:hAnsi="calibri" w:cs="calibri" w:eastAsia="calibri"/>
                      <w:sz w:val="21"/>
                    </w:rPr>
                    <w:t>≥2</w:t>
                  </w:r>
                  <w:r>
                    <w:rPr>
                      <w:rFonts w:ascii="calibri" w:hAnsi="calibri" w:cs="calibri" w:eastAsia="calibri"/>
                      <w:sz w:val="21"/>
                    </w:rPr>
                    <w:t>5</w:t>
                  </w:r>
                  <w:r>
                    <w:rPr>
                      <w:rFonts w:ascii="宋体" w:hAnsi="宋体" w:cs="宋体" w:eastAsia="宋体"/>
                      <w:sz w:val="21"/>
                    </w:rPr>
                    <w:t>位控制</w:t>
                  </w:r>
                  <w:r>
                    <w:rPr>
                      <w:rFonts w:ascii="宋体" w:hAnsi="宋体" w:cs="宋体" w:eastAsia="宋体"/>
                      <w:sz w:val="21"/>
                    </w:rPr>
                    <w:t>，</w:t>
                  </w:r>
                  <w:r>
                    <w:rPr>
                      <w:rFonts w:ascii="宋体" w:hAnsi="宋体" w:cs="宋体" w:eastAsia="宋体"/>
                      <w:sz w:val="21"/>
                      <w:b/>
                    </w:rPr>
                    <w:t>提供相关证明材料（不限于官网截图、产品彩页、技术白皮书等）</w:t>
                  </w:r>
                </w:p>
                <w:p>
                  <w:pPr>
                    <w:pStyle w:val="null3"/>
                    <w:jc w:val="both"/>
                  </w:pPr>
                  <w:r>
                    <w:rPr>
                      <w:rFonts w:ascii="calibri" w:hAnsi="calibri" w:cs="calibri" w:eastAsia="calibri"/>
                      <w:sz w:val="21"/>
                    </w:rPr>
                    <w:t xml:space="preserve">10.6 </w:t>
                  </w:r>
                  <w:r>
                    <w:rPr>
                      <w:rFonts w:ascii="宋体" w:hAnsi="宋体" w:cs="宋体" w:eastAsia="宋体"/>
                      <w:sz w:val="21"/>
                    </w:rPr>
                    <w:t>自动功能</w:t>
                  </w:r>
                  <w:r>
                    <w:rPr>
                      <w:rFonts w:ascii="宋体" w:hAnsi="宋体" w:cs="宋体" w:eastAsia="宋体"/>
                      <w:sz w:val="21"/>
                    </w:rPr>
                    <w:t>：具备</w:t>
                  </w:r>
                  <w:r>
                    <w:rPr>
                      <w:rFonts w:ascii="宋体" w:hAnsi="宋体" w:cs="宋体" w:eastAsia="宋体"/>
                      <w:sz w:val="21"/>
                    </w:rPr>
                    <w:t>扫描重启功能</w:t>
                  </w:r>
                  <w:r>
                    <w:rPr>
                      <w:rFonts w:ascii="宋体" w:hAnsi="宋体" w:cs="宋体" w:eastAsia="宋体"/>
                      <w:sz w:val="21"/>
                    </w:rPr>
                    <w:t>，具备</w:t>
                  </w:r>
                  <w:r>
                    <w:rPr>
                      <w:rFonts w:ascii="calibri" w:hAnsi="calibri" w:cs="calibri" w:eastAsia="calibri"/>
                      <w:sz w:val="21"/>
                    </w:rPr>
                    <w:t>Z</w:t>
                  </w:r>
                  <w:r>
                    <w:rPr>
                      <w:rFonts w:ascii="宋体" w:hAnsi="宋体" w:cs="宋体" w:eastAsia="宋体"/>
                      <w:sz w:val="21"/>
                    </w:rPr>
                    <w:t>偏置自动调整功能</w:t>
                  </w:r>
                  <w:r>
                    <w:rPr>
                      <w:rFonts w:ascii="宋体" w:hAnsi="宋体" w:cs="宋体" w:eastAsia="宋体"/>
                      <w:sz w:val="21"/>
                    </w:rPr>
                    <w:t>，具备</w:t>
                  </w:r>
                  <w:r>
                    <w:rPr>
                      <w:rFonts w:ascii="宋体" w:hAnsi="宋体" w:cs="宋体" w:eastAsia="宋体"/>
                      <w:sz w:val="21"/>
                    </w:rPr>
                    <w:t>探针保护功能</w:t>
                  </w:r>
                </w:p>
                <w:p>
                  <w:pPr>
                    <w:pStyle w:val="null3"/>
                    <w:jc w:val="both"/>
                  </w:pPr>
                  <w:r>
                    <w:rPr>
                      <w:rFonts w:ascii="calibri" w:hAnsi="calibri" w:cs="calibri" w:eastAsia="calibri"/>
                      <w:sz w:val="21"/>
                    </w:rPr>
                    <w:t>11</w:t>
                  </w:r>
                  <w:r>
                    <w:rPr>
                      <w:rFonts w:ascii="宋体" w:hAnsi="宋体" w:cs="宋体" w:eastAsia="宋体"/>
                      <w:sz w:val="21"/>
                    </w:rPr>
                    <w:t>、软件系统</w:t>
                  </w:r>
                </w:p>
                <w:p>
                  <w:pPr>
                    <w:pStyle w:val="null3"/>
                    <w:jc w:val="both"/>
                  </w:pPr>
                  <w:r>
                    <w:rPr>
                      <w:rFonts w:ascii="calibri" w:hAnsi="calibri" w:cs="calibri" w:eastAsia="calibri"/>
                      <w:sz w:val="21"/>
                    </w:rPr>
                    <w:t xml:space="preserve">11.1 </w:t>
                  </w:r>
                  <w:r>
                    <w:rPr>
                      <w:rFonts w:ascii="宋体" w:hAnsi="宋体" w:cs="宋体" w:eastAsia="宋体"/>
                      <w:sz w:val="21"/>
                    </w:rPr>
                    <w:t>全套在线分析软件：具备完备的</w:t>
                  </w:r>
                  <w:r>
                    <w:rPr>
                      <w:rFonts w:ascii="calibri" w:hAnsi="calibri" w:cs="calibri" w:eastAsia="calibri"/>
                      <w:sz w:val="21"/>
                    </w:rPr>
                    <w:t>AFM</w:t>
                  </w:r>
                  <w:r>
                    <w:rPr>
                      <w:rFonts w:ascii="宋体" w:hAnsi="宋体" w:cs="宋体" w:eastAsia="宋体"/>
                      <w:sz w:val="21"/>
                    </w:rPr>
                    <w:t>在线控制功能，包括导航模式（一键实现基本观察功能）和高级模式；</w:t>
                  </w:r>
                  <w:r>
                    <w:rPr>
                      <w:rFonts w:ascii="calibri" w:hAnsi="calibri" w:cs="calibri" w:eastAsia="calibri"/>
                      <w:sz w:val="21"/>
                    </w:rPr>
                    <w:t>trace/retrace</w:t>
                  </w:r>
                  <w:r>
                    <w:rPr>
                      <w:rFonts w:ascii="宋体" w:hAnsi="宋体" w:cs="宋体" w:eastAsia="宋体"/>
                      <w:sz w:val="21"/>
                    </w:rPr>
                    <w:t>同时测定并可任意调整扫描角度；扫描器各轴独立校准；显示主机以及各单元工作状态；扫描条件预设等。</w:t>
                  </w:r>
                </w:p>
                <w:p>
                  <w:pPr>
                    <w:pStyle w:val="null3"/>
                    <w:jc w:val="both"/>
                  </w:pPr>
                  <w:r>
                    <w:rPr>
                      <w:rFonts w:ascii="calibri" w:hAnsi="calibri" w:cs="calibri" w:eastAsia="calibri"/>
                      <w:sz w:val="21"/>
                    </w:rPr>
                    <w:t xml:space="preserve">11.2 </w:t>
                  </w:r>
                  <w:r>
                    <w:rPr>
                      <w:rFonts w:ascii="宋体" w:hAnsi="宋体" w:cs="宋体" w:eastAsia="宋体"/>
                      <w:sz w:val="21"/>
                    </w:rPr>
                    <w:t>全套离线分析软件：图像数据可显示为常规伪彩色灰度图和</w:t>
                  </w:r>
                  <w:r>
                    <w:rPr>
                      <w:rFonts w:ascii="calibri" w:hAnsi="calibri" w:cs="calibri" w:eastAsia="calibri"/>
                      <w:sz w:val="21"/>
                    </w:rPr>
                    <w:t>3D</w:t>
                  </w:r>
                  <w:r>
                    <w:rPr>
                      <w:rFonts w:ascii="宋体" w:hAnsi="宋体" w:cs="宋体" w:eastAsia="宋体"/>
                      <w:sz w:val="21"/>
                    </w:rPr>
                    <w:t>显示；图像处理功能包括倾斜修正、消除噪声线、局部滤波、频率滤波、图像放大、旋转和翻转，线提取和宏处理等</w:t>
                  </w:r>
                  <w:r>
                    <w:rPr>
                      <w:rFonts w:ascii="宋体" w:hAnsi="宋体" w:cs="宋体" w:eastAsia="宋体"/>
                      <w:sz w:val="21"/>
                    </w:rPr>
                    <w:t>；具备</w:t>
                  </w:r>
                  <w:r>
                    <w:rPr>
                      <w:rFonts w:ascii="宋体" w:hAnsi="宋体" w:cs="宋体" w:eastAsia="宋体"/>
                      <w:sz w:val="21"/>
                    </w:rPr>
                    <w:t>图像处理</w:t>
                  </w:r>
                  <w:r>
                    <w:rPr>
                      <w:rFonts w:ascii="宋体" w:hAnsi="宋体" w:cs="宋体" w:eastAsia="宋体"/>
                      <w:sz w:val="21"/>
                    </w:rPr>
                    <w:t>分析具备</w:t>
                  </w:r>
                  <w:r>
                    <w:rPr>
                      <w:rFonts w:ascii="宋体" w:hAnsi="宋体" w:cs="宋体" w:eastAsia="宋体"/>
                      <w:sz w:val="21"/>
                    </w:rPr>
                    <w:t>粒度分析</w:t>
                  </w:r>
                  <w:r>
                    <w:rPr>
                      <w:rFonts w:ascii="宋体" w:hAnsi="宋体" w:cs="宋体" w:eastAsia="宋体"/>
                      <w:sz w:val="21"/>
                    </w:rPr>
                    <w:t>功能。</w:t>
                  </w:r>
                </w:p>
                <w:p>
                  <w:pPr>
                    <w:pStyle w:val="null3"/>
                    <w:jc w:val="both"/>
                  </w:pPr>
                  <w:r>
                    <w:rPr>
                      <w:rFonts w:ascii="calibri" w:hAnsi="calibri" w:cs="calibri" w:eastAsia="calibri"/>
                      <w:sz w:val="21"/>
                    </w:rPr>
                    <w:t>11.3 Z-</w:t>
                  </w:r>
                  <w:r>
                    <w:rPr>
                      <w:rFonts w:ascii="宋体" w:hAnsi="宋体" w:cs="宋体" w:eastAsia="宋体"/>
                      <w:sz w:val="21"/>
                    </w:rPr>
                    <w:t>轴扫描范围控制（可以自动调整），轨迹跟踪线示波器显示和图像扫描同步显示， 实时倾斜修正，断面峰形显示：任何两点之间联机长度测量与联机峰形显示等</w:t>
                  </w:r>
                </w:p>
                <w:p>
                  <w:pPr>
                    <w:pStyle w:val="null3"/>
                    <w:jc w:val="both"/>
                  </w:pPr>
                  <w:r>
                    <w:rPr>
                      <w:rFonts w:ascii="calibri" w:hAnsi="calibri" w:cs="calibri" w:eastAsia="calibri"/>
                      <w:sz w:val="21"/>
                    </w:rPr>
                    <w:t>11.4</w:t>
                  </w:r>
                  <w:r>
                    <w:rPr>
                      <w:rFonts w:ascii="宋体" w:hAnsi="宋体" w:cs="宋体" w:eastAsia="宋体"/>
                      <w:sz w:val="21"/>
                    </w:rPr>
                    <w:t>可对样品的粘附力与杨氏模量进行点分析和阵列分布分析，可对已获取的数据进行</w:t>
                  </w:r>
                  <w:r>
                    <w:rPr>
                      <w:rFonts w:ascii="calibri" w:hAnsi="calibri" w:cs="calibri" w:eastAsia="calibri"/>
                      <w:sz w:val="21"/>
                    </w:rPr>
                    <w:t>3D</w:t>
                  </w:r>
                  <w:r>
                    <w:rPr>
                      <w:rFonts w:ascii="宋体" w:hAnsi="宋体" w:cs="宋体" w:eastAsia="宋体"/>
                      <w:sz w:val="21"/>
                    </w:rPr>
                    <w:t>显示。</w:t>
                  </w:r>
                </w:p>
                <w:p>
                  <w:pPr>
                    <w:pStyle w:val="null3"/>
                    <w:jc w:val="both"/>
                  </w:pPr>
                  <w:r>
                    <w:rPr>
                      <w:rFonts w:ascii="宋体" w:hAnsi="宋体" w:cs="宋体" w:eastAsia="宋体"/>
                      <w:sz w:val="21"/>
                    </w:rPr>
                    <w:t>二</w:t>
                  </w:r>
                  <w:r>
                    <w:rPr>
                      <w:rFonts w:ascii="宋体" w:hAnsi="宋体" w:cs="宋体" w:eastAsia="宋体"/>
                      <w:sz w:val="21"/>
                    </w:rPr>
                    <w:t>、配置要求</w:t>
                  </w:r>
                </w:p>
                <w:p>
                  <w:pPr>
                    <w:pStyle w:val="null3"/>
                    <w:jc w:val="both"/>
                  </w:pPr>
                  <w:r>
                    <w:rPr>
                      <w:rFonts w:ascii="宋体" w:hAnsi="宋体" w:cs="宋体" w:eastAsia="宋体"/>
                      <w:sz w:val="21"/>
                    </w:rPr>
                    <w:t>工作站（不低于</w:t>
                  </w:r>
                  <w:r>
                    <w:rPr>
                      <w:rFonts w:ascii="calibri" w:hAnsi="calibri" w:cs="calibri" w:eastAsia="calibri"/>
                      <w:sz w:val="21"/>
                    </w:rPr>
                    <w:t>I7</w:t>
                  </w:r>
                  <w:r>
                    <w:rPr>
                      <w:rFonts w:ascii="宋体" w:hAnsi="宋体" w:cs="宋体" w:eastAsia="宋体"/>
                      <w:sz w:val="21"/>
                    </w:rPr>
                    <w:t>处理器</w:t>
                  </w:r>
                  <w:r>
                    <w:rPr>
                      <w:rFonts w:ascii="calibri" w:hAnsi="calibri" w:cs="calibri" w:eastAsia="calibri"/>
                      <w:sz w:val="21"/>
                    </w:rPr>
                    <w:t>16G</w:t>
                  </w:r>
                  <w:r>
                    <w:rPr>
                      <w:rFonts w:ascii="宋体" w:hAnsi="宋体" w:cs="宋体" w:eastAsia="宋体"/>
                      <w:sz w:val="21"/>
                    </w:rPr>
                    <w:t>内存</w:t>
                  </w:r>
                  <w:r>
                    <w:rPr>
                      <w:rFonts w:ascii="calibri" w:hAnsi="calibri" w:cs="calibri" w:eastAsia="calibri"/>
                      <w:sz w:val="21"/>
                    </w:rPr>
                    <w:t>1000G</w:t>
                  </w:r>
                  <w:r>
                    <w:rPr>
                      <w:rFonts w:ascii="宋体" w:hAnsi="宋体" w:cs="宋体" w:eastAsia="宋体"/>
                      <w:sz w:val="21"/>
                    </w:rPr>
                    <w:t>硬盘）</w:t>
                  </w:r>
                  <w:r>
                    <w:rPr>
                      <w:rFonts w:ascii="calibri" w:hAnsi="calibri" w:cs="calibri" w:eastAsia="calibri"/>
                      <w:sz w:val="21"/>
                    </w:rPr>
                    <w:t>1</w:t>
                  </w:r>
                  <w:r>
                    <w:rPr>
                      <w:rFonts w:ascii="宋体" w:hAnsi="宋体" w:cs="宋体" w:eastAsia="宋体"/>
                      <w:sz w:val="21"/>
                    </w:rPr>
                    <w:t>套</w:t>
                  </w:r>
                </w:p>
              </w:tc>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calibri" w:hAnsi="calibri" w:cs="calibri" w:eastAsia="calibri"/>
                      <w:sz w:val="28"/>
                    </w:rPr>
                    <w:t>1</w:t>
                  </w:r>
                </w:p>
              </w:tc>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8"/>
                    </w:rPr>
                    <w:t>套</w:t>
                  </w:r>
                </w:p>
              </w:tc>
            </w:tr>
          </w:tbl>
          <w:p>
            <w:pPr>
              <w:pStyle w:val="null3"/>
              <w:jc w:val="both"/>
            </w:pPr>
            <w:r>
              <w:rPr>
                <w:rFonts w:ascii="宋体" w:hAnsi="宋体" w:cs="宋体" w:eastAsia="宋体"/>
                <w:sz w:val="24"/>
                <w:b/>
              </w:rPr>
              <w:t>以上所有要求不允许负偏离，有一项负偏离为无效响应。采购需求中要求提供证明材料的需提供证明材料，其他以《投标产品技术指标偏离表》响应为准。</w:t>
            </w:r>
          </w:p>
        </w:tc>
      </w:tr>
    </w:tbl>
    <w:p>
      <w:pPr>
        <w:pStyle w:val="null3"/>
        <w:outlineLvl w:val="2"/>
      </w:pPr>
      <w:r>
        <w:rPr>
          <w:sz w:val="28"/>
          <w:b/>
        </w:rPr>
        <w:t>3.4商务要求</w:t>
      </w:r>
    </w:p>
    <w:p>
      <w:pPr>
        <w:pStyle w:val="null3"/>
        <w:outlineLvl w:val="3"/>
      </w:pPr>
      <w:r>
        <w:rPr>
          <w:sz w:val="24"/>
          <w:b/>
        </w:rPr>
        <w:t>3.4.1交货时间</w:t>
      </w:r>
    </w:p>
    <w:p>
      <w:pPr>
        <w:pStyle w:val="null3"/>
      </w:pPr>
      <w:r>
        <w:rPr/>
        <w:t>采购包1：</w:t>
      </w:r>
    </w:p>
    <w:p>
      <w:pPr>
        <w:pStyle w:val="null3"/>
      </w:pPr>
      <w:r>
        <w:rPr/>
        <w:t>合同签订后90日内安装调试交付使用</w:t>
      </w:r>
    </w:p>
    <w:p>
      <w:pPr>
        <w:pStyle w:val="null3"/>
      </w:pPr>
      <w:r>
        <w:rPr/>
        <w:t>采购包2：</w:t>
      </w:r>
    </w:p>
    <w:p>
      <w:pPr>
        <w:pStyle w:val="null3"/>
      </w:pPr>
      <w:r>
        <w:rPr/>
        <w:t>合同签订后90日内安装调试交付使用</w:t>
      </w:r>
    </w:p>
    <w:p>
      <w:pPr>
        <w:pStyle w:val="null3"/>
        <w:outlineLvl w:val="3"/>
      </w:pPr>
      <w:r>
        <w:rPr>
          <w:sz w:val="24"/>
          <w:b/>
        </w:rPr>
        <w:t>3.4.2交货地点和方式</w:t>
      </w:r>
    </w:p>
    <w:p>
      <w:pPr>
        <w:pStyle w:val="null3"/>
      </w:pPr>
      <w:r>
        <w:rPr/>
        <w:t>采购包1：</w:t>
      </w:r>
    </w:p>
    <w:p>
      <w:pPr>
        <w:pStyle w:val="null3"/>
      </w:pPr>
      <w:r>
        <w:rPr/>
        <w:t>西北大学文化遗产学院指定地点</w:t>
      </w:r>
    </w:p>
    <w:p>
      <w:pPr>
        <w:pStyle w:val="null3"/>
      </w:pPr>
      <w:r>
        <w:rPr/>
        <w:t>采购包2：</w:t>
      </w:r>
    </w:p>
    <w:p>
      <w:pPr>
        <w:pStyle w:val="null3"/>
      </w:pPr>
      <w:r>
        <w:rPr/>
        <w:t>西北大学文化遗产学院指定地点</w:t>
      </w:r>
    </w:p>
    <w:p>
      <w:pPr>
        <w:pStyle w:val="null3"/>
        <w:outlineLvl w:val="3"/>
      </w:pPr>
      <w:r>
        <w:rPr>
          <w:sz w:val="24"/>
          <w:b/>
        </w:rPr>
        <w:t>3.4.3支付方式</w:t>
      </w:r>
    </w:p>
    <w:p>
      <w:pPr>
        <w:pStyle w:val="null3"/>
      </w:pPr>
      <w:r>
        <w:rPr/>
        <w:t>采购包1：</w:t>
      </w:r>
    </w:p>
    <w:p>
      <w:pPr>
        <w:pStyle w:val="null3"/>
      </w:pPr>
      <w:r>
        <w:rPr/>
        <w:t>一次付清</w:t>
      </w:r>
    </w:p>
    <w:p>
      <w:pPr>
        <w:pStyle w:val="null3"/>
      </w:pPr>
      <w:r>
        <w:rPr/>
        <w:t>采购包2：</w:t>
      </w:r>
    </w:p>
    <w:p>
      <w:pPr>
        <w:pStyle w:val="null3"/>
      </w:pPr>
      <w:r>
        <w:rPr/>
        <w:t>一次付清</w:t>
      </w:r>
    </w:p>
    <w:p>
      <w:pPr>
        <w:pStyle w:val="null3"/>
        <w:outlineLvl w:val="3"/>
      </w:pPr>
      <w:r>
        <w:rPr>
          <w:sz w:val="24"/>
          <w:b/>
        </w:rPr>
        <w:t>3.4.4支付约定</w:t>
      </w:r>
    </w:p>
    <w:p>
      <w:pPr>
        <w:pStyle w:val="null3"/>
      </w:pPr>
      <w:r>
        <w:rPr/>
        <w:t>采购包1：</w:t>
      </w:r>
      <w:r>
        <w:rPr/>
        <w:t xml:space="preserve"> 付款条件说明： </w:t>
      </w:r>
      <w:r>
        <w:rPr/>
        <w:t>①国产设备：合同生效后，中标供应商开具合同金额等额银行保函，采购人收到银行保函正本后预付合同货款，待货物到达指定地点、安装调试验收合格后，采购人退还银行保函正本。②进口设备：合同生效后，由甲方通过进出口业务代理公司向乙方开出100%信用证，待货物到货、安装调试、并经学校组织验收合格后，由甲方通知进出口业务代理公司向乙方解付。</w:t>
      </w:r>
      <w:r>
        <w:rPr/>
        <w:t xml:space="preserve"> ，达到付款条件起 </w:t>
      </w:r>
      <w:r>
        <w:rPr/>
        <w:t>30</w:t>
      </w:r>
      <w:r>
        <w:rPr/>
        <w:t xml:space="preserve"> 日内，支付合同总金额的 </w:t>
      </w:r>
      <w:r>
        <w:rPr/>
        <w:t>100.00</w:t>
      </w:r>
      <w:r>
        <w:rPr/>
        <w:t>%。</w:t>
      </w:r>
    </w:p>
    <w:p>
      <w:pPr>
        <w:pStyle w:val="null3"/>
      </w:pPr>
      <w:r>
        <w:rPr/>
        <w:t>采购包2：</w:t>
      </w:r>
      <w:r>
        <w:rPr/>
        <w:t xml:space="preserve"> 付款条件说明： </w:t>
      </w:r>
      <w:r>
        <w:rPr/>
        <w:t>①国产设备：合同生效后，中标供应商开具合同金额等额银行保函，采购人收到银行保函正本后预付合同货款，待货物到达指定地点、安装调试验收合格后，采购人退还银行保函正本。②进口设备：合同生效后，由甲方通过进出口业务代理公司向乙方开出100%信用证，待货物到货、安装调试、并经学校组织验收合格后，由甲方通知进出口业务代理公司向乙方解付。</w:t>
      </w:r>
      <w:r>
        <w:rPr/>
        <w:t xml:space="preserve"> ，达到付款条件起 </w:t>
      </w:r>
      <w:r>
        <w:rPr/>
        <w:t>30</w:t>
      </w:r>
      <w:r>
        <w:rPr/>
        <w:t xml:space="preserve"> 日内，支付合同总金额的 </w:t>
      </w:r>
      <w:r>
        <w:rPr/>
        <w:t>100.00</w:t>
      </w:r>
      <w:r>
        <w:rPr/>
        <w:t>%。</w:t>
      </w:r>
    </w:p>
    <w:p>
      <w:pPr>
        <w:pStyle w:val="null3"/>
        <w:outlineLvl w:val="3"/>
      </w:pPr>
      <w:r>
        <w:rPr>
          <w:sz w:val="24"/>
          <w:b/>
        </w:rPr>
        <w:t>3.4.5验收标准和方法</w:t>
      </w:r>
    </w:p>
    <w:p>
      <w:pPr>
        <w:pStyle w:val="null3"/>
      </w:pPr>
      <w:r>
        <w:rPr/>
        <w:t>采购包1：</w:t>
      </w:r>
    </w:p>
    <w:p>
      <w:pPr>
        <w:pStyle w:val="null3"/>
      </w:pPr>
      <w:r>
        <w:rPr/>
        <w:t>（1）验收分初次开箱验收和学校最终验收两个阶段，以最终验收为准； （2）货物到货后，甲、乙双方共同开箱验收。如属于检验检疫法检目录内货物，由甲乙双方会同海关共同开箱验收。在检查货物原产地、型号、规格、配置符合合同要求后，由乙方负责安装调试、甲方负责技术验收（乙方协助），验收以国内行业标准或合同文本货物供货配置清单中描述的有关技术要求为准； （3）在货物安装调试运行正常后，甲方（采购单位）按学校相关业务部门规定提交验收申请，学校根据采购单位技术验收结果，组织有关专家进行货物的最终验收。</w:t>
      </w:r>
    </w:p>
    <w:p>
      <w:pPr>
        <w:pStyle w:val="null3"/>
      </w:pPr>
      <w:r>
        <w:rPr/>
        <w:t>采购包2：</w:t>
      </w:r>
    </w:p>
    <w:p>
      <w:pPr>
        <w:pStyle w:val="null3"/>
      </w:pPr>
      <w:r>
        <w:rPr/>
        <w:t>（1）验收分初次开箱验收和学校最终验收两个阶段，以最终验收为准； （2）货物到货后，甲、乙双方共同开箱验收。如属于检验检疫法检目录内货物，由甲乙双方会同海关共同开箱验收。在检查货物原产地、型号、规格、配置符合合同要求后，由乙方负责安装调试、甲方负责技术验收（乙方协助），验收以国内行业标准或合同文本货物供货配置清单中描述的有关技术要求为准； （3）在货物安装调试运行正常后，甲方（采购单位）按学校相关业务部门规定提交验收申请，学校根据采购单位技术验收结果，组织有关专家进行货物的最终验收。</w:t>
      </w:r>
    </w:p>
    <w:p>
      <w:pPr>
        <w:pStyle w:val="null3"/>
        <w:outlineLvl w:val="3"/>
      </w:pPr>
      <w:r>
        <w:rPr>
          <w:sz w:val="24"/>
          <w:b/>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t>采购包2：</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sz w:val="24"/>
          <w:b/>
        </w:rPr>
        <w:t>3.4.7质量保修范围和保修期</w:t>
      </w:r>
    </w:p>
    <w:p>
      <w:pPr>
        <w:pStyle w:val="null3"/>
      </w:pPr>
      <w:r>
        <w:rPr/>
        <w:t>采购包1：</w:t>
      </w:r>
    </w:p>
    <w:p>
      <w:pPr>
        <w:pStyle w:val="null3"/>
      </w:pPr>
      <w:r>
        <w:rPr/>
        <w:t>1.质保期：自学校验收合格之日起1年。 2.售后服务标准要求：（1）质保期内供应商负责提供设备的维修及部件更换，质保期自采购人终验合格之日起计算。质保期满之前，供应商需派遣专业工程师对设备进行全面维护及校准。质保期满后，供应商对其提供的设备提供终身的技术支援。以上要求所产生的费用由供应商承担。（2）设备到货后，供应商负责安装和调试。设备安装调试期间，由供应商工程师在现场为采购人操作人员进行培训，受培训人数不限，培训内容包括但不限于：仪器原理、结构、操作、日常维护及保养等。设备使用一段时间后，供应商按采购人要求组织工程师，提供不少于3天的高阶应用培训。以上要求所产生的费用由供应商承担。 3.售后服务效率要求：即时响应（包括电话响应）；电话响应无法解决时，48小时内到达现场。修复时间72小时内；如72小时内无法修复，应提供相应解决方案。</w:t>
      </w:r>
    </w:p>
    <w:p>
      <w:pPr>
        <w:pStyle w:val="null3"/>
      </w:pPr>
      <w:r>
        <w:rPr/>
        <w:t>采购包2：</w:t>
      </w:r>
    </w:p>
    <w:p>
      <w:pPr>
        <w:pStyle w:val="null3"/>
      </w:pPr>
      <w:r>
        <w:rPr/>
        <w:t>1.质保期：自学校验收合格之日起1年。 2.售后服务标准要求：（1）质保期内供应商负责提供设备的维修及部件更换，质保期自采购人终验合格之日起计算。质保期满之前，供应商需派遣专业工程师对设备进行全面维护及校准。质保期满后，供应商对其提供的设备提供终身的技术支援。以上要求所产生的费用由供应商承担。（2）设备到货后，供应商负责安装和调试。设备安装调试期间，由供应商工程师在现场为采购人操作人员进行培训，受培训人数不限，培训内容包括但不限于：仪器原理、结构、操作、日常维护及保养等。设备使用一段时间后，供应商按采购人要求组织工程师，提供不少于3天的高阶应用培训。以上要求所产生的费用由供应商承担。 3.售后服务效率要求：即时响应（包括电话响应）；电话响应无法解决时，48小时内到达现场。修复时间72小时内；如72小时内无法修复，应提供相应解决方案。</w:t>
      </w:r>
    </w:p>
    <w:p>
      <w:pPr>
        <w:pStyle w:val="null3"/>
        <w:outlineLvl w:val="3"/>
      </w:pPr>
      <w:r>
        <w:rPr>
          <w:sz w:val="24"/>
          <w:b/>
        </w:rPr>
        <w:t>3.4.8违约责任及解决争议的方法</w:t>
      </w:r>
    </w:p>
    <w:p>
      <w:pPr>
        <w:pStyle w:val="null3"/>
      </w:pPr>
      <w:r>
        <w:rPr/>
        <w:t>采购包1：</w:t>
      </w:r>
    </w:p>
    <w:p>
      <w:pPr>
        <w:pStyle w:val="null3"/>
      </w:pPr>
      <w:r>
        <w:rPr/>
        <w:t>中标/成交供应商所交付货物不符合其投标承诺，存在偷工减料、以次充好情形的，采购人要求更换一次后仍不符合约定的，采购人有权解除采购合同，没收履约保证金，并将有关情况上报政府采购监管部门处理。</w:t>
      </w:r>
    </w:p>
    <w:p>
      <w:pPr>
        <w:pStyle w:val="null3"/>
      </w:pPr>
      <w:r>
        <w:rPr/>
        <w:t>采购包2：</w:t>
      </w:r>
    </w:p>
    <w:p>
      <w:pPr>
        <w:pStyle w:val="null3"/>
      </w:pPr>
      <w:r>
        <w:rPr/>
        <w:t>中标/成交供应商所交付货物不符合其投标承诺，存在偷工减料、以次充好情形的，采购人要求更换一次后仍不符合约定的，采购人有权解除采购合同，没收履约保证金，并将有关情况上报政府采购监管部门处理。</w:t>
      </w:r>
    </w:p>
    <w:p>
      <w:pPr>
        <w:pStyle w:val="null3"/>
        <w:jc w:val="left"/>
        <w:outlineLvl w:val="3"/>
      </w:pPr>
      <w:r>
        <w:rPr>
          <w:sz w:val="24"/>
          <w:b/>
        </w:rPr>
        <w:t>3.5其他要求</w:t>
      </w:r>
    </w:p>
    <w:p>
      <w:pPr>
        <w:pStyle w:val="null3"/>
      </w:pPr>
      <w:r>
        <w:rPr/>
        <w:t>采购包1：</w:t>
      </w:r>
    </w:p>
    <w:p>
      <w:pPr>
        <w:pStyle w:val="null3"/>
      </w:pPr>
      <w:r>
        <w:rPr/>
        <w:t>1.供应商需在线提交所有通过电子化交易平台实施的政府采购项目的响应文件，另外，在谈判截止时间前向代理机构递交密封、系统生成的纸质版响应文件贰份（胶装，封袋标注供应商名称、项目名称及包号）。代理机构对递交的文件签收，由监标人查验密封情况并记录，开标后交谈判小组，作为评审的辅助资料。递交方式：现场递交，或快递邮寄。 2.本项目谈判在采购系统线上进行，供应商需自行了解系统谈判的要求和操作流程。未按流程操作或无法联系以及供应商自身原因错过谈判的视为自动放弃谈判，其投标无效。 3.付款条件说明：①国产设备：合同生效后，中标供应商开具合同金额等额银行保函，采购人收到银行保函正本后预付合同货款，待货物到达指定地点、安装调试验收合格后，采购人退还银行保函正本。②进口设备：合同生效后，由甲方通过进出口业务代理公司向乙方开出100%信用证，待货物到货、安装调试、并经学校组织验收合格后，由甲方通知进出口业务代理公司向乙方解付。付款方式第三章支付约定不一致，以此处为准。 4.本项目采用两次报价，响应文件中的报价为首次报价，评审以第二次（最终报价）为准。</w:t>
      </w:r>
    </w:p>
    <w:p>
      <w:pPr>
        <w:pStyle w:val="null3"/>
      </w:pPr>
      <w:r>
        <w:rPr/>
        <w:t>采购包2：</w:t>
      </w:r>
    </w:p>
    <w:p>
      <w:pPr>
        <w:pStyle w:val="null3"/>
      </w:pPr>
      <w:r>
        <w:rPr/>
        <w:t>1.供应商需在线提交所有通过电子化交易平台实施的政府采购项目的响应文件，另外，在谈判截止时间前向代理机构递交密封、系统生成的纸质版响应文件贰份（胶装，封袋标注供应商名称、项目名称及包号）。代理机构对递交的文件签收，由监标人查验密封情况并记录，开标后交谈判小组，作为评审的辅助资料。递交方式：现场递交，或快递邮寄。 2.本项目谈判在采购系统线上进行，供应商需自行了解系统谈判的要求和操作流程。未按流程操作或无法联系以及供应商自身原因错过谈判的视为自动放弃谈判，其投标无效。 3.付款条件说明：①国产设备：合同生效后，中标供应商开具合同金额等额银行保函，采购人收到银行保函正本后预付合同货款，待货物到达指定地点、安装调试验收合格后，采购人退还银行保函正本。②进口设备：合同生效后，由甲方通过进出口业务代理公司向乙方开出100%信用证，待货物到货、安装调试、并经学校组织验收合格后，由甲方通知进出口业务代理公司向乙方解付。付款方式第三章支付约定不一致，以此处为准。 4.本项目采用两次报价，响应文件中的报价为首次报价，评审以第二次（最终报价）为准。</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 xml:space="preserve"> 供应商需在项目电子化交易系统中按要求填写《响应函》完成承诺并进行电子签章。</w:t>
            </w:r>
          </w:p>
        </w:tc>
        <w:tc>
          <w:tcPr>
            <w:tcW w:type="dxa" w:w="1661"/>
          </w:tcPr>
          <w:p>
            <w:pPr>
              <w:pStyle w:val="null3"/>
            </w:pPr>
            <w:r>
              <w:rPr/>
              <w:t>响应函</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信用证明</w:t>
            </w:r>
          </w:p>
        </w:tc>
        <w:tc>
          <w:tcPr>
            <w:tcW w:type="dxa" w:w="3322"/>
          </w:tcPr>
          <w:p>
            <w:pPr>
              <w:pStyle w:val="null3"/>
            </w:pPr>
            <w:r>
              <w:rPr/>
              <w:t>未被信用中国网站列入失信被执行人和重大税收违法案件当事人名单、未被中国政府采购网列入政府采购严重违法失信行为记录名单（开标时系统查询）、参加本次政府采购活动前3年内在经营活动中没有重大违纪并提供书面声明。</w:t>
            </w:r>
          </w:p>
        </w:tc>
        <w:tc>
          <w:tcPr>
            <w:tcW w:type="dxa" w:w="1661"/>
          </w:tcPr>
          <w:p>
            <w:pPr>
              <w:pStyle w:val="null3"/>
            </w:pPr>
            <w:r>
              <w:rPr/>
              <w:t>信用声明</w:t>
            </w:r>
          </w:p>
        </w:tc>
      </w:tr>
      <w:tr>
        <w:tc>
          <w:tcPr>
            <w:tcW w:type="dxa" w:w="831"/>
          </w:tcPr>
          <w:p>
            <w:pPr>
              <w:pStyle w:val="null3"/>
            </w:pPr>
            <w:r>
              <w:rPr/>
              <w:t>2</w:t>
            </w:r>
          </w:p>
        </w:tc>
        <w:tc>
          <w:tcPr>
            <w:tcW w:type="dxa" w:w="2492"/>
          </w:tcPr>
          <w:p>
            <w:pPr>
              <w:pStyle w:val="null3"/>
            </w:pPr>
            <w:r>
              <w:rPr/>
              <w:t>注册证照</w:t>
            </w:r>
          </w:p>
        </w:tc>
        <w:tc>
          <w:tcPr>
            <w:tcW w:type="dxa" w:w="3322"/>
          </w:tcPr>
          <w:p>
            <w:pPr>
              <w:pStyle w:val="null3"/>
            </w:pPr>
            <w:r>
              <w:rPr/>
              <w:t>法人单位提供带有统一社会信用代码营业执照，未提供的接受采购人通过国家企业信用信息公示系统（http://www.gsxt.gov.cn/index.html）进行相关信息的核实，并承担核实不到的后果；事业单位提供事业单位法人登记证；其他组织提供有效合法的登记证明文件；自然人提供身份证。</w:t>
            </w:r>
          </w:p>
        </w:tc>
        <w:tc>
          <w:tcPr>
            <w:tcW w:type="dxa" w:w="1661"/>
          </w:tcPr>
          <w:p>
            <w:pPr>
              <w:pStyle w:val="null3"/>
            </w:pPr>
            <w:r>
              <w:rPr/>
              <w:t>注册证照</w:t>
            </w:r>
          </w:p>
        </w:tc>
      </w:tr>
      <w:tr>
        <w:tc>
          <w:tcPr>
            <w:tcW w:type="dxa" w:w="831"/>
          </w:tcPr>
          <w:p>
            <w:pPr>
              <w:pStyle w:val="null3"/>
            </w:pPr>
            <w:r>
              <w:rPr/>
              <w:t>3</w:t>
            </w:r>
          </w:p>
        </w:tc>
        <w:tc>
          <w:tcPr>
            <w:tcW w:type="dxa" w:w="2492"/>
          </w:tcPr>
          <w:p>
            <w:pPr>
              <w:pStyle w:val="null3"/>
            </w:pPr>
            <w:r>
              <w:rPr/>
              <w:t>供应商代表授权</w:t>
            </w:r>
          </w:p>
        </w:tc>
        <w:tc>
          <w:tcPr>
            <w:tcW w:type="dxa" w:w="3322"/>
          </w:tcPr>
          <w:p>
            <w:pPr>
              <w:pStyle w:val="null3"/>
            </w:pPr>
            <w:r>
              <w:rPr/>
              <w:t>提供法定代表人证明书和代表人授权委托书。</w:t>
            </w:r>
          </w:p>
        </w:tc>
        <w:tc>
          <w:tcPr>
            <w:tcW w:type="dxa" w:w="1661"/>
          </w:tcPr>
          <w:p>
            <w:pPr>
              <w:pStyle w:val="null3"/>
            </w:pPr>
            <w:r>
              <w:rPr/>
              <w:t>法定代表人授权委托书 法定代表人证明书</w:t>
            </w:r>
          </w:p>
        </w:tc>
      </w:tr>
      <w:tr>
        <w:tc>
          <w:tcPr>
            <w:tcW w:type="dxa" w:w="831"/>
          </w:tcPr>
          <w:p>
            <w:pPr>
              <w:pStyle w:val="null3"/>
            </w:pPr>
            <w:r>
              <w:rPr/>
              <w:t>4</w:t>
            </w:r>
          </w:p>
        </w:tc>
        <w:tc>
          <w:tcPr>
            <w:tcW w:type="dxa" w:w="2492"/>
          </w:tcPr>
          <w:p>
            <w:pPr>
              <w:pStyle w:val="null3"/>
            </w:pPr>
            <w:r>
              <w:rPr/>
              <w:t>财务状况证明</w:t>
            </w:r>
          </w:p>
        </w:tc>
        <w:tc>
          <w:tcPr>
            <w:tcW w:type="dxa" w:w="3322"/>
          </w:tcPr>
          <w:p>
            <w:pPr>
              <w:pStyle w:val="null3"/>
            </w:pPr>
            <w:r>
              <w:rPr/>
              <w:t>提供2023年度经第三方会计事务所审计过的财务报告，或谈判截止时间前90天内基本账户银行出具的资信证明。注：①提供财务报告的，内容应完整。②提供资信证明的，必须提供资信证明全部页以及基本户信息（提供开户许可证复印件或提供基本银行账户信息复印件加盖公章）。银行出具的存款证明不能代替资信证明，存款证明无效。</w:t>
            </w:r>
          </w:p>
        </w:tc>
        <w:tc>
          <w:tcPr>
            <w:tcW w:type="dxa" w:w="1661"/>
          </w:tcPr>
          <w:p>
            <w:pPr>
              <w:pStyle w:val="null3"/>
            </w:pPr>
            <w:r>
              <w:rPr/>
              <w:t>财务状况证明</w:t>
            </w:r>
          </w:p>
        </w:tc>
      </w:tr>
      <w:tr>
        <w:tc>
          <w:tcPr>
            <w:tcW w:type="dxa" w:w="831"/>
          </w:tcPr>
          <w:p>
            <w:pPr>
              <w:pStyle w:val="null3"/>
            </w:pPr>
            <w:r>
              <w:rPr/>
              <w:t>5</w:t>
            </w:r>
          </w:p>
        </w:tc>
        <w:tc>
          <w:tcPr>
            <w:tcW w:type="dxa" w:w="2492"/>
          </w:tcPr>
          <w:p>
            <w:pPr>
              <w:pStyle w:val="null3"/>
            </w:pPr>
            <w:r>
              <w:rPr/>
              <w:t>纳税证明</w:t>
            </w:r>
          </w:p>
        </w:tc>
        <w:tc>
          <w:tcPr>
            <w:tcW w:type="dxa" w:w="3322"/>
          </w:tcPr>
          <w:p>
            <w:pPr>
              <w:pStyle w:val="null3"/>
            </w:pPr>
            <w:r>
              <w:rPr/>
              <w:t>提供2024年1月1日至今至少一次依法纳税的凭证（至少包括企业所得税或增值税中的一种）；依法免税或不需交税的应提供链条完整的证明；成立不足一个月的提供将依法纳税的承诺书（格式自拟）。注：①零报税的提供申报成功的凭证。②时间以税款所属时段为准。</w:t>
            </w:r>
          </w:p>
        </w:tc>
        <w:tc>
          <w:tcPr>
            <w:tcW w:type="dxa" w:w="1661"/>
          </w:tcPr>
          <w:p>
            <w:pPr>
              <w:pStyle w:val="null3"/>
            </w:pPr>
            <w:r>
              <w:rPr/>
              <w:t>纳税证明</w:t>
            </w:r>
          </w:p>
        </w:tc>
      </w:tr>
      <w:tr>
        <w:tc>
          <w:tcPr>
            <w:tcW w:type="dxa" w:w="831"/>
          </w:tcPr>
          <w:p>
            <w:pPr>
              <w:pStyle w:val="null3"/>
            </w:pPr>
            <w:r>
              <w:rPr/>
              <w:t>6</w:t>
            </w:r>
          </w:p>
        </w:tc>
        <w:tc>
          <w:tcPr>
            <w:tcW w:type="dxa" w:w="2492"/>
          </w:tcPr>
          <w:p>
            <w:pPr>
              <w:pStyle w:val="null3"/>
            </w:pPr>
            <w:r>
              <w:rPr/>
              <w:t>社会保障资金缴纳证明</w:t>
            </w:r>
          </w:p>
        </w:tc>
        <w:tc>
          <w:tcPr>
            <w:tcW w:type="dxa" w:w="3322"/>
          </w:tcPr>
          <w:p>
            <w:pPr>
              <w:pStyle w:val="null3"/>
            </w:pPr>
            <w:r>
              <w:rPr/>
              <w:t>提供2024年1月1日至今至少一个月的社会保障资金缴存凭证或社保机构开具的社会保险参保缴费情况证明；依法不需要缴纳社会保障资金的应提供链条完整的证明；成立不足一个月的提供将依法交纳社会保障资金的承诺书（格式自拟）。注：①通过代缴方式缴存的，需提供链条完整的证明材料，证明材料至少包括代缴方的缴存凭证、投标人向代缴方用于缴存社保的银行转账单据。②供应商可自行打印带有社保机构公章的缴存凭证；提供银行交纳单据的，单据应显示社保缴存项（任一项）。</w:t>
            </w:r>
          </w:p>
        </w:tc>
        <w:tc>
          <w:tcPr>
            <w:tcW w:type="dxa" w:w="1661"/>
          </w:tcPr>
          <w:p>
            <w:pPr>
              <w:pStyle w:val="null3"/>
            </w:pPr>
            <w:r>
              <w:rPr/>
              <w:t>社会保障资金缴纳证明</w:t>
            </w:r>
          </w:p>
        </w:tc>
      </w:tr>
      <w:tr>
        <w:tc>
          <w:tcPr>
            <w:tcW w:type="dxa" w:w="831"/>
          </w:tcPr>
          <w:p>
            <w:pPr>
              <w:pStyle w:val="null3"/>
            </w:pPr>
            <w:r>
              <w:rPr/>
              <w:t>7</w:t>
            </w:r>
          </w:p>
        </w:tc>
        <w:tc>
          <w:tcPr>
            <w:tcW w:type="dxa" w:w="2492"/>
          </w:tcPr>
          <w:p>
            <w:pPr>
              <w:pStyle w:val="null3"/>
            </w:pPr>
            <w:r>
              <w:rPr/>
              <w:t>履约能力证明</w:t>
            </w:r>
          </w:p>
        </w:tc>
        <w:tc>
          <w:tcPr>
            <w:tcW w:type="dxa" w:w="3322"/>
          </w:tcPr>
          <w:p>
            <w:pPr>
              <w:pStyle w:val="null3"/>
            </w:pPr>
            <w:r>
              <w:rPr/>
              <w:t>提供具有履行本合同所必需的专业技术能力的声明。</w:t>
            </w:r>
          </w:p>
        </w:tc>
        <w:tc>
          <w:tcPr>
            <w:tcW w:type="dxa" w:w="1661"/>
          </w:tcPr>
          <w:p>
            <w:pPr>
              <w:pStyle w:val="null3"/>
            </w:pPr>
            <w:r>
              <w:rPr/>
              <w:t>履约能力声明</w:t>
            </w:r>
          </w:p>
        </w:tc>
      </w:tr>
      <w:tr>
        <w:tc>
          <w:tcPr>
            <w:tcW w:type="dxa" w:w="831"/>
          </w:tcPr>
          <w:p>
            <w:pPr>
              <w:pStyle w:val="null3"/>
            </w:pPr>
            <w:r>
              <w:rPr/>
              <w:t>8</w:t>
            </w:r>
          </w:p>
        </w:tc>
        <w:tc>
          <w:tcPr>
            <w:tcW w:type="dxa" w:w="2492"/>
          </w:tcPr>
          <w:p>
            <w:pPr>
              <w:pStyle w:val="null3"/>
            </w:pPr>
            <w:r>
              <w:rPr/>
              <w:t>产品授权</w:t>
            </w:r>
          </w:p>
        </w:tc>
        <w:tc>
          <w:tcPr>
            <w:tcW w:type="dxa" w:w="3322"/>
          </w:tcPr>
          <w:p>
            <w:pPr>
              <w:pStyle w:val="null3"/>
            </w:pPr>
            <w:r>
              <w:rPr/>
              <w:t>提供进口产品的，须提供自产品制造商起链条完整的针对本项目或所投产品的授权书，授权函为外文的须提供逐一对应的中文译文（外籍人士的签字除外）并加盖投标人公章。国产产品无此要求。</w:t>
            </w:r>
          </w:p>
        </w:tc>
        <w:tc>
          <w:tcPr>
            <w:tcW w:type="dxa" w:w="1661"/>
          </w:tcPr>
          <w:p>
            <w:pPr>
              <w:pStyle w:val="null3"/>
            </w:pPr>
            <w:r>
              <w:rPr/>
              <w:t>产品授权</w:t>
            </w:r>
          </w:p>
        </w:tc>
      </w:tr>
      <w:tr>
        <w:tc>
          <w:tcPr>
            <w:tcW w:type="dxa" w:w="831"/>
          </w:tcPr>
          <w:p>
            <w:pPr>
              <w:pStyle w:val="null3"/>
            </w:pPr>
            <w:r>
              <w:rPr/>
              <w:t>9</w:t>
            </w:r>
          </w:p>
        </w:tc>
        <w:tc>
          <w:tcPr>
            <w:tcW w:type="dxa" w:w="2492"/>
          </w:tcPr>
          <w:p>
            <w:pPr>
              <w:pStyle w:val="null3"/>
            </w:pPr>
            <w:r>
              <w:rPr/>
              <w:t>联合体投标</w:t>
            </w:r>
          </w:p>
        </w:tc>
        <w:tc>
          <w:tcPr>
            <w:tcW w:type="dxa" w:w="3322"/>
          </w:tcPr>
          <w:p>
            <w:pPr>
              <w:pStyle w:val="null3"/>
            </w:pPr>
            <w:r>
              <w:rPr/>
              <w:t>不接受联合体，提供非联合体声明。</w:t>
            </w:r>
          </w:p>
        </w:tc>
        <w:tc>
          <w:tcPr>
            <w:tcW w:type="dxa" w:w="1661"/>
          </w:tcPr>
          <w:p>
            <w:pPr>
              <w:pStyle w:val="null3"/>
            </w:pPr>
            <w:r>
              <w:rPr/>
              <w:t>非联合体声明</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信用证明</w:t>
            </w:r>
          </w:p>
        </w:tc>
        <w:tc>
          <w:tcPr>
            <w:tcW w:type="dxa" w:w="3322"/>
          </w:tcPr>
          <w:p>
            <w:pPr>
              <w:pStyle w:val="null3"/>
            </w:pPr>
            <w:r>
              <w:rPr/>
              <w:t>未被信用中国网站列入失信被执行人和重大税收违法案件当事人名单、未被中国政府采购网列入政府采购严重违法失信行为记录名单（开标时系统查询）、参加本次政府采购活动前3年内在经营活动中没有重大违纪并提供书面声明。</w:t>
            </w:r>
          </w:p>
        </w:tc>
        <w:tc>
          <w:tcPr>
            <w:tcW w:type="dxa" w:w="1661"/>
          </w:tcPr>
          <w:p>
            <w:pPr>
              <w:pStyle w:val="null3"/>
            </w:pPr>
            <w:r>
              <w:rPr/>
              <w:t>信用声明</w:t>
            </w:r>
          </w:p>
        </w:tc>
      </w:tr>
      <w:tr>
        <w:tc>
          <w:tcPr>
            <w:tcW w:type="dxa" w:w="831"/>
          </w:tcPr>
          <w:p>
            <w:pPr>
              <w:pStyle w:val="null3"/>
            </w:pPr>
            <w:r>
              <w:rPr/>
              <w:t>2</w:t>
            </w:r>
          </w:p>
        </w:tc>
        <w:tc>
          <w:tcPr>
            <w:tcW w:type="dxa" w:w="2492"/>
          </w:tcPr>
          <w:p>
            <w:pPr>
              <w:pStyle w:val="null3"/>
            </w:pPr>
            <w:r>
              <w:rPr/>
              <w:t>注册证照</w:t>
            </w:r>
          </w:p>
        </w:tc>
        <w:tc>
          <w:tcPr>
            <w:tcW w:type="dxa" w:w="3322"/>
          </w:tcPr>
          <w:p>
            <w:pPr>
              <w:pStyle w:val="null3"/>
            </w:pPr>
            <w:r>
              <w:rPr/>
              <w:t>法人单位提供带有统一社会信用代码营业执照，未提供的接受采购人通过国家企业信用信息公示系统（http://www.gsxt.gov.cn/index.html）进行相关信息的核实，并承担核实不到的后果；事业单位提供事业单位法人登记证；其他组织提供有效合法的登记证明文件；自然人提供身份证。</w:t>
            </w:r>
          </w:p>
        </w:tc>
        <w:tc>
          <w:tcPr>
            <w:tcW w:type="dxa" w:w="1661"/>
          </w:tcPr>
          <w:p>
            <w:pPr>
              <w:pStyle w:val="null3"/>
            </w:pPr>
            <w:r>
              <w:rPr/>
              <w:t>注册证照</w:t>
            </w:r>
          </w:p>
        </w:tc>
      </w:tr>
      <w:tr>
        <w:tc>
          <w:tcPr>
            <w:tcW w:type="dxa" w:w="831"/>
          </w:tcPr>
          <w:p>
            <w:pPr>
              <w:pStyle w:val="null3"/>
            </w:pPr>
            <w:r>
              <w:rPr/>
              <w:t>3</w:t>
            </w:r>
          </w:p>
        </w:tc>
        <w:tc>
          <w:tcPr>
            <w:tcW w:type="dxa" w:w="2492"/>
          </w:tcPr>
          <w:p>
            <w:pPr>
              <w:pStyle w:val="null3"/>
            </w:pPr>
            <w:r>
              <w:rPr/>
              <w:t>供应商代表授权</w:t>
            </w:r>
          </w:p>
        </w:tc>
        <w:tc>
          <w:tcPr>
            <w:tcW w:type="dxa" w:w="3322"/>
          </w:tcPr>
          <w:p>
            <w:pPr>
              <w:pStyle w:val="null3"/>
            </w:pPr>
            <w:r>
              <w:rPr/>
              <w:t>提供法定代表人证明书和代表人授权委托书。</w:t>
            </w:r>
          </w:p>
        </w:tc>
        <w:tc>
          <w:tcPr>
            <w:tcW w:type="dxa" w:w="1661"/>
          </w:tcPr>
          <w:p>
            <w:pPr>
              <w:pStyle w:val="null3"/>
            </w:pPr>
            <w:r>
              <w:rPr/>
              <w:t>法定代表人授权委托书 法定代表人证明书</w:t>
            </w:r>
          </w:p>
        </w:tc>
      </w:tr>
      <w:tr>
        <w:tc>
          <w:tcPr>
            <w:tcW w:type="dxa" w:w="831"/>
          </w:tcPr>
          <w:p>
            <w:pPr>
              <w:pStyle w:val="null3"/>
            </w:pPr>
            <w:r>
              <w:rPr/>
              <w:t>4</w:t>
            </w:r>
          </w:p>
        </w:tc>
        <w:tc>
          <w:tcPr>
            <w:tcW w:type="dxa" w:w="2492"/>
          </w:tcPr>
          <w:p>
            <w:pPr>
              <w:pStyle w:val="null3"/>
            </w:pPr>
            <w:r>
              <w:rPr/>
              <w:t>财务状况证明</w:t>
            </w:r>
          </w:p>
        </w:tc>
        <w:tc>
          <w:tcPr>
            <w:tcW w:type="dxa" w:w="3322"/>
          </w:tcPr>
          <w:p>
            <w:pPr>
              <w:pStyle w:val="null3"/>
            </w:pPr>
            <w:r>
              <w:rPr/>
              <w:t>提供2023年度经第三方会计事务所审计过的财务报告，或谈判截止时间前90天内基本账户银行出具的资信证明。注：①提供财务报告的，内容应完整。②提供资信证明的，必须提供资信证明全部页以及基本户信息（提供开户许可证复印件或提供基本银行账户信息复印件加盖公章）。银行出具的存款证明不能代替资信证明，存款证明无效。</w:t>
            </w:r>
          </w:p>
        </w:tc>
        <w:tc>
          <w:tcPr>
            <w:tcW w:type="dxa" w:w="1661"/>
          </w:tcPr>
          <w:p>
            <w:pPr>
              <w:pStyle w:val="null3"/>
            </w:pPr>
            <w:r>
              <w:rPr/>
              <w:t>财务状况证明</w:t>
            </w:r>
          </w:p>
        </w:tc>
      </w:tr>
      <w:tr>
        <w:tc>
          <w:tcPr>
            <w:tcW w:type="dxa" w:w="831"/>
          </w:tcPr>
          <w:p>
            <w:pPr>
              <w:pStyle w:val="null3"/>
            </w:pPr>
            <w:r>
              <w:rPr/>
              <w:t>5</w:t>
            </w:r>
          </w:p>
        </w:tc>
        <w:tc>
          <w:tcPr>
            <w:tcW w:type="dxa" w:w="2492"/>
          </w:tcPr>
          <w:p>
            <w:pPr>
              <w:pStyle w:val="null3"/>
            </w:pPr>
            <w:r>
              <w:rPr/>
              <w:t>纳税证明</w:t>
            </w:r>
          </w:p>
        </w:tc>
        <w:tc>
          <w:tcPr>
            <w:tcW w:type="dxa" w:w="3322"/>
          </w:tcPr>
          <w:p>
            <w:pPr>
              <w:pStyle w:val="null3"/>
            </w:pPr>
            <w:r>
              <w:rPr/>
              <w:t>提供2024年1月1日至今至少一次依法纳税的凭证（至少包括企业所得税或增值税中的一种）；依法免税或不需交税的应提供链条完整的证明；成立不足一个月的提供将依法纳税的承诺书（格式自拟）。注：①零报税的提供申报成功的凭证。②时间以税款所属时段为准。</w:t>
            </w:r>
          </w:p>
        </w:tc>
        <w:tc>
          <w:tcPr>
            <w:tcW w:type="dxa" w:w="1661"/>
          </w:tcPr>
          <w:p>
            <w:pPr>
              <w:pStyle w:val="null3"/>
            </w:pPr>
            <w:r>
              <w:rPr/>
              <w:t>纳税证明</w:t>
            </w:r>
          </w:p>
        </w:tc>
      </w:tr>
      <w:tr>
        <w:tc>
          <w:tcPr>
            <w:tcW w:type="dxa" w:w="831"/>
          </w:tcPr>
          <w:p>
            <w:pPr>
              <w:pStyle w:val="null3"/>
            </w:pPr>
            <w:r>
              <w:rPr/>
              <w:t>6</w:t>
            </w:r>
          </w:p>
        </w:tc>
        <w:tc>
          <w:tcPr>
            <w:tcW w:type="dxa" w:w="2492"/>
          </w:tcPr>
          <w:p>
            <w:pPr>
              <w:pStyle w:val="null3"/>
            </w:pPr>
            <w:r>
              <w:rPr/>
              <w:t>社会保障资金缴纳证明</w:t>
            </w:r>
          </w:p>
        </w:tc>
        <w:tc>
          <w:tcPr>
            <w:tcW w:type="dxa" w:w="3322"/>
          </w:tcPr>
          <w:p>
            <w:pPr>
              <w:pStyle w:val="null3"/>
            </w:pPr>
            <w:r>
              <w:rPr/>
              <w:t>提供2024年1月1日至今至少一个月的社会保障资金缴存凭证或社保机构开具的社会保险参保缴费情况证明；依法不需要缴纳社会保障资金的应提供链条完整的证明；成立不足一个月的提供将依法交纳社会保障资金的承诺书（格式自拟）。注：①通过代缴方式缴存的，需提供链条完整的证明材料，证明材料至少包括代缴方的缴存凭证、投标人向代缴方用于缴存社保的银行转账单据。②供应商可自行打印带有社保机构公章的缴存凭证；提供银行交纳单据的，单据应显示社保缴存项（任一项）。</w:t>
            </w:r>
          </w:p>
        </w:tc>
        <w:tc>
          <w:tcPr>
            <w:tcW w:type="dxa" w:w="1661"/>
          </w:tcPr>
          <w:p>
            <w:pPr>
              <w:pStyle w:val="null3"/>
            </w:pPr>
            <w:r>
              <w:rPr/>
              <w:t>社会保障资金缴纳证明</w:t>
            </w:r>
          </w:p>
        </w:tc>
      </w:tr>
      <w:tr>
        <w:tc>
          <w:tcPr>
            <w:tcW w:type="dxa" w:w="831"/>
          </w:tcPr>
          <w:p>
            <w:pPr>
              <w:pStyle w:val="null3"/>
            </w:pPr>
            <w:r>
              <w:rPr/>
              <w:t>7</w:t>
            </w:r>
          </w:p>
        </w:tc>
        <w:tc>
          <w:tcPr>
            <w:tcW w:type="dxa" w:w="2492"/>
          </w:tcPr>
          <w:p>
            <w:pPr>
              <w:pStyle w:val="null3"/>
            </w:pPr>
            <w:r>
              <w:rPr/>
              <w:t>履约能力证明</w:t>
            </w:r>
          </w:p>
        </w:tc>
        <w:tc>
          <w:tcPr>
            <w:tcW w:type="dxa" w:w="3322"/>
          </w:tcPr>
          <w:p>
            <w:pPr>
              <w:pStyle w:val="null3"/>
            </w:pPr>
            <w:r>
              <w:rPr/>
              <w:t>提供具有履行本合同所必需的专业技术能力的声明。</w:t>
            </w:r>
          </w:p>
        </w:tc>
        <w:tc>
          <w:tcPr>
            <w:tcW w:type="dxa" w:w="1661"/>
          </w:tcPr>
          <w:p>
            <w:pPr>
              <w:pStyle w:val="null3"/>
            </w:pPr>
            <w:r>
              <w:rPr/>
              <w:t>履约能力声明</w:t>
            </w:r>
          </w:p>
        </w:tc>
      </w:tr>
      <w:tr>
        <w:tc>
          <w:tcPr>
            <w:tcW w:type="dxa" w:w="831"/>
          </w:tcPr>
          <w:p>
            <w:pPr>
              <w:pStyle w:val="null3"/>
            </w:pPr>
            <w:r>
              <w:rPr/>
              <w:t>8</w:t>
            </w:r>
          </w:p>
        </w:tc>
        <w:tc>
          <w:tcPr>
            <w:tcW w:type="dxa" w:w="2492"/>
          </w:tcPr>
          <w:p>
            <w:pPr>
              <w:pStyle w:val="null3"/>
            </w:pPr>
            <w:r>
              <w:rPr/>
              <w:t>产品授权</w:t>
            </w:r>
          </w:p>
        </w:tc>
        <w:tc>
          <w:tcPr>
            <w:tcW w:type="dxa" w:w="3322"/>
          </w:tcPr>
          <w:p>
            <w:pPr>
              <w:pStyle w:val="null3"/>
            </w:pPr>
            <w:r>
              <w:rPr/>
              <w:t>提供进口产品的，须提供自产品制造商起链条完整的针对本项目或所投产品的授权书，授权函为外文的须提供逐一对应的中文译文（外籍人士的签字除外）并加盖投标人公章。国产产品无此要求。</w:t>
            </w:r>
          </w:p>
        </w:tc>
        <w:tc>
          <w:tcPr>
            <w:tcW w:type="dxa" w:w="1661"/>
          </w:tcPr>
          <w:p>
            <w:pPr>
              <w:pStyle w:val="null3"/>
            </w:pPr>
            <w:r>
              <w:rPr/>
              <w:t>产品授权</w:t>
            </w:r>
          </w:p>
        </w:tc>
      </w:tr>
      <w:tr>
        <w:tc>
          <w:tcPr>
            <w:tcW w:type="dxa" w:w="831"/>
          </w:tcPr>
          <w:p>
            <w:pPr>
              <w:pStyle w:val="null3"/>
            </w:pPr>
            <w:r>
              <w:rPr/>
              <w:t>9</w:t>
            </w:r>
          </w:p>
        </w:tc>
        <w:tc>
          <w:tcPr>
            <w:tcW w:type="dxa" w:w="2492"/>
          </w:tcPr>
          <w:p>
            <w:pPr>
              <w:pStyle w:val="null3"/>
            </w:pPr>
            <w:r>
              <w:rPr/>
              <w:t>联合体投标</w:t>
            </w:r>
          </w:p>
        </w:tc>
        <w:tc>
          <w:tcPr>
            <w:tcW w:type="dxa" w:w="3322"/>
          </w:tcPr>
          <w:p>
            <w:pPr>
              <w:pStyle w:val="null3"/>
            </w:pPr>
            <w:r>
              <w:rPr/>
              <w:t>不接受联合体，提供非联合体声明。</w:t>
            </w:r>
          </w:p>
        </w:tc>
        <w:tc>
          <w:tcPr>
            <w:tcW w:type="dxa" w:w="1661"/>
          </w:tcPr>
          <w:p>
            <w:pPr>
              <w:pStyle w:val="null3"/>
            </w:pPr>
            <w:r>
              <w:rPr/>
              <w:t>非联合体声明</w:t>
            </w:r>
          </w:p>
        </w:tc>
      </w:tr>
    </w:tbl>
    <w:p>
      <w:pPr>
        <w:pStyle w:val="null3"/>
      </w:pPr>
      <w:r>
        <w:rPr/>
        <w:t xml:space="preserve"> </w:t>
        <w:br/>
        <w:br w:type="page"/>
      </w:r>
    </w:p>
    <w:p>
      <w:pPr>
        <w:pStyle w:val="null3"/>
        <w:jc w:val="center"/>
        <w:outlineLvl w:val="1"/>
      </w:pPr>
      <w:r>
        <w:rPr>
          <w:sz w:val="36"/>
          <w:b/>
        </w:rPr>
        <w:t>第五章 谈判过程中可实质性变动的内容</w:t>
      </w:r>
    </w:p>
    <w:p>
      <w:pPr>
        <w:pStyle w:val="null3"/>
        <w:ind w:firstLine="480"/>
      </w:pPr>
      <w:r>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t xml:space="preserve"> </w:t>
        <w:br/>
        <w:br w:type="page"/>
      </w:r>
    </w:p>
    <w:p>
      <w:pPr>
        <w:pStyle w:val="null3"/>
        <w:jc w:val="center"/>
        <w:outlineLvl w:val="1"/>
      </w:pPr>
      <w:r>
        <w:rPr>
          <w:sz w:val="36"/>
          <w:b/>
        </w:rPr>
        <w:t>第六章 谈判办法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t>二、评审工作由代理机构组织，具体评审事务由依法组建的谈判小组负责。</w:t>
      </w:r>
    </w:p>
    <w:p>
      <w:pPr>
        <w:pStyle w:val="null3"/>
        <w:ind w:firstLine="480"/>
      </w:pPr>
      <w:r>
        <w:rPr/>
        <w:t>三、评审工作应遵循客观、公正、审慎的原则，并以相同的谈判程序和标准对待所有的供应商。</w:t>
      </w:r>
    </w:p>
    <w:p>
      <w:pPr>
        <w:pStyle w:val="null3"/>
        <w:ind w:firstLine="480"/>
      </w:pPr>
      <w:r>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6.2谈判小组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t>三、谈判小组按照谈判文件规定的谈判程序、评审方法和标准进行评审，并独立履行下列职责：</w:t>
      </w:r>
    </w:p>
    <w:p>
      <w:pPr>
        <w:pStyle w:val="null3"/>
        <w:ind w:firstLine="480"/>
      </w:pPr>
      <w:r>
        <w:rPr/>
        <w:t>（一）熟悉和理解谈判文件；</w:t>
      </w:r>
    </w:p>
    <w:p>
      <w:pPr>
        <w:pStyle w:val="null3"/>
        <w:ind w:firstLine="480"/>
      </w:pPr>
      <w:r>
        <w:rPr/>
        <w:t>（二）审查供应商响应文件等是否满足谈判文件要求，并作出评价；</w:t>
      </w:r>
    </w:p>
    <w:p>
      <w:pPr>
        <w:pStyle w:val="null3"/>
        <w:ind w:firstLine="480"/>
      </w:pPr>
      <w:r>
        <w:rPr/>
        <w:t xml:space="preserve"> （三）根据需要要求采购组织单位对谈判文件作出解释；根据需要要求供应商对响应文件有关事项作出澄清、说明或者更正；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6.3.1审查谈判文件和停止评审</w:t>
      </w:r>
    </w:p>
    <w:p>
      <w:pPr>
        <w:pStyle w:val="null3"/>
        <w:ind w:firstLine="480"/>
      </w:pPr>
      <w:r>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t>二、本谈判文件有下列情形之一的，谈判小组应当停止评审：</w:t>
      </w:r>
    </w:p>
    <w:p>
      <w:pPr>
        <w:pStyle w:val="null3"/>
        <w:ind w:firstLine="480"/>
      </w:pPr>
      <w:r>
        <w:rPr/>
        <w:t>（一）谈判文件的规定存在歧义、重大缺陷的；</w:t>
      </w:r>
    </w:p>
    <w:p>
      <w:pPr>
        <w:pStyle w:val="null3"/>
        <w:ind w:firstLine="480"/>
      </w:pPr>
      <w:r>
        <w:rPr/>
        <w:t>（二）谈判文件明显以不合理条件对供应商实行差别待遇或者歧视待遇的；</w:t>
      </w:r>
    </w:p>
    <w:p>
      <w:pPr>
        <w:pStyle w:val="null3"/>
        <w:ind w:firstLine="480"/>
      </w:pPr>
      <w:r>
        <w:rPr/>
        <w:t>（三）采购项目属于国家规定的优先、强制采购范围，但是谈判文件未依法体现优先、强制采购相关规定的；</w:t>
      </w:r>
    </w:p>
    <w:p>
      <w:pPr>
        <w:pStyle w:val="null3"/>
        <w:ind w:firstLine="480"/>
      </w:pPr>
      <w:r>
        <w:rPr/>
        <w:t>（四）采购项目属于政府采购促进中小企业发展的范围，但是谈判文件未依法体现促进中小企业发展相关规定的；</w:t>
      </w:r>
    </w:p>
    <w:p>
      <w:pPr>
        <w:pStyle w:val="null3"/>
        <w:ind w:firstLine="480"/>
      </w:pPr>
      <w:r>
        <w:rPr/>
        <w:t>（五）谈判文件将供应商的资格条件列为评分因素的；</w:t>
      </w:r>
    </w:p>
    <w:p>
      <w:pPr>
        <w:pStyle w:val="null3"/>
        <w:ind w:firstLine="480"/>
      </w:pPr>
      <w:r>
        <w:rPr/>
        <w:t>（六）谈判文件载明的成交原则不合法的；</w:t>
      </w:r>
    </w:p>
    <w:p>
      <w:pPr>
        <w:pStyle w:val="null3"/>
        <w:ind w:firstLine="480"/>
        <w:jc w:val="left"/>
      </w:pPr>
      <w:r>
        <w:rPr/>
        <w:t>（七）谈判文件有违反国家其他有关强制性规定的情形。</w:t>
      </w:r>
    </w:p>
    <w:p>
      <w:pPr>
        <w:pStyle w:val="null3"/>
        <w:ind w:firstLine="480"/>
      </w:pPr>
      <w:r>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sz w:val="24"/>
          <w:b/>
        </w:rPr>
        <w:t>6.3.2符合性审查</w:t>
      </w:r>
    </w:p>
    <w:p>
      <w:pPr>
        <w:pStyle w:val="null3"/>
        <w:ind w:firstLine="480"/>
      </w:pPr>
      <w:r>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t xml:space="preserve"> 二、在符合性审查过程中，如果出现谈判小组成员意见不一致的情况，按照少数服从多数的原则确定，但不得违背政府采购基本原则和谈判文件规定。</w:t>
      </w:r>
    </w:p>
    <w:p>
      <w:pPr>
        <w:pStyle w:val="null3"/>
        <w:ind w:firstLine="480"/>
      </w:pPr>
      <w:r>
        <w:rPr/>
        <w:t>三、谈判小组对所有响应文件进行审查后，确定参加谈判的供应商名单。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t>标的清单 报价表</w:t>
            </w:r>
          </w:p>
        </w:tc>
      </w:tr>
      <w:tr>
        <w:tc>
          <w:tcPr>
            <w:tcW w:type="dxa" w:w="831"/>
          </w:tcPr>
          <w:p>
            <w:pPr>
              <w:pStyle w:val="null3"/>
            </w:pPr>
            <w:r>
              <w:rPr/>
              <w:t>2</w:t>
            </w:r>
          </w:p>
        </w:tc>
        <w:tc>
          <w:tcPr>
            <w:tcW w:type="dxa" w:w="2492"/>
          </w:tcPr>
          <w:p>
            <w:pPr>
              <w:pStyle w:val="null3"/>
            </w:pPr>
            <w:r>
              <w:rPr/>
              <w:t>供应商名称</w:t>
            </w:r>
          </w:p>
        </w:tc>
        <w:tc>
          <w:tcPr>
            <w:tcW w:type="dxa" w:w="3322"/>
          </w:tcPr>
          <w:p>
            <w:pPr>
              <w:pStyle w:val="null3"/>
            </w:pPr>
            <w:r>
              <w:rPr/>
              <w:t>供应商应按格式/模板填写供应商名称，至少以下文件的名称须和营业执照、公章一致。1.响应文件封面。2.响应函。</w:t>
            </w:r>
          </w:p>
        </w:tc>
        <w:tc>
          <w:tcPr>
            <w:tcW w:type="dxa" w:w="1661"/>
          </w:tcPr>
          <w:p>
            <w:pPr>
              <w:pStyle w:val="null3"/>
            </w:pPr>
            <w:r>
              <w:rPr/>
              <w:t>响应文件封面 响应函</w:t>
            </w:r>
          </w:p>
        </w:tc>
      </w:tr>
      <w:tr>
        <w:tc>
          <w:tcPr>
            <w:tcW w:type="dxa" w:w="831"/>
          </w:tcPr>
          <w:p>
            <w:pPr>
              <w:pStyle w:val="null3"/>
            </w:pPr>
            <w:r>
              <w:rPr/>
              <w:t>3</w:t>
            </w:r>
          </w:p>
        </w:tc>
        <w:tc>
          <w:tcPr>
            <w:tcW w:type="dxa" w:w="2492"/>
          </w:tcPr>
          <w:p>
            <w:pPr>
              <w:pStyle w:val="null3"/>
            </w:pPr>
            <w:r>
              <w:rPr/>
              <w:t>谈判有效期</w:t>
            </w:r>
          </w:p>
        </w:tc>
        <w:tc>
          <w:tcPr>
            <w:tcW w:type="dxa" w:w="3322"/>
          </w:tcPr>
          <w:p>
            <w:pPr>
              <w:pStyle w:val="null3"/>
            </w:pPr>
            <w:r>
              <w:rPr/>
              <w:t>不少于120日历天</w:t>
            </w:r>
          </w:p>
        </w:tc>
        <w:tc>
          <w:tcPr>
            <w:tcW w:type="dxa" w:w="1661"/>
          </w:tcPr>
          <w:p>
            <w:pPr>
              <w:pStyle w:val="null3"/>
            </w:pPr>
            <w:r>
              <w:rPr/>
              <w:t>响应函</w:t>
            </w:r>
          </w:p>
        </w:tc>
      </w:tr>
      <w:tr>
        <w:tc>
          <w:tcPr>
            <w:tcW w:type="dxa" w:w="831"/>
          </w:tcPr>
          <w:p>
            <w:pPr>
              <w:pStyle w:val="null3"/>
            </w:pPr>
            <w:r>
              <w:rPr/>
              <w:t>4</w:t>
            </w:r>
          </w:p>
        </w:tc>
        <w:tc>
          <w:tcPr>
            <w:tcW w:type="dxa" w:w="2492"/>
          </w:tcPr>
          <w:p>
            <w:pPr>
              <w:pStyle w:val="null3"/>
            </w:pPr>
            <w:r>
              <w:rPr/>
              <w:t>首次响应报价</w:t>
            </w:r>
          </w:p>
        </w:tc>
        <w:tc>
          <w:tcPr>
            <w:tcW w:type="dxa" w:w="3322"/>
          </w:tcPr>
          <w:p>
            <w:pPr>
              <w:pStyle w:val="null3"/>
            </w:pPr>
            <w:r>
              <w:rPr/>
              <w:t>首次报价未超过采购预算。</w:t>
            </w:r>
          </w:p>
        </w:tc>
        <w:tc>
          <w:tcPr>
            <w:tcW w:type="dxa" w:w="1661"/>
          </w:tcPr>
          <w:p>
            <w:pPr>
              <w:pStyle w:val="null3"/>
            </w:pPr>
            <w:r>
              <w:rPr/>
              <w:t>报价表</w:t>
            </w:r>
          </w:p>
        </w:tc>
      </w:tr>
      <w:tr>
        <w:tc>
          <w:tcPr>
            <w:tcW w:type="dxa" w:w="831"/>
          </w:tcPr>
          <w:p>
            <w:pPr>
              <w:pStyle w:val="null3"/>
            </w:pPr>
            <w:r>
              <w:rPr/>
              <w:t>5</w:t>
            </w:r>
          </w:p>
        </w:tc>
        <w:tc>
          <w:tcPr>
            <w:tcW w:type="dxa" w:w="2492"/>
          </w:tcPr>
          <w:p>
            <w:pPr>
              <w:pStyle w:val="null3"/>
            </w:pPr>
            <w:r>
              <w:rPr/>
              <w:t>交货期</w:t>
            </w:r>
          </w:p>
        </w:tc>
        <w:tc>
          <w:tcPr>
            <w:tcW w:type="dxa" w:w="3322"/>
          </w:tcPr>
          <w:p>
            <w:pPr>
              <w:pStyle w:val="null3"/>
            </w:pPr>
            <w:r>
              <w:rPr/>
              <w:t>合同签订后90日内安装调试交付使用</w:t>
            </w:r>
          </w:p>
        </w:tc>
        <w:tc>
          <w:tcPr>
            <w:tcW w:type="dxa" w:w="1661"/>
          </w:tcPr>
          <w:p>
            <w:pPr>
              <w:pStyle w:val="null3"/>
            </w:pPr>
            <w:r>
              <w:rPr/>
              <w:t>报价表</w:t>
            </w:r>
          </w:p>
        </w:tc>
      </w:tr>
      <w:tr>
        <w:tc>
          <w:tcPr>
            <w:tcW w:type="dxa" w:w="831"/>
          </w:tcPr>
          <w:p>
            <w:pPr>
              <w:pStyle w:val="null3"/>
            </w:pPr>
            <w:r>
              <w:rPr/>
              <w:t>6</w:t>
            </w:r>
          </w:p>
        </w:tc>
        <w:tc>
          <w:tcPr>
            <w:tcW w:type="dxa" w:w="2492"/>
          </w:tcPr>
          <w:p>
            <w:pPr>
              <w:pStyle w:val="null3"/>
            </w:pPr>
            <w:r>
              <w:rPr/>
              <w:t>交货地点</w:t>
            </w:r>
          </w:p>
        </w:tc>
        <w:tc>
          <w:tcPr>
            <w:tcW w:type="dxa" w:w="3322"/>
          </w:tcPr>
          <w:p>
            <w:pPr>
              <w:pStyle w:val="null3"/>
            </w:pPr>
            <w:r>
              <w:rPr/>
              <w:t>西北大学文化遗产学院指定地点</w:t>
            </w:r>
          </w:p>
        </w:tc>
        <w:tc>
          <w:tcPr>
            <w:tcW w:type="dxa" w:w="1661"/>
          </w:tcPr>
          <w:p>
            <w:pPr>
              <w:pStyle w:val="null3"/>
            </w:pPr>
            <w:r>
              <w:rPr/>
              <w:t>报价表</w:t>
            </w:r>
          </w:p>
        </w:tc>
      </w:tr>
      <w:tr>
        <w:tc>
          <w:tcPr>
            <w:tcW w:type="dxa" w:w="831"/>
          </w:tcPr>
          <w:p>
            <w:pPr>
              <w:pStyle w:val="null3"/>
            </w:pPr>
            <w:r>
              <w:rPr/>
              <w:t>7</w:t>
            </w:r>
          </w:p>
        </w:tc>
        <w:tc>
          <w:tcPr>
            <w:tcW w:type="dxa" w:w="2492"/>
          </w:tcPr>
          <w:p>
            <w:pPr>
              <w:pStyle w:val="null3"/>
            </w:pPr>
            <w:r>
              <w:rPr/>
              <w:t>主要商务条款</w:t>
            </w:r>
          </w:p>
        </w:tc>
        <w:tc>
          <w:tcPr>
            <w:tcW w:type="dxa" w:w="3322"/>
          </w:tcPr>
          <w:p>
            <w:pPr>
              <w:pStyle w:val="null3"/>
            </w:pPr>
            <w:r>
              <w:rPr/>
              <w:t>1.质保期：自学校验收合格之日起1年。 2.售后服务标准要求：（1）质保期内供应商负责提供设备的维修及部件更换，质保期自采购人终验合格之日起计算。质保期满之前，供应商需派遣专业工程师对设备进行全面维护及校准。质保期满后，供应商对其提供的设备提供终身的技术支援。以上要求所产生的费用由供应商承担。（2）设备到货后，供应商负责安装和调试。设备安装调试期间，由供应商工程师在现场为采购人操作人员进行培训，受培训人数不限，培训内容包括但不限于：仪器原理、结构、操作、日常维护及保养等。设备使用一段时间后，供应商按采购人要求组织工程师，提供不少于3天的高阶应用培训。以上要求所产生的费用由供应商承担。 3.售后服务效率要求：即时响应（包括电话响应）；电话响应无法解决时，48小时内到达现场。修复时间72小时内；如72小时内无法修复，应提供相应解决方案。 4.支付方式：（1）国产设备：合同生效后，中标供应商开具合同金额等额银行保函，采购人收到银行保函正本后预付合同货款，待货物到达指定地点、安装调试验收合格后，采购人退还银行保函正本。（2）进口设备：合同生效后，由甲方通过进出口业务代理公司向乙方开出100%信用证，待货物到货、安装调试、并经学校组织验收合格后，由甲方通知进出口业务代理公司向乙方解付。</w:t>
            </w:r>
          </w:p>
        </w:tc>
        <w:tc>
          <w:tcPr>
            <w:tcW w:type="dxa" w:w="1661"/>
          </w:tcPr>
          <w:p>
            <w:pPr>
              <w:pStyle w:val="null3"/>
            </w:pPr>
            <w:r>
              <w:rPr/>
              <w:t>主要商务条款响应偏离表</w:t>
            </w:r>
          </w:p>
        </w:tc>
      </w:tr>
      <w:tr>
        <w:tc>
          <w:tcPr>
            <w:tcW w:type="dxa" w:w="831"/>
          </w:tcPr>
          <w:p>
            <w:pPr>
              <w:pStyle w:val="null3"/>
            </w:pPr>
            <w:r>
              <w:rPr/>
              <w:t>8</w:t>
            </w:r>
          </w:p>
        </w:tc>
        <w:tc>
          <w:tcPr>
            <w:tcW w:type="dxa" w:w="2492"/>
          </w:tcPr>
          <w:p>
            <w:pPr>
              <w:pStyle w:val="null3"/>
            </w:pPr>
            <w:r>
              <w:rPr/>
              <w:t>投标内容</w:t>
            </w:r>
          </w:p>
        </w:tc>
        <w:tc>
          <w:tcPr>
            <w:tcW w:type="dxa" w:w="3322"/>
          </w:tcPr>
          <w:p>
            <w:pPr>
              <w:pStyle w:val="null3"/>
            </w:pPr>
            <w:r>
              <w:rPr/>
              <w:t>投标产品品目、数量、技术参数符合谈判文件要求。 注：①采购需求中要求提供证明材料的需提供证明材料，其他以《投标产品技术指标偏离表》响应为准。②本项目投标产品按套计算。</w:t>
            </w:r>
          </w:p>
        </w:tc>
        <w:tc>
          <w:tcPr>
            <w:tcW w:type="dxa" w:w="1661"/>
          </w:tcPr>
          <w:p>
            <w:pPr>
              <w:pStyle w:val="null3"/>
            </w:pPr>
            <w:r>
              <w:rPr/>
              <w:t>投标产品技术参数明细表 标的清单 投标产品技术指标偏离表</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t>标的清单 报价表</w:t>
            </w:r>
          </w:p>
        </w:tc>
      </w:tr>
      <w:tr>
        <w:tc>
          <w:tcPr>
            <w:tcW w:type="dxa" w:w="831"/>
          </w:tcPr>
          <w:p>
            <w:pPr>
              <w:pStyle w:val="null3"/>
            </w:pPr>
            <w:r>
              <w:rPr/>
              <w:t>2</w:t>
            </w:r>
          </w:p>
        </w:tc>
        <w:tc>
          <w:tcPr>
            <w:tcW w:type="dxa" w:w="2492"/>
          </w:tcPr>
          <w:p>
            <w:pPr>
              <w:pStyle w:val="null3"/>
            </w:pPr>
            <w:r>
              <w:rPr/>
              <w:t>供应商名称</w:t>
            </w:r>
          </w:p>
        </w:tc>
        <w:tc>
          <w:tcPr>
            <w:tcW w:type="dxa" w:w="3322"/>
          </w:tcPr>
          <w:p>
            <w:pPr>
              <w:pStyle w:val="null3"/>
            </w:pPr>
            <w:r>
              <w:rPr/>
              <w:t>供应商应按格式/模板填写供应商名称，至少以下文件的名称须和营业执照、公章一致。1.响应文件封面。2.响应函。</w:t>
            </w:r>
          </w:p>
        </w:tc>
        <w:tc>
          <w:tcPr>
            <w:tcW w:type="dxa" w:w="1661"/>
          </w:tcPr>
          <w:p>
            <w:pPr>
              <w:pStyle w:val="null3"/>
            </w:pPr>
            <w:r>
              <w:rPr/>
              <w:t>响应文件封面 响应函</w:t>
            </w:r>
          </w:p>
        </w:tc>
      </w:tr>
      <w:tr>
        <w:tc>
          <w:tcPr>
            <w:tcW w:type="dxa" w:w="831"/>
          </w:tcPr>
          <w:p>
            <w:pPr>
              <w:pStyle w:val="null3"/>
            </w:pPr>
            <w:r>
              <w:rPr/>
              <w:t>3</w:t>
            </w:r>
          </w:p>
        </w:tc>
        <w:tc>
          <w:tcPr>
            <w:tcW w:type="dxa" w:w="2492"/>
          </w:tcPr>
          <w:p>
            <w:pPr>
              <w:pStyle w:val="null3"/>
            </w:pPr>
            <w:r>
              <w:rPr/>
              <w:t>谈判有效期</w:t>
            </w:r>
          </w:p>
        </w:tc>
        <w:tc>
          <w:tcPr>
            <w:tcW w:type="dxa" w:w="3322"/>
          </w:tcPr>
          <w:p>
            <w:pPr>
              <w:pStyle w:val="null3"/>
            </w:pPr>
            <w:r>
              <w:rPr/>
              <w:t>不少于120日历天</w:t>
            </w:r>
          </w:p>
        </w:tc>
        <w:tc>
          <w:tcPr>
            <w:tcW w:type="dxa" w:w="1661"/>
          </w:tcPr>
          <w:p>
            <w:pPr>
              <w:pStyle w:val="null3"/>
            </w:pPr>
            <w:r>
              <w:rPr/>
              <w:t>响应函</w:t>
            </w:r>
          </w:p>
        </w:tc>
      </w:tr>
      <w:tr>
        <w:tc>
          <w:tcPr>
            <w:tcW w:type="dxa" w:w="831"/>
          </w:tcPr>
          <w:p>
            <w:pPr>
              <w:pStyle w:val="null3"/>
            </w:pPr>
            <w:r>
              <w:rPr/>
              <w:t>4</w:t>
            </w:r>
          </w:p>
        </w:tc>
        <w:tc>
          <w:tcPr>
            <w:tcW w:type="dxa" w:w="2492"/>
          </w:tcPr>
          <w:p>
            <w:pPr>
              <w:pStyle w:val="null3"/>
            </w:pPr>
            <w:r>
              <w:rPr/>
              <w:t>首次响应报价</w:t>
            </w:r>
          </w:p>
        </w:tc>
        <w:tc>
          <w:tcPr>
            <w:tcW w:type="dxa" w:w="3322"/>
          </w:tcPr>
          <w:p>
            <w:pPr>
              <w:pStyle w:val="null3"/>
            </w:pPr>
            <w:r>
              <w:rPr/>
              <w:t>首次报价未超过采购预算。</w:t>
            </w:r>
          </w:p>
        </w:tc>
        <w:tc>
          <w:tcPr>
            <w:tcW w:type="dxa" w:w="1661"/>
          </w:tcPr>
          <w:p>
            <w:pPr>
              <w:pStyle w:val="null3"/>
            </w:pPr>
            <w:r>
              <w:rPr/>
              <w:t>报价表</w:t>
            </w:r>
          </w:p>
        </w:tc>
      </w:tr>
      <w:tr>
        <w:tc>
          <w:tcPr>
            <w:tcW w:type="dxa" w:w="831"/>
          </w:tcPr>
          <w:p>
            <w:pPr>
              <w:pStyle w:val="null3"/>
            </w:pPr>
            <w:r>
              <w:rPr/>
              <w:t>5</w:t>
            </w:r>
          </w:p>
        </w:tc>
        <w:tc>
          <w:tcPr>
            <w:tcW w:type="dxa" w:w="2492"/>
          </w:tcPr>
          <w:p>
            <w:pPr>
              <w:pStyle w:val="null3"/>
            </w:pPr>
            <w:r>
              <w:rPr/>
              <w:t>交货期</w:t>
            </w:r>
          </w:p>
        </w:tc>
        <w:tc>
          <w:tcPr>
            <w:tcW w:type="dxa" w:w="3322"/>
          </w:tcPr>
          <w:p>
            <w:pPr>
              <w:pStyle w:val="null3"/>
            </w:pPr>
            <w:r>
              <w:rPr/>
              <w:t>合同签订后90日内安装调试交付使用</w:t>
            </w:r>
          </w:p>
        </w:tc>
        <w:tc>
          <w:tcPr>
            <w:tcW w:type="dxa" w:w="1661"/>
          </w:tcPr>
          <w:p>
            <w:pPr>
              <w:pStyle w:val="null3"/>
            </w:pPr>
            <w:r>
              <w:rPr/>
              <w:t>报价表</w:t>
            </w:r>
          </w:p>
        </w:tc>
      </w:tr>
      <w:tr>
        <w:tc>
          <w:tcPr>
            <w:tcW w:type="dxa" w:w="831"/>
          </w:tcPr>
          <w:p>
            <w:pPr>
              <w:pStyle w:val="null3"/>
            </w:pPr>
            <w:r>
              <w:rPr/>
              <w:t>6</w:t>
            </w:r>
          </w:p>
        </w:tc>
        <w:tc>
          <w:tcPr>
            <w:tcW w:type="dxa" w:w="2492"/>
          </w:tcPr>
          <w:p>
            <w:pPr>
              <w:pStyle w:val="null3"/>
            </w:pPr>
            <w:r>
              <w:rPr/>
              <w:t>交货地点</w:t>
            </w:r>
          </w:p>
        </w:tc>
        <w:tc>
          <w:tcPr>
            <w:tcW w:type="dxa" w:w="3322"/>
          </w:tcPr>
          <w:p>
            <w:pPr>
              <w:pStyle w:val="null3"/>
            </w:pPr>
            <w:r>
              <w:rPr/>
              <w:t>西北大学文化遗产学院指定地点</w:t>
            </w:r>
          </w:p>
        </w:tc>
        <w:tc>
          <w:tcPr>
            <w:tcW w:type="dxa" w:w="1661"/>
          </w:tcPr>
          <w:p>
            <w:pPr>
              <w:pStyle w:val="null3"/>
            </w:pPr>
            <w:r>
              <w:rPr/>
              <w:t>报价表</w:t>
            </w:r>
          </w:p>
        </w:tc>
      </w:tr>
      <w:tr>
        <w:tc>
          <w:tcPr>
            <w:tcW w:type="dxa" w:w="831"/>
          </w:tcPr>
          <w:p>
            <w:pPr>
              <w:pStyle w:val="null3"/>
            </w:pPr>
            <w:r>
              <w:rPr/>
              <w:t>7</w:t>
            </w:r>
          </w:p>
        </w:tc>
        <w:tc>
          <w:tcPr>
            <w:tcW w:type="dxa" w:w="2492"/>
          </w:tcPr>
          <w:p>
            <w:pPr>
              <w:pStyle w:val="null3"/>
            </w:pPr>
            <w:r>
              <w:rPr/>
              <w:t>主要商务条款</w:t>
            </w:r>
          </w:p>
        </w:tc>
        <w:tc>
          <w:tcPr>
            <w:tcW w:type="dxa" w:w="3322"/>
          </w:tcPr>
          <w:p>
            <w:pPr>
              <w:pStyle w:val="null3"/>
            </w:pPr>
            <w:r>
              <w:rPr/>
              <w:t>1.质保期：自学校验收合格之日起1年。 2.售后服务标准要求：（1）质保期内供应商负责提供设备的维修及部件更换，质保期自采购人终验合格之日起计算。质保期满之前，供应商需派遣专业工程师对设备进行全面维护及校准。质保期满后，供应商对其提供的设备提供终身的技术支援。以上要求所产生的费用由供应商承担。（2）设备到货后，供应商负责安装和调试。设备安装调试期间，由供应商工程师在现场为采购人操作人员进行培训，受培训人数不限，培训内容包括但不限于：仪器原理、结构、操作、日常维护及保养等。设备使用一段时间后，供应商按采购人要求组织工程师，提供不少于3天的高阶应用培训。以上要求所产生的费用由供应商承担。 3.售后服务效率要求：即时响应（包括电话响应）；电话响应无法解决时，48小时内到达现场。修复时间72小时内；如72小时内无法修复，应提供相应解决方案。 4.支付方式：（1）国产设备：合同生效后，中标供应商开具合同金额等额银行保函，采购人收到银行保函正本后预付合同货款，待货物到达指定地点、安装调试验收合格后，采购人退还银行保函正本。（2）进口设备：合同生效后，由甲方通过进出口业务代理公司向乙方开出100%信用证，待货物到货、安装调试、并经学校组织验收合格后，由甲方通知进出口业务代理公司向乙方解付。</w:t>
            </w:r>
          </w:p>
        </w:tc>
        <w:tc>
          <w:tcPr>
            <w:tcW w:type="dxa" w:w="1661"/>
          </w:tcPr>
          <w:p>
            <w:pPr>
              <w:pStyle w:val="null3"/>
            </w:pPr>
            <w:r>
              <w:rPr/>
              <w:t>主要商务条款响应偏离表</w:t>
            </w:r>
          </w:p>
        </w:tc>
      </w:tr>
      <w:tr>
        <w:tc>
          <w:tcPr>
            <w:tcW w:type="dxa" w:w="831"/>
          </w:tcPr>
          <w:p>
            <w:pPr>
              <w:pStyle w:val="null3"/>
            </w:pPr>
            <w:r>
              <w:rPr/>
              <w:t>8</w:t>
            </w:r>
          </w:p>
        </w:tc>
        <w:tc>
          <w:tcPr>
            <w:tcW w:type="dxa" w:w="2492"/>
          </w:tcPr>
          <w:p>
            <w:pPr>
              <w:pStyle w:val="null3"/>
            </w:pPr>
            <w:r>
              <w:rPr/>
              <w:t>投标内容</w:t>
            </w:r>
          </w:p>
        </w:tc>
        <w:tc>
          <w:tcPr>
            <w:tcW w:type="dxa" w:w="3322"/>
          </w:tcPr>
          <w:p>
            <w:pPr>
              <w:pStyle w:val="null3"/>
            </w:pPr>
            <w:r>
              <w:rPr/>
              <w:t>投标产品品目、数量、技术参数符合谈判文件要求。 注：①采购需求中要求提供证明材料的需提供证明材料，其他以《投标产品技术指标偏离表》响应为准。②本项目投标产品按套计算。</w:t>
            </w:r>
          </w:p>
        </w:tc>
        <w:tc>
          <w:tcPr>
            <w:tcW w:type="dxa" w:w="1661"/>
          </w:tcPr>
          <w:p>
            <w:pPr>
              <w:pStyle w:val="null3"/>
            </w:pPr>
            <w:r>
              <w:rPr/>
              <w:t>投标产品技术参数明细表 标的清单 投标产品技术指标偏离表</w:t>
            </w:r>
          </w:p>
        </w:tc>
      </w:tr>
    </w:tbl>
    <w:p>
      <w:pPr>
        <w:pStyle w:val="null3"/>
        <w:outlineLvl w:val="3"/>
      </w:pPr>
      <w:r>
        <w:rPr>
          <w:sz w:val="24"/>
          <w:b/>
        </w:rPr>
        <w:t>6.3.3谈判</w:t>
      </w:r>
    </w:p>
    <w:p>
      <w:pPr>
        <w:pStyle w:val="null3"/>
        <w:ind w:firstLine="480"/>
      </w:pPr>
      <w:r>
        <w:rPr/>
        <w:t>一、谈判小组按照谈判文件的规定与邀请参加谈判的供应商分别进行谈判，谈判顺序由谈判小组确定。</w:t>
      </w:r>
    </w:p>
    <w:p>
      <w:pPr>
        <w:pStyle w:val="null3"/>
        <w:ind w:firstLine="480"/>
      </w:pPr>
      <w:r>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t>六、经最终谈判后，响应文件仍有下列情况之一的，应按照无效响应处理：</w:t>
      </w:r>
    </w:p>
    <w:p>
      <w:pPr>
        <w:pStyle w:val="null3"/>
        <w:ind w:firstLine="480"/>
      </w:pPr>
      <w:r>
        <w:rPr/>
        <w:t>（一）响应文件仍不能实质响应谈判文件可实质性变动的实质性要求的；</w:t>
      </w:r>
    </w:p>
    <w:p>
      <w:pPr>
        <w:pStyle w:val="null3"/>
        <w:ind w:firstLine="480"/>
      </w:pPr>
      <w:r>
        <w:rPr/>
        <w:t>（二）响应文件中仍有谈判文件规定的其他无效响应情形的。</w:t>
      </w:r>
    </w:p>
    <w:p>
      <w:pPr>
        <w:pStyle w:val="null3"/>
        <w:ind w:firstLine="480"/>
      </w:pPr>
      <w:r>
        <w:rPr/>
        <w:t xml:space="preserve"> 七、谈判小组对供应商在谈判、评审过程中的书面交换材料，未按要求加盖电子印章或签字的，视同未提交书面交换材料。</w:t>
      </w:r>
    </w:p>
    <w:p>
      <w:pPr>
        <w:pStyle w:val="null3"/>
        <w:ind w:firstLine="480"/>
      </w:pPr>
      <w:r>
        <w:rPr/>
        <w:t xml:space="preserve"> 八、谈判小组在最终谈判后，对所有响应文件的有效性、完整性和响应程度进行审查后，确定最后报价的供应商名单。</w:t>
      </w:r>
    </w:p>
    <w:p>
      <w:pPr>
        <w:pStyle w:val="null3"/>
        <w:ind w:firstLine="480"/>
      </w:pPr>
      <w:r>
        <w:rPr/>
        <w:t xml:space="preserve"> 九、谈判过程中，谈判的任何一方不得透露与谈判有关的其他供应商的技术资料、价格和其他信息。</w:t>
      </w:r>
    </w:p>
    <w:p>
      <w:pPr>
        <w:pStyle w:val="null3"/>
        <w:ind w:firstLine="480"/>
      </w:pPr>
      <w:r>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t>采购包2：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二、谈判小组开启报价后，供应商应随时关注项目电子化交易系统信息提醒，登录项目电子化交易系统，通过“等候大厅”进行报价并签章后提交。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t>四、供应商最后报价属于明显低价不正当竞争的，谈判小组应按照“供应商须知前附表”第8项规定处理。</w:t>
      </w:r>
    </w:p>
    <w:p>
      <w:pPr>
        <w:pStyle w:val="null3"/>
        <w:ind w:firstLine="480"/>
      </w:pPr>
      <w:r>
        <w:rPr/>
        <w:t xml:space="preserve"> 五、供应商未在响应文件提交截止时间内提交报价或未按要求进行报价的，视为无效响应，由供应商自行承担不利后果。</w:t>
      </w:r>
    </w:p>
    <w:p>
      <w:pPr>
        <w:pStyle w:val="null3"/>
        <w:ind w:firstLine="480"/>
      </w:pPr>
      <w:r>
        <w:rPr/>
        <w:t>六、供应商未按谈判小组要求在规定时间内提交最后报价的，视为其退出谈判。</w:t>
      </w:r>
    </w:p>
    <w:p>
      <w:pPr>
        <w:pStyle w:val="null3"/>
        <w:ind w:firstLine="480"/>
      </w:pPr>
      <w:r>
        <w:rPr/>
        <w:t>七、最后报价一旦提交后，供应商不得以任何理由撤回。</w:t>
      </w:r>
    </w:p>
    <w:p>
      <w:pPr>
        <w:pStyle w:val="null3"/>
        <w:ind w:firstLine="480"/>
        <w:jc w:val="left"/>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（三）供应商的最后报价应符合谈判文件的要求。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6.3.5价格扣除</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中小企业声明函 残疾人福利性单位声明函 监狱企业的证明文件</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中小企业声明函 残疾人福利性单位声明函 监狱企业的证明文件</w:t>
            </w:r>
          </w:p>
        </w:tc>
      </w:tr>
    </w:tbl>
    <w:p>
      <w:pPr>
        <w:pStyle w:val="null3"/>
        <w:outlineLvl w:val="3"/>
      </w:pPr>
      <w:r>
        <w:rPr>
          <w:sz w:val="24"/>
          <w:b/>
        </w:rPr>
        <w:t>6.3.6解释、澄清、说明的有关问题</w:t>
      </w:r>
    </w:p>
    <w:p>
      <w:pPr>
        <w:pStyle w:val="null3"/>
        <w:ind w:firstLine="480"/>
      </w:pPr>
      <w:r>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t>四、谈判小组应当积极履行澄清、说明或者更正的职责，不得滥用权力。</w:t>
      </w:r>
    </w:p>
    <w:p>
      <w:pPr>
        <w:pStyle w:val="null3"/>
        <w:outlineLvl w:val="3"/>
      </w:pPr>
      <w:r>
        <w:rPr>
          <w:sz w:val="24"/>
          <w:b/>
        </w:rPr>
        <w:t>6.3.7复核</w:t>
      </w:r>
    </w:p>
    <w:p>
      <w:pPr>
        <w:pStyle w:val="null3"/>
        <w:ind w:firstLine="480"/>
      </w:pPr>
      <w:r>
        <w:rPr/>
        <w:t xml:space="preserve"> 一、评审结束后，谈判小组应当进行复核，特别要对拟推荐为成交供应商的、报价最低的、响应文件被认定为无效的进行重点复核。</w:t>
      </w:r>
    </w:p>
    <w:p>
      <w:pPr>
        <w:pStyle w:val="null3"/>
        <w:ind w:firstLine="480"/>
      </w:pPr>
      <w:r>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sz w:val="24"/>
          <w:b/>
        </w:rPr>
        <w:t>6.3.8推荐成交候选供应商</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t>采购包2：</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t xml:space="preserve"> 响应文件满足谈判文件全部实质性要求且最终报价最低的供应商为排名第一的成交候选供应商。</w:t>
      </w:r>
    </w:p>
    <w:p>
      <w:pPr>
        <w:pStyle w:val="null3"/>
        <w:ind w:firstLine="480"/>
        <w:jc w:val="left"/>
      </w:pPr>
      <w:r>
        <w:rPr/>
        <w:t xml:space="preserve"> 经评审的最终报价是指对供应商最后报价完成价格修正和落实政府采购政策进行的价格扣除后的报价。</w:t>
      </w:r>
    </w:p>
    <w:p>
      <w:pPr>
        <w:pStyle w:val="null3"/>
        <w:outlineLvl w:val="3"/>
      </w:pPr>
      <w:r>
        <w:rPr>
          <w:sz w:val="24"/>
          <w:b/>
        </w:rPr>
        <w:t>6.3.9编写谈判报告</w:t>
      </w:r>
    </w:p>
    <w:p>
      <w:pPr>
        <w:pStyle w:val="null3"/>
        <w:ind w:firstLine="480"/>
      </w:pPr>
      <w:r>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t>一、邀请供应商参加采购活动的具体方式和相关情况，以及参加采购活动的供应商名单；</w:t>
      </w:r>
    </w:p>
    <w:p>
      <w:pPr>
        <w:pStyle w:val="null3"/>
        <w:ind w:firstLine="480"/>
      </w:pPr>
      <w:r>
        <w:rPr/>
        <w:t>二、谈判日期和地点，评审委员会成员名单；</w:t>
      </w:r>
    </w:p>
    <w:p>
      <w:pPr>
        <w:pStyle w:val="null3"/>
        <w:ind w:firstLine="480"/>
      </w:pPr>
      <w:r>
        <w:rPr/>
        <w:t>三、参加报价的供应商名单及报价情况和未参加报价的供应商名单及原因；</w:t>
      </w:r>
    </w:p>
    <w:p>
      <w:pPr>
        <w:pStyle w:val="null3"/>
        <w:ind w:firstLine="480"/>
      </w:pPr>
      <w:r>
        <w:rPr/>
        <w:t>四、变动谈判文件实质性内容的有关资料及记录；</w:t>
      </w:r>
    </w:p>
    <w:p>
      <w:pPr>
        <w:pStyle w:val="null3"/>
        <w:ind w:firstLine="480"/>
      </w:pPr>
      <w:r>
        <w:rPr/>
        <w:t>五、供应商响应文件响应谈判文件实质性要求情况及供应商变动响应文件有关资料及记录；</w:t>
      </w:r>
    </w:p>
    <w:p>
      <w:pPr>
        <w:pStyle w:val="null3"/>
        <w:ind w:firstLine="480"/>
      </w:pPr>
      <w:r>
        <w:rPr/>
        <w:t>六、谈判情况记录和说明，包括对供应商的资格审查情况、供应商响应文件谈判情况等；</w:t>
      </w:r>
    </w:p>
    <w:p>
      <w:pPr>
        <w:pStyle w:val="null3"/>
        <w:ind w:firstLine="480"/>
      </w:pPr>
      <w:r>
        <w:rPr/>
        <w:t>七、推荐的成交候选供应商名单及理由。</w:t>
      </w:r>
    </w:p>
    <w:p>
      <w:pPr>
        <w:pStyle w:val="null3"/>
        <w:ind w:firstLine="480"/>
      </w:pPr>
      <w:r>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sz w:val="24"/>
          <w:b/>
        </w:rPr>
        <w:t>6.3.10谈判争议处理规则</w:t>
      </w:r>
    </w:p>
    <w:p>
      <w:pPr>
        <w:pStyle w:val="null3"/>
        <w:ind w:firstLine="480"/>
      </w:pPr>
      <w:r>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sz w:val="28"/>
          <w:b/>
        </w:rPr>
        <w:t>6.4终止采购活动情形</w:t>
      </w:r>
    </w:p>
    <w:p>
      <w:pPr>
        <w:pStyle w:val="null3"/>
        <w:ind w:firstLine="480"/>
      </w:pPr>
      <w:r>
        <w:rPr/>
        <w:t>有下列情形之一的，本项目终止采购活动：</w:t>
      </w:r>
    </w:p>
    <w:p>
      <w:pPr>
        <w:pStyle w:val="null3"/>
        <w:ind w:firstLine="480"/>
      </w:pPr>
      <w:r>
        <w:rPr/>
        <w:t>（一）因情况变化，不再符合规定的竞争性谈判采购方式适用情形的；</w:t>
      </w:r>
    </w:p>
    <w:p>
      <w:pPr>
        <w:pStyle w:val="null3"/>
        <w:ind w:firstLine="480"/>
      </w:pPr>
      <w:r>
        <w:rPr/>
        <w:t>（二）出现影响采购公正的违法、违规行为的；</w:t>
      </w:r>
    </w:p>
    <w:p>
      <w:pPr>
        <w:pStyle w:val="null3"/>
        <w:ind w:firstLine="480"/>
      </w:pPr>
      <w:r>
        <w:rPr/>
        <w:t>（三）提交首次响应文件的供应商不足三家的；</w:t>
      </w:r>
    </w:p>
    <w:p>
      <w:pPr>
        <w:pStyle w:val="null3"/>
        <w:ind w:firstLine="480"/>
      </w:pPr>
      <w:r>
        <w:rPr/>
        <w:t>（四）通过资格审查的供应商不足三家的；</w:t>
      </w:r>
    </w:p>
    <w:p>
      <w:pPr>
        <w:pStyle w:val="null3"/>
        <w:ind w:firstLine="480"/>
      </w:pPr>
      <w:r>
        <w:rPr/>
        <w:t>（五）通过符合性审查的供应商不足三家的；</w:t>
      </w:r>
    </w:p>
    <w:p>
      <w:pPr>
        <w:pStyle w:val="null3"/>
        <w:ind w:firstLine="480"/>
      </w:pPr>
      <w:r>
        <w:rPr/>
        <w:t>（六）提交最后报价的供应商不足三家的；</w:t>
      </w:r>
    </w:p>
    <w:p>
      <w:pPr>
        <w:pStyle w:val="null3"/>
        <w:ind w:firstLine="480"/>
      </w:pPr>
      <w:r>
        <w:rPr/>
        <w:t>（七）通过最后报价审查的供应商不足三家的。</w:t>
      </w:r>
    </w:p>
    <w:p>
      <w:pPr>
        <w:pStyle w:val="null3"/>
        <w:ind w:firstLine="480"/>
      </w:pPr>
      <w:r>
        <w:rPr/>
        <w:t>注：公开招标转竞争性谈判只有两家供应商参与的情形除外。</w:t>
      </w:r>
    </w:p>
    <w:p>
      <w:pPr>
        <w:pStyle w:val="null3"/>
        <w:outlineLvl w:val="2"/>
      </w:pPr>
      <w:r>
        <w:rPr>
          <w:sz w:val="28"/>
          <w:b/>
        </w:rPr>
        <w:t>6.5确定成交供应商</w:t>
      </w:r>
    </w:p>
    <w:p>
      <w:pPr>
        <w:pStyle w:val="null3"/>
      </w:pPr>
      <w:r>
        <w:rPr/>
        <w:t>一、评审结束后，代理机构在评审结束之日起2个工作日内将谈判报告及有关资料送交采购人确定成交供应商。</w:t>
      </w:r>
    </w:p>
    <w:p>
      <w:pPr>
        <w:pStyle w:val="null3"/>
      </w:pPr>
      <w:r>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t>三、采购人逾期未确定成交供应商且不提出异议的，视为确定谈判报告提出的排序第一的供应商为成交供应商。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6.6谈判小组成员义务</w:t>
      </w:r>
    </w:p>
    <w:p>
      <w:pPr>
        <w:pStyle w:val="null3"/>
        <w:ind w:firstLine="480"/>
      </w:pPr>
      <w:r>
        <w:rPr/>
        <w:t>（一）遵守评审工作纪律；</w:t>
      </w:r>
    </w:p>
    <w:p>
      <w:pPr>
        <w:pStyle w:val="null3"/>
        <w:ind w:firstLine="480"/>
      </w:pPr>
      <w:r>
        <w:rPr/>
        <w:t>（二）按照客观、公正、审慎的原则，根据竞争性谈判文件规定的评审程序、评审方法和评审标准进行独立评审；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6.7谈判纪律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ind w:firstLine="480"/>
      </w:pPr>
      <w:r>
        <w:rPr/>
        <w:t>一、本章所制响应文件格式，除格式中明确将该格式作为实质性要求的，不具有强制性。</w:t>
      </w:r>
    </w:p>
    <w:p>
      <w:pPr>
        <w:pStyle w:val="null3"/>
        <w:ind w:firstLine="480"/>
      </w:pPr>
      <w:r>
        <w:rPr/>
        <w:t>二、本章所制响应文件格式有关表格中的备注栏，由供应商根据自身响应情况作解释性说明，不作为必填项。</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详见附件：报价表</w:t>
      </w:r>
    </w:p>
    <w:p>
      <w:pPr>
        <w:pStyle w:val="null3"/>
        <w:ind w:firstLine="960"/>
      </w:pPr>
      <w:r>
        <w:rPr/>
        <w:t>详见附件：标的清单</w:t>
      </w:r>
    </w:p>
    <w:p>
      <w:pPr>
        <w:pStyle w:val="null3"/>
        <w:ind w:firstLine="960"/>
      </w:pPr>
      <w:r>
        <w:rPr/>
        <w:t>详见附件：财务状况证明</w:t>
      </w:r>
    </w:p>
    <w:p>
      <w:pPr>
        <w:pStyle w:val="null3"/>
        <w:ind w:firstLine="960"/>
      </w:pPr>
      <w:r>
        <w:rPr/>
        <w:t>详见附件：产品授权</w:t>
      </w:r>
    </w:p>
    <w:p>
      <w:pPr>
        <w:pStyle w:val="null3"/>
        <w:ind w:firstLine="960"/>
      </w:pPr>
      <w:r>
        <w:rPr/>
        <w:t>详见附件：法定代表人授权委托书</w:t>
      </w:r>
    </w:p>
    <w:p>
      <w:pPr>
        <w:pStyle w:val="null3"/>
        <w:ind w:firstLine="960"/>
      </w:pPr>
      <w:r>
        <w:rPr/>
        <w:t>详见附件：法定代表人证明书</w:t>
      </w:r>
    </w:p>
    <w:p>
      <w:pPr>
        <w:pStyle w:val="null3"/>
        <w:ind w:firstLine="960"/>
      </w:pPr>
      <w:r>
        <w:rPr/>
        <w:t>详见附件：非联合体声明</w:t>
      </w:r>
    </w:p>
    <w:p>
      <w:pPr>
        <w:pStyle w:val="null3"/>
        <w:ind w:firstLine="960"/>
      </w:pPr>
      <w:r>
        <w:rPr/>
        <w:t>详见附件：履约能力声明</w:t>
      </w:r>
    </w:p>
    <w:p>
      <w:pPr>
        <w:pStyle w:val="null3"/>
        <w:ind w:firstLine="960"/>
      </w:pPr>
      <w:r>
        <w:rPr/>
        <w:t>详见附件：纳税证明</w:t>
      </w:r>
    </w:p>
    <w:p>
      <w:pPr>
        <w:pStyle w:val="null3"/>
        <w:ind w:firstLine="960"/>
      </w:pPr>
      <w:r>
        <w:rPr/>
        <w:t>详见附件：社会保障资金缴纳证明</w:t>
      </w:r>
    </w:p>
    <w:p>
      <w:pPr>
        <w:pStyle w:val="null3"/>
        <w:ind w:firstLine="960"/>
      </w:pPr>
      <w:r>
        <w:rPr/>
        <w:t>详见附件：信用声明</w:t>
      </w:r>
    </w:p>
    <w:p>
      <w:pPr>
        <w:pStyle w:val="null3"/>
        <w:ind w:firstLine="960"/>
      </w:pPr>
      <w:r>
        <w:rPr/>
        <w:t>详见附件：注册证照</w:t>
      </w:r>
    </w:p>
    <w:p>
      <w:pPr>
        <w:pStyle w:val="null3"/>
        <w:ind w:firstLine="960"/>
      </w:pPr>
      <w:r>
        <w:rPr/>
        <w:t>详见附件：投标产品技术参数明细表</w:t>
      </w:r>
    </w:p>
    <w:p>
      <w:pPr>
        <w:pStyle w:val="null3"/>
        <w:ind w:firstLine="960"/>
      </w:pPr>
      <w:r>
        <w:rPr/>
        <w:t>详见附件：投标产品技术指标偏离表</w:t>
      </w:r>
    </w:p>
    <w:p>
      <w:pPr>
        <w:pStyle w:val="null3"/>
        <w:ind w:firstLine="960"/>
      </w:pPr>
      <w:r>
        <w:rPr/>
        <w:t>详见附件：主要商务条款响应偏离表</w:t>
      </w:r>
    </w:p>
    <w:p>
      <w:pPr>
        <w:pStyle w:val="null3"/>
      </w:pPr>
      <w:r>
        <w:rPr/>
        <w:t>采购包2：</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详见附件：报价表</w:t>
      </w:r>
    </w:p>
    <w:p>
      <w:pPr>
        <w:pStyle w:val="null3"/>
        <w:ind w:firstLine="960"/>
      </w:pPr>
      <w:r>
        <w:rPr/>
        <w:t>详见附件：标的清单</w:t>
      </w:r>
    </w:p>
    <w:p>
      <w:pPr>
        <w:pStyle w:val="null3"/>
        <w:ind w:firstLine="960"/>
      </w:pPr>
      <w:r>
        <w:rPr/>
        <w:t>详见附件：财务状况证明</w:t>
      </w:r>
    </w:p>
    <w:p>
      <w:pPr>
        <w:pStyle w:val="null3"/>
        <w:ind w:firstLine="960"/>
      </w:pPr>
      <w:r>
        <w:rPr/>
        <w:t>详见附件：产品授权</w:t>
      </w:r>
    </w:p>
    <w:p>
      <w:pPr>
        <w:pStyle w:val="null3"/>
        <w:ind w:firstLine="960"/>
      </w:pPr>
      <w:r>
        <w:rPr/>
        <w:t>详见附件：法定代表人授权委托书</w:t>
      </w:r>
    </w:p>
    <w:p>
      <w:pPr>
        <w:pStyle w:val="null3"/>
        <w:ind w:firstLine="960"/>
      </w:pPr>
      <w:r>
        <w:rPr/>
        <w:t>详见附件：法定代表人证明书</w:t>
      </w:r>
    </w:p>
    <w:p>
      <w:pPr>
        <w:pStyle w:val="null3"/>
        <w:ind w:firstLine="960"/>
      </w:pPr>
      <w:r>
        <w:rPr/>
        <w:t>详见附件：非联合体声明</w:t>
      </w:r>
    </w:p>
    <w:p>
      <w:pPr>
        <w:pStyle w:val="null3"/>
        <w:ind w:firstLine="960"/>
      </w:pPr>
      <w:r>
        <w:rPr/>
        <w:t>详见附件：履约能力声明</w:t>
      </w:r>
    </w:p>
    <w:p>
      <w:pPr>
        <w:pStyle w:val="null3"/>
        <w:ind w:firstLine="960"/>
      </w:pPr>
      <w:r>
        <w:rPr/>
        <w:t>详见附件：纳税证明</w:t>
      </w:r>
    </w:p>
    <w:p>
      <w:pPr>
        <w:pStyle w:val="null3"/>
        <w:ind w:firstLine="960"/>
      </w:pPr>
      <w:r>
        <w:rPr/>
        <w:t>详见附件：社会保障资金缴纳证明</w:t>
      </w:r>
    </w:p>
    <w:p>
      <w:pPr>
        <w:pStyle w:val="null3"/>
        <w:ind w:firstLine="960"/>
      </w:pPr>
      <w:r>
        <w:rPr/>
        <w:t>详见附件：信用声明</w:t>
      </w:r>
    </w:p>
    <w:p>
      <w:pPr>
        <w:pStyle w:val="null3"/>
        <w:ind w:firstLine="960"/>
      </w:pPr>
      <w:r>
        <w:rPr/>
        <w:t>详见附件：注册证照</w:t>
      </w:r>
    </w:p>
    <w:p>
      <w:pPr>
        <w:pStyle w:val="null3"/>
        <w:ind w:firstLine="960"/>
      </w:pPr>
      <w:r>
        <w:rPr/>
        <w:t>详见附件：投标产品技术参数明细表</w:t>
      </w:r>
    </w:p>
    <w:p>
      <w:pPr>
        <w:pStyle w:val="null3"/>
        <w:ind w:firstLine="960"/>
      </w:pPr>
      <w:r>
        <w:rPr/>
        <w:t>详见附件：投标产品技术指标偏离表</w:t>
      </w:r>
    </w:p>
    <w:p>
      <w:pPr>
        <w:pStyle w:val="null3"/>
        <w:ind w:firstLine="960"/>
      </w:pPr>
      <w:r>
        <w:rPr/>
        <w:t>详见附件：主要商务条款响应偏离表</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详见附件：合同模版（进口＆国产）.docx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