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供应商资格条件证明文件</w:t>
      </w:r>
    </w:p>
    <w:p>
      <w:pPr>
        <w:keepNext w:val="0"/>
        <w:keepLines/>
        <w:pageBreakBefore w:val="0"/>
        <w:widowControl w:val="0"/>
        <w:kinsoku/>
        <w:wordWrap w:val="0"/>
        <w:overflowPunct/>
        <w:topLinePunct/>
        <w:autoSpaceDE/>
        <w:autoSpaceDN/>
        <w:bidi w:val="0"/>
        <w:adjustRightInd/>
        <w:snapToGrid/>
        <w:spacing w:line="460" w:lineRule="exact"/>
        <w:ind w:right="48" w:firstLine="480" w:firstLineChars="200"/>
        <w:textAlignment w:val="auto"/>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1、具有独立承担民事责任能力的法人、其他组织或自然人，并出具合法有效的营业执照或事业单位法人证书等国家规定的相关证明，自然人参与的提供其身份证明。</w:t>
      </w:r>
    </w:p>
    <w:p>
      <w:pPr>
        <w:keepNext w:val="0"/>
        <w:keepLines/>
        <w:pageBreakBefore w:val="0"/>
        <w:widowControl w:val="0"/>
        <w:kinsoku/>
        <w:wordWrap w:val="0"/>
        <w:overflowPunct/>
        <w:topLinePunct/>
        <w:autoSpaceDE/>
        <w:autoSpaceDN/>
        <w:bidi w:val="0"/>
        <w:adjustRightInd/>
        <w:snapToGrid/>
        <w:spacing w:line="460" w:lineRule="exact"/>
        <w:ind w:right="48" w:firstLine="480" w:firstLineChars="200"/>
        <w:textAlignment w:val="auto"/>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2、财务状况报告：提供202</w:t>
      </w:r>
      <w:r>
        <w:rPr>
          <w:rFonts w:hint="eastAsia" w:ascii="宋体" w:hAnsi="宋体" w:eastAsia="宋体" w:cs="宋体"/>
          <w:position w:val="15"/>
          <w:sz w:val="24"/>
          <w:szCs w:val="24"/>
          <w:lang w:val="en-US" w:eastAsia="zh-CN"/>
        </w:rPr>
        <w:t>3</w:t>
      </w:r>
      <w:r>
        <w:rPr>
          <w:rFonts w:hint="eastAsia" w:ascii="宋体" w:hAnsi="宋体" w:eastAsia="宋体" w:cs="宋体"/>
          <w:position w:val="15"/>
          <w:sz w:val="24"/>
          <w:szCs w:val="24"/>
          <w:lang w:eastAsia="zh-CN"/>
        </w:rPr>
        <w:t>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keepNext w:val="0"/>
        <w:keepLines/>
        <w:pageBreakBefore w:val="0"/>
        <w:widowControl w:val="0"/>
        <w:kinsoku/>
        <w:wordWrap w:val="0"/>
        <w:overflowPunct/>
        <w:topLinePunct/>
        <w:autoSpaceDE/>
        <w:autoSpaceDN/>
        <w:bidi w:val="0"/>
        <w:adjustRightInd/>
        <w:snapToGrid/>
        <w:spacing w:line="460" w:lineRule="exact"/>
        <w:ind w:right="48" w:firstLine="480" w:firstLineChars="200"/>
        <w:textAlignment w:val="auto"/>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3、税收缴纳证明：提供</w:t>
      </w:r>
      <w:r>
        <w:rPr>
          <w:rFonts w:hint="eastAsia" w:ascii="宋体" w:hAnsi="宋体" w:eastAsia="宋体" w:cs="宋体"/>
          <w:position w:val="15"/>
          <w:sz w:val="24"/>
          <w:szCs w:val="24"/>
          <w:lang w:val="en-US" w:eastAsia="zh-CN"/>
        </w:rPr>
        <w:t>2024年1月</w:t>
      </w:r>
      <w:r>
        <w:rPr>
          <w:rFonts w:hint="eastAsia" w:ascii="宋体" w:hAnsi="宋体" w:eastAsia="宋体" w:cs="宋体"/>
          <w:position w:val="15"/>
          <w:sz w:val="24"/>
          <w:szCs w:val="24"/>
          <w:lang w:eastAsia="zh-CN"/>
        </w:rPr>
        <w:t>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keepNext w:val="0"/>
        <w:keepLines/>
        <w:pageBreakBefore w:val="0"/>
        <w:widowControl w:val="0"/>
        <w:kinsoku/>
        <w:wordWrap w:val="0"/>
        <w:overflowPunct/>
        <w:topLinePunct/>
        <w:autoSpaceDE/>
        <w:autoSpaceDN/>
        <w:bidi w:val="0"/>
        <w:adjustRightInd/>
        <w:snapToGrid/>
        <w:spacing w:line="460" w:lineRule="exact"/>
        <w:ind w:right="48" w:firstLine="480" w:firstLineChars="200"/>
        <w:textAlignment w:val="auto"/>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4、社会保障资金缴纳证明：提供</w:t>
      </w:r>
      <w:r>
        <w:rPr>
          <w:rFonts w:hint="eastAsia" w:ascii="宋体" w:hAnsi="宋体" w:eastAsia="宋体" w:cs="宋体"/>
          <w:position w:val="15"/>
          <w:sz w:val="24"/>
          <w:szCs w:val="24"/>
          <w:lang w:val="en-US" w:eastAsia="zh-CN"/>
        </w:rPr>
        <w:t>2024年1月</w:t>
      </w:r>
      <w:r>
        <w:rPr>
          <w:rFonts w:hint="eastAsia" w:ascii="宋体" w:hAnsi="宋体" w:eastAsia="宋体" w:cs="宋体"/>
          <w:position w:val="15"/>
          <w:sz w:val="24"/>
          <w:szCs w:val="24"/>
          <w:lang w:eastAsia="zh-CN"/>
        </w:rPr>
        <w:t>至今已缴存的至少一个月的社会保障资金缴存单据或社保机构开具的社会保险参保缴费情况证明，依法不需要缴纳社会保障资金的单位应提供相关证明材料。</w:t>
      </w:r>
    </w:p>
    <w:p>
      <w:pPr>
        <w:keepNext w:val="0"/>
        <w:keepLines/>
        <w:pageBreakBefore w:val="0"/>
        <w:widowControl w:val="0"/>
        <w:kinsoku/>
        <w:wordWrap w:val="0"/>
        <w:overflowPunct/>
        <w:topLinePunct/>
        <w:autoSpaceDE/>
        <w:autoSpaceDN/>
        <w:bidi w:val="0"/>
        <w:adjustRightInd/>
        <w:snapToGrid/>
        <w:spacing w:line="460" w:lineRule="exact"/>
        <w:ind w:right="48" w:firstLine="480" w:firstLineChars="200"/>
        <w:textAlignment w:val="auto"/>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keepNext w:val="0"/>
        <w:keepLines/>
        <w:pageBreakBefore w:val="0"/>
        <w:widowControl w:val="0"/>
        <w:kinsoku/>
        <w:wordWrap w:val="0"/>
        <w:overflowPunct/>
        <w:topLinePunct/>
        <w:autoSpaceDE/>
        <w:autoSpaceDN/>
        <w:bidi w:val="0"/>
        <w:adjustRightInd/>
        <w:snapToGrid/>
        <w:spacing w:line="460" w:lineRule="exact"/>
        <w:ind w:right="48" w:firstLine="480" w:firstLineChars="200"/>
        <w:textAlignment w:val="auto"/>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6、控股管理关系：提供直接控股和管理关系清单。若与其他供应商存在单位负责人为同一人或者存在直接控股、管理关系的，则投标无效。</w:t>
      </w:r>
    </w:p>
    <w:p>
      <w:pPr>
        <w:keepNext w:val="0"/>
        <w:keepLines/>
        <w:pageBreakBefore w:val="0"/>
        <w:widowControl w:val="0"/>
        <w:kinsoku/>
        <w:wordWrap w:val="0"/>
        <w:overflowPunct/>
        <w:topLinePunct/>
        <w:autoSpaceDE/>
        <w:autoSpaceDN/>
        <w:bidi w:val="0"/>
        <w:adjustRightInd/>
        <w:snapToGrid/>
        <w:spacing w:line="460" w:lineRule="exact"/>
        <w:ind w:right="48" w:firstLine="480" w:firstLineChars="200"/>
        <w:textAlignment w:val="auto"/>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7、提供具有履行合同所必需的设备和专业技术能力的承诺函。</w:t>
      </w:r>
    </w:p>
    <w:p>
      <w:pPr>
        <w:keepNext w:val="0"/>
        <w:pageBreakBefore w:val="0"/>
        <w:widowControl w:val="0"/>
        <w:kinsoku/>
        <w:overflowPunct/>
        <w:autoSpaceDE/>
        <w:autoSpaceDN/>
        <w:bidi w:val="0"/>
        <w:adjustRightInd/>
        <w:snapToGrid/>
        <w:spacing w:line="460" w:lineRule="exact"/>
        <w:ind w:firstLine="480" w:firstLineChars="200"/>
        <w:jc w:val="both"/>
        <w:textAlignment w:val="auto"/>
        <w:rPr>
          <w:rFonts w:ascii="宋体" w:hAnsi="宋体"/>
          <w:b/>
          <w:sz w:val="32"/>
          <w:szCs w:val="32"/>
        </w:rPr>
      </w:pPr>
      <w:r>
        <w:rPr>
          <w:rFonts w:hint="eastAsia" w:ascii="宋体" w:hAnsi="宋体" w:eastAsia="宋体" w:cs="宋体"/>
          <w:position w:val="15"/>
          <w:sz w:val="24"/>
          <w:szCs w:val="24"/>
          <w:lang w:eastAsia="zh-CN"/>
        </w:rPr>
        <w:t>8、法定代表人授权书及被授权人身份证复印件。（法定代表人直接参与只须提交其身份证明书，被授权人参与需提供供应商为其缴纳的本年度任意一个月社保缴纳证明）。</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（法定代表人直接磋商，只须提供法定代表人证明书及身份证原件）</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480" w:firstLineChars="200"/>
        <w:rPr>
          <w:rFonts w:hAnsi="宋体"/>
          <w:sz w:val="24"/>
          <w:szCs w:val="24"/>
        </w:rPr>
      </w:pPr>
      <w:r>
        <w:rPr>
          <w:rFonts w:hint="eastAsia" w:hAnsi="宋体"/>
          <w:sz w:val="24"/>
          <w:szCs w:val="24"/>
        </w:rPr>
        <w:t>说明：</w:t>
      </w:r>
    </w:p>
    <w:p>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pPr>
        <w:pStyle w:val="2"/>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pPr>
              <w:jc w:val="center"/>
              <w:rPr>
                <w:sz w:val="24"/>
              </w:rPr>
            </w:pPr>
            <w:r>
              <w:rPr>
                <w:rFonts w:hint="eastAsia"/>
                <w:sz w:val="24"/>
              </w:rPr>
              <w:t>股权比例</w:t>
            </w:r>
          </w:p>
        </w:tc>
      </w:tr>
      <w:tr>
        <w:trPr>
          <w:trHeight w:val="1081" w:hRule="atLeast"/>
        </w:trPr>
        <w:tc>
          <w:tcPr>
            <w:tcW w:w="1012" w:type="pct"/>
            <w:vMerge w:val="restart"/>
            <w:tcBorders>
              <w:top w:val="nil"/>
              <w:left w:val="single" w:color="000000" w:sz="8" w:space="0"/>
              <w:bottom w:val="nil"/>
              <w:right w:val="single" w:color="000000" w:sz="8" w:space="0"/>
            </w:tcBorders>
            <w:vAlign w:val="center"/>
          </w:tcPr>
          <w:p>
            <w:pPr>
              <w:rPr>
                <w:sz w:val="24"/>
              </w:rPr>
            </w:pPr>
          </w:p>
        </w:tc>
        <w:tc>
          <w:tcPr>
            <w:tcW w:w="1012" w:type="pct"/>
            <w:vMerge w:val="restart"/>
            <w:tcBorders>
              <w:top w:val="nil"/>
              <w:left w:val="single" w:color="000000" w:sz="8" w:space="0"/>
              <w:bottom w:val="nil"/>
              <w:right w:val="single" w:color="000000" w:sz="8" w:space="0"/>
            </w:tcBorders>
            <w:vAlign w:val="center"/>
          </w:tcPr>
          <w:p>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nil"/>
              <w:right w:val="single" w:color="000000" w:sz="8" w:space="0"/>
            </w:tcBorders>
            <w:vAlign w:val="center"/>
          </w:tcPr>
          <w:p>
            <w:pPr>
              <w:rPr>
                <w:sz w:val="24"/>
              </w:rPr>
            </w:pPr>
            <w:r>
              <w:rPr>
                <w:rFonts w:hint="eastAsia"/>
                <w:sz w:val="24"/>
              </w:rPr>
              <w:t>…</w:t>
            </w:r>
          </w:p>
        </w:tc>
        <w:tc>
          <w:tcPr>
            <w:tcW w:w="1008" w:type="pct"/>
            <w:tcBorders>
              <w:top w:val="nil"/>
              <w:left w:val="nil"/>
              <w:bottom w:val="nil"/>
              <w:right w:val="single" w:color="000000" w:sz="8" w:space="0"/>
            </w:tcBorders>
            <w:vAlign w:val="center"/>
          </w:tcPr>
          <w:p>
            <w:pPr>
              <w:rPr>
                <w:sz w:val="24"/>
              </w:rPr>
            </w:pPr>
            <w:r>
              <w:rPr>
                <w:rFonts w:hint="eastAsia"/>
                <w:sz w:val="24"/>
              </w:rPr>
              <w:t>…</w:t>
            </w:r>
          </w:p>
        </w:tc>
        <w:tc>
          <w:tcPr>
            <w:tcW w:w="1061" w:type="pct"/>
            <w:tcBorders>
              <w:top w:val="nil"/>
              <w:left w:val="nil"/>
              <w:bottom w:val="nil"/>
              <w:right w:val="single" w:color="000000" w:sz="8" w:space="0"/>
            </w:tcBorders>
            <w:noWrap/>
            <w:vAlign w:val="center"/>
          </w:tcPr>
          <w:p>
            <w:pPr>
              <w:rPr>
                <w:sz w:val="24"/>
              </w:rPr>
            </w:pPr>
            <w:r>
              <w:rPr>
                <w:rFonts w:hint="eastAsia"/>
                <w:sz w:val="24"/>
              </w:rPr>
              <w:t>…</w:t>
            </w:r>
          </w:p>
        </w:tc>
      </w:tr>
      <w:tr>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sz w:val="24"/>
              </w:rPr>
            </w:pPr>
            <w:r>
              <w:rPr>
                <w:rFonts w:hint="eastAsia"/>
                <w:sz w:val="24"/>
              </w:rPr>
              <w:t>备注：本表内容须根据供应商性质如实填写，表内“/”为选择内容，请删除与供应商性质无关的选项。</w:t>
            </w:r>
          </w:p>
        </w:tc>
      </w:tr>
    </w:tbl>
    <w:p>
      <w:pPr>
        <w:pStyle w:val="2"/>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
      <w:pPr>
        <w:spacing w:line="360" w:lineRule="atLeast"/>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2"/>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2"/>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2"/>
      </w:pPr>
    </w:p>
    <w:p>
      <w:pPr>
        <w:widowControl/>
        <w:spacing w:line="240" w:lineRule="auto"/>
        <w:jc w:val="center"/>
        <w:rPr>
          <w:rFonts w:ascii="宋体" w:hAnsi="宋体" w:cs="仿宋"/>
          <w:b/>
          <w:bCs/>
          <w:color w:val="FF0000"/>
          <w:kern w:val="0"/>
          <w:sz w:val="28"/>
          <w:szCs w:val="28"/>
          <w:highlight w:val="none"/>
        </w:rPr>
      </w:pPr>
      <w:r>
        <w:rPr>
          <w:rFonts w:ascii="宋体" w:hAnsi="宋体" w:cs="仿宋"/>
          <w:b/>
          <w:bCs/>
          <w:kern w:val="0"/>
          <w:sz w:val="28"/>
          <w:szCs w:val="28"/>
          <w:highlight w:val="yellow"/>
        </w:rPr>
        <w:br w:type="page"/>
      </w:r>
      <w:bookmarkStart w:id="3" w:name="_GoBack"/>
      <w:r>
        <w:rPr>
          <w:rFonts w:ascii="宋体" w:hAnsi="宋体" w:cs="仿宋"/>
          <w:b/>
          <w:bCs/>
          <w:kern w:val="0"/>
          <w:sz w:val="28"/>
          <w:szCs w:val="28"/>
          <w:highlight w:val="none"/>
        </w:rPr>
        <w:t>中小企业声明函</w:t>
      </w:r>
    </w:p>
    <w:p>
      <w:pPr>
        <w:adjustRightInd w:val="0"/>
        <w:snapToGrid w:val="0"/>
        <w:spacing w:line="360" w:lineRule="auto"/>
        <w:ind w:firstLine="484" w:firstLineChars="202"/>
        <w:jc w:val="left"/>
        <w:rPr>
          <w:rFonts w:ascii="宋体" w:hAnsi="宋体"/>
          <w:sz w:val="24"/>
          <w:highlight w:val="none"/>
        </w:rPr>
      </w:pPr>
    </w:p>
    <w:p>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pPr>
        <w:pStyle w:val="2"/>
        <w:rPr>
          <w:rFonts w:hint="eastAsia" w:ascii="宋体" w:hAnsi="宋体"/>
          <w:color w:val="auto"/>
          <w:highlight w:val="none"/>
        </w:rPr>
      </w:pPr>
    </w:p>
    <w:p>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pPr>
        <w:tabs>
          <w:tab w:val="left" w:pos="1755"/>
        </w:tabs>
        <w:spacing w:line="500" w:lineRule="atLeast"/>
        <w:jc w:val="center"/>
        <w:rPr>
          <w:rFonts w:hint="eastAsia" w:ascii="仿宋" w:hAnsi="仿宋" w:eastAsia="仿宋" w:cs="仿宋"/>
          <w:b/>
          <w:bCs/>
          <w:sz w:val="32"/>
          <w:szCs w:val="32"/>
          <w:highlight w:val="none"/>
        </w:rPr>
      </w:pPr>
    </w:p>
    <w:p>
      <w:pPr>
        <w:tabs>
          <w:tab w:val="left" w:pos="1755"/>
        </w:tabs>
        <w:spacing w:line="500" w:lineRule="atLeast"/>
        <w:jc w:val="center"/>
        <w:rPr>
          <w:rFonts w:hint="eastAsia" w:ascii="仿宋" w:hAnsi="仿宋" w:eastAsia="仿宋" w:cs="仿宋"/>
          <w:b/>
          <w:bCs/>
          <w:sz w:val="32"/>
          <w:szCs w:val="32"/>
          <w:highlight w:val="none"/>
        </w:rPr>
      </w:pPr>
    </w:p>
    <w:p>
      <w:pPr>
        <w:tabs>
          <w:tab w:val="left" w:pos="1755"/>
        </w:tabs>
        <w:spacing w:line="500" w:lineRule="atLeast"/>
        <w:rPr>
          <w:rFonts w:ascii="宋体" w:hAnsi="宋体" w:cs="仿宋"/>
          <w:b/>
          <w:bCs/>
          <w:sz w:val="32"/>
          <w:szCs w:val="32"/>
          <w:highlight w:val="none"/>
        </w:rPr>
      </w:pPr>
    </w:p>
    <w:p>
      <w:pPr>
        <w:tabs>
          <w:tab w:val="left" w:pos="1755"/>
        </w:tabs>
        <w:spacing w:line="500" w:lineRule="atLeast"/>
        <w:rPr>
          <w:rFonts w:hint="eastAsia" w:ascii="宋体" w:hAnsi="宋体" w:cs="仿宋"/>
          <w:b/>
          <w:bCs/>
          <w:sz w:val="32"/>
          <w:szCs w:val="32"/>
          <w:highlight w:val="none"/>
        </w:rPr>
      </w:pPr>
    </w:p>
    <w:p>
      <w:pPr>
        <w:tabs>
          <w:tab w:val="left" w:pos="1755"/>
        </w:tabs>
        <w:spacing w:line="500" w:lineRule="atLeast"/>
        <w:rPr>
          <w:rFonts w:hint="eastAsia" w:ascii="宋体" w:hAnsi="宋体" w:cs="仿宋"/>
          <w:b/>
          <w:bCs/>
          <w:sz w:val="32"/>
          <w:szCs w:val="32"/>
          <w:highlight w:val="none"/>
        </w:rPr>
      </w:pPr>
    </w:p>
    <w:p>
      <w:pPr>
        <w:rPr>
          <w:rFonts w:ascii="宋体" w:hAnsi="宋体" w:cs="仿宋"/>
          <w:b/>
          <w:bCs/>
          <w:sz w:val="28"/>
          <w:szCs w:val="28"/>
          <w:highlight w:val="none"/>
        </w:rPr>
      </w:pPr>
      <w:bookmarkStart w:id="0" w:name="_Toc26990"/>
      <w:bookmarkStart w:id="1" w:name="_Toc32499"/>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tabs>
          <w:tab w:val="left" w:pos="4860"/>
        </w:tabs>
        <w:spacing w:line="360" w:lineRule="auto"/>
        <w:ind w:right="1560" w:firstLine="480" w:firstLineChars="200"/>
        <w:jc w:val="center"/>
        <w:rPr>
          <w:rFonts w:ascii="宋体" w:hAnsi="宋体"/>
          <w:sz w:val="24"/>
          <w:highlight w:val="none"/>
        </w:rPr>
      </w:pPr>
    </w:p>
    <w:p>
      <w:pPr>
        <w:spacing w:line="360" w:lineRule="auto"/>
        <w:ind w:firstLine="506" w:firstLineChars="200"/>
        <w:rPr>
          <w:rFonts w:hint="eastAsia" w:ascii="宋体" w:hAnsi="宋体"/>
          <w:b/>
          <w:spacing w:val="6"/>
          <w:sz w:val="24"/>
          <w:highlight w:val="none"/>
          <w:shd w:val="pct10" w:color="auto" w:fill="FFFFFF"/>
        </w:rPr>
      </w:pPr>
    </w:p>
    <w:p>
      <w:pPr>
        <w:spacing w:line="360" w:lineRule="auto"/>
        <w:ind w:firstLine="506" w:firstLineChars="200"/>
        <w:rPr>
          <w:rFonts w:hint="eastAsia" w:ascii="宋体" w:hAnsi="宋体"/>
          <w:b/>
          <w:spacing w:val="6"/>
          <w:sz w:val="24"/>
          <w:highlight w:val="none"/>
          <w:shd w:val="pct10" w:color="auto" w:fill="FFFFFF"/>
        </w:rPr>
      </w:pPr>
    </w:p>
    <w:p>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pPr>
        <w:rPr>
          <w:rFonts w:hint="eastAsia" w:ascii="宋体" w:hAnsi="宋体" w:cs="仿宋"/>
          <w:b/>
          <w:bCs/>
          <w:sz w:val="32"/>
          <w:szCs w:val="32"/>
          <w:highlight w:val="none"/>
        </w:rPr>
      </w:pPr>
    </w:p>
    <w:p>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360" w:lineRule="auto"/>
        <w:ind w:firstLine="506" w:firstLineChars="200"/>
        <w:rPr>
          <w:rFonts w:hint="eastAsia" w:ascii="宋体" w:hAnsi="宋体"/>
          <w:b/>
          <w:spacing w:val="6"/>
          <w:sz w:val="24"/>
          <w:highlight w:val="none"/>
          <w:shd w:val="pct10" w:color="auto" w:fill="FFFFFF"/>
        </w:rPr>
      </w:pPr>
    </w:p>
    <w:p>
      <w:pPr>
        <w:spacing w:line="360" w:lineRule="auto"/>
        <w:ind w:firstLine="506" w:firstLineChars="200"/>
        <w:rPr>
          <w:rFonts w:hint="eastAsia" w:ascii="宋体" w:hAnsi="宋体"/>
          <w:b/>
          <w:spacing w:val="6"/>
          <w:sz w:val="24"/>
          <w:highlight w:val="none"/>
          <w:shd w:val="pct10" w:color="auto" w:fill="FFFFFF"/>
        </w:rPr>
      </w:pPr>
    </w:p>
    <w:p>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pPr>
        <w:rPr>
          <w:highlight w:val="none"/>
        </w:rPr>
      </w:pPr>
    </w:p>
    <w:bookmarkEnd w:id="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9354acc3-dda7-42b8-be2f-a4837ea00a70"/>
  </w:docVars>
  <w:rsids>
    <w:rsidRoot w:val="3DAE17FE"/>
    <w:rsid w:val="00347CE2"/>
    <w:rsid w:val="005214F3"/>
    <w:rsid w:val="007C70C5"/>
    <w:rsid w:val="0099099F"/>
    <w:rsid w:val="00B813EA"/>
    <w:rsid w:val="0143077A"/>
    <w:rsid w:val="13DF60E8"/>
    <w:rsid w:val="3DAE17FE"/>
    <w:rsid w:val="5EAE5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uiPriority w:val="0"/>
    <w:rPr>
      <w:rFonts w:ascii="Times New Roman" w:hAnsi="Times New Roman" w:eastAsia="宋体" w:cs="Times New Roman"/>
      <w:kern w:val="2"/>
      <w:sz w:val="18"/>
      <w:szCs w:val="18"/>
    </w:rPr>
  </w:style>
  <w:style w:type="character" w:customStyle="1" w:styleId="10">
    <w:name w:val="页脚 Char"/>
    <w:basedOn w:val="8"/>
    <w:link w:val="5"/>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3143</Words>
  <Characters>3178</Characters>
  <Lines>30</Lines>
  <Paragraphs>8</Paragraphs>
  <TotalTime>0</TotalTime>
  <ScaleCrop>false</ScaleCrop>
  <LinksUpToDate>false</LinksUpToDate>
  <CharactersWithSpaces>4114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2024-12-11T13:42:37Z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54B67335D90147DB8EE9DC5C8BF71E0A_11</vt:lpwstr>
  </property>
</Properties>
</file>