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版本号：241211001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IPV6应用建设项目</w:t>
      </w:r>
    </w:p>
    <w:p>
      <w:pPr>
        <w:pStyle w:val="null3"/>
        <w:jc w:val="center"/>
        <w:outlineLvl w:val="2"/>
      </w:pPr>
      <w:r>
        <w:rPr>
          <w:sz w:val="28"/>
          <w:b/>
        </w:rPr>
        <w:t>采购项目编号：</w:t>
      </w:r>
      <w:r>
        <w:rPr>
          <w:sz w:val="28"/>
          <w:b/>
        </w:rPr>
        <w:t>KY2024-1-391</w:t>
      </w:r>
      <w:r>
        <w:br/>
      </w:r>
      <w:r>
        <w:br/>
      </w:r>
      <w:r>
        <w:br/>
      </w:r>
    </w:p>
    <w:p>
      <w:pPr>
        <w:pStyle w:val="null3"/>
        <w:jc w:val="center"/>
        <w:outlineLvl w:val="2"/>
      </w:pPr>
      <w:r>
        <w:rPr>
          <w:sz w:val="28"/>
          <w:b/>
        </w:rPr>
        <w:t>延安大学</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2024年12月19日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延安大学</w:t>
      </w:r>
      <w:r>
        <w:rPr/>
        <w:t>委托，拟对</w:t>
      </w:r>
      <w:r>
        <w:rPr/>
        <w:t>IPV6应用建设项目</w:t>
      </w:r>
      <w:r>
        <w:rPr/>
        <w:t>进行国内公开招标，兹邀请符合本次招标要求的供应商参加投标。</w:t>
      </w:r>
    </w:p>
    <w:p>
      <w:pPr>
        <w:pStyle w:val="null3"/>
        <w:outlineLvl w:val="2"/>
      </w:pPr>
      <w:r>
        <w:rPr>
          <w:sz w:val="28"/>
          <w:b/>
        </w:rPr>
        <w:t>一、采购项目编号：</w:t>
      </w:r>
      <w:r>
        <w:rPr>
          <w:sz w:val="28"/>
          <w:b/>
        </w:rPr>
        <w:t>KY2024-1-391</w:t>
      </w:r>
    </w:p>
    <w:p>
      <w:pPr>
        <w:pStyle w:val="null3"/>
        <w:outlineLvl w:val="2"/>
      </w:pPr>
      <w:r>
        <w:rPr>
          <w:sz w:val="28"/>
          <w:b/>
        </w:rPr>
        <w:t>二、采购项目名称：</w:t>
      </w:r>
      <w:r>
        <w:rPr>
          <w:sz w:val="28"/>
          <w:b/>
        </w:rPr>
        <w:t>IPV6应用建设项目</w:t>
      </w:r>
    </w:p>
    <w:p>
      <w:pPr>
        <w:pStyle w:val="null3"/>
        <w:outlineLvl w:val="2"/>
      </w:pPr>
      <w:r>
        <w:rPr>
          <w:sz w:val="28"/>
          <w:b/>
        </w:rPr>
        <w:t>三、招标项目简介</w:t>
      </w:r>
    </w:p>
    <w:p>
      <w:pPr>
        <w:pStyle w:val="null3"/>
        <w:ind w:firstLine="480"/>
      </w:pPr>
      <w:r>
        <w:rPr/>
        <w:t>延安大学IPV6应用建设项目，具体内容详见招标文件第三章。</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采购包1（IPV6应用建设项目）：属于专门面向中小企业采购。</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2024年1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t>4、社会保障资金缴存证明：提供2024年1月至今已缴存的至少一个月的社会保障资金缴存单据或社保机构开具的社会保险参保缴费情况证明，依法不需要缴纳社会保障资金的单位应提供相关证明材料。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7、法定代表人授权委托书：法定代表人授权书及被授权人身份证。（法定代表人直接投标只须提供其身份证明）</w:t>
      </w:r>
    </w:p>
    <w:p>
      <w:pPr>
        <w:pStyle w:val="null3"/>
      </w:pPr>
      <w:r>
        <w:rPr/>
        <w:t>8、中小企业声明函：本项目专门面向中小企业采购，供应商须提供中小企业声明函。</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延安大学</w:t>
      </w:r>
    </w:p>
    <w:p>
      <w:pPr>
        <w:pStyle w:val="null3"/>
      </w:pPr>
      <w:r>
        <w:rPr/>
        <w:t xml:space="preserve"> 地址： </w:t>
      </w:r>
      <w:r>
        <w:rPr/>
        <w:t>延安市宝塔区圣地路580号</w:t>
      </w:r>
    </w:p>
    <w:p>
      <w:pPr>
        <w:pStyle w:val="null3"/>
      </w:pPr>
      <w:r>
        <w:rPr/>
        <w:t xml:space="preserve"> 邮编： </w:t>
      </w:r>
      <w:r>
        <w:rPr/>
        <w:t>716000</w:t>
      </w:r>
    </w:p>
    <w:p>
      <w:pPr>
        <w:pStyle w:val="null3"/>
      </w:pPr>
      <w:r>
        <w:rPr/>
        <w:t xml:space="preserve"> 联系人： </w:t>
      </w:r>
      <w:r>
        <w:rPr/>
        <w:t>张老师</w:t>
      </w:r>
    </w:p>
    <w:p>
      <w:pPr>
        <w:pStyle w:val="null3"/>
      </w:pPr>
      <w:r>
        <w:rPr/>
        <w:t xml:space="preserve"> 联系电话： </w:t>
      </w:r>
      <w:r>
        <w:rPr/>
        <w:t>0911-2650182</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710061</w:t>
      </w:r>
    </w:p>
    <w:p>
      <w:pPr>
        <w:pStyle w:val="null3"/>
      </w:pPr>
      <w:r>
        <w:rPr/>
        <w:t xml:space="preserve"> 联系人： </w:t>
      </w:r>
      <w:r>
        <w:rPr/>
        <w:t>杭琨、丁嘉伟、刘金柯、卢韶华</w:t>
      </w:r>
    </w:p>
    <w:p>
      <w:pPr>
        <w:pStyle w:val="null3"/>
      </w:pPr>
      <w:r>
        <w:rPr/>
        <w:t xml:space="preserve"> 联系电话： </w:t>
      </w:r>
      <w:r>
        <w:rPr/>
        <w:t>029-81206622-825</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采购包1：1,040,000.00元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银行账号：86113010750181501003886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本采购包履约保证金为合同金额的2.0%</w:t>
            </w:r>
          </w:p>
          <w:p>
            <w:pPr>
              <w:pStyle w:val="null3"/>
            </w:pPr>
            <w:r>
              <w:rPr/>
              <w:t>说明：（1）履约保证金缴纳时间：中标后七日内需要缴纳履约保证金。未在规定时间内缴纳履约保证金视为拒签合同，自动放弃中标资格。 （2）履约保证金缴纳形式：采用银行对公转账、电汇或者金融机构、担保机构出具的保函等非现金的形式对公形式缴纳。 （3）履约保证金的退还：项目验收合格后15个日历日内，无质量问题且不存在争议，一次性无息退还至中标人账户。</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代理服务费收费标准：交费金额参照国家计委颁布的《招标代理服务收费管理暂行办法》（计价格[2002]1980号）及发改办价格[2003]857号文件的规定标准下浮20%收取。本项目代理服务费按货物计取。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踏勘时间：2024-12-27 14:30:00</w:t>
            </w:r>
          </w:p>
          <w:p>
            <w:pPr>
              <w:pStyle w:val="null3"/>
              <w:ind w:firstLine="975"/>
            </w:pPr>
            <w:r>
              <w:rPr/>
              <w:t>踏勘地点：延安大学新校区信息大厦1楼</w:t>
            </w:r>
          </w:p>
          <w:p>
            <w:pPr>
              <w:pStyle w:val="null3"/>
              <w:ind w:firstLine="975"/>
            </w:pPr>
            <w:r>
              <w:rPr/>
              <w:t>联系人：薛老师</w:t>
            </w:r>
          </w:p>
          <w:p>
            <w:pPr>
              <w:pStyle w:val="null3"/>
              <w:ind w:firstLine="975"/>
            </w:pPr>
            <w:r>
              <w:rPr/>
              <w:t>联系电话号码：13484646640</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延安大学</w:t>
      </w:r>
      <w:r>
        <w:rPr/>
        <w:t>和</w:t>
      </w:r>
      <w:r>
        <w:rPr/>
        <w:t>陕西开源招标有限公司</w:t>
      </w:r>
      <w:r>
        <w:rPr/>
        <w:t>享有。对招标文件中供应商参加本次政府采购活动应当具备的条件，招标项目技术、服务、商务及其他要求，评标细则及标准由</w:t>
      </w:r>
      <w:r>
        <w:rPr/>
        <w:t>延安大学</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延安大学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以采购文件规定及合同约定为准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联系人：杭琨、丁嘉伟</w:t>
      </w:r>
    </w:p>
    <w:p>
      <w:pPr>
        <w:pStyle w:val="null3"/>
      </w:pPr>
      <w:r>
        <w:rPr/>
        <w:t>联系电话：029-81206622-825</w:t>
      </w:r>
    </w:p>
    <w:p>
      <w:pPr>
        <w:pStyle w:val="null3"/>
      </w:pPr>
      <w:r>
        <w:rPr/>
        <w:t>地址：西安市雁展路1111号莱安中心T6-15层</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为进一步深化IPV6在我校的应用，采购IP资源管理设备一套、IT管理系统一套实现IPV4-IPV6资源可视化管理和IT资源的双栈统一运维管理。同时采购IPV6网络协议实施服务，实现校园网全网IPV4-V6双栈运行管理。</w:t>
      </w:r>
    </w:p>
    <w:p>
      <w:pPr>
        <w:pStyle w:val="null3"/>
        <w:outlineLvl w:val="2"/>
      </w:pPr>
      <w:r>
        <w:rPr>
          <w:sz w:val="28"/>
          <w:b/>
        </w:rPr>
        <w:t>3.2采购内容</w:t>
      </w:r>
    </w:p>
    <w:p>
      <w:pPr>
        <w:pStyle w:val="null3"/>
      </w:pPr>
      <w:r>
        <w:rPr/>
        <w:t>采购包1：</w:t>
      </w:r>
    </w:p>
    <w:p>
      <w:pPr>
        <w:pStyle w:val="null3"/>
      </w:pPr>
      <w:r>
        <w:rPr/>
        <w:t>采购包预算金额（元）: 1,040,000.00</w:t>
      </w:r>
    </w:p>
    <w:p>
      <w:pPr>
        <w:pStyle w:val="null3"/>
      </w:pPr>
      <w:r>
        <w:rPr/>
        <w:t>采购包最高限价（元）: 1,040,000.00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IP资源管理设备</w:t>
            </w:r>
          </w:p>
        </w:tc>
        <w:tc>
          <w:tcPr>
            <w:tcW w:type="dxa" w:w="831"/>
          </w:tcPr>
          <w:p>
            <w:pPr>
              <w:pStyle w:val="null3"/>
              <w:jc w:val="right"/>
            </w:pPr>
            <w:r>
              <w:rPr/>
              <w:t>2.00</w:t>
            </w:r>
          </w:p>
        </w:tc>
        <w:tc>
          <w:tcPr>
            <w:tcW w:type="dxa" w:w="831"/>
          </w:tcPr>
          <w:p>
            <w:pPr>
              <w:pStyle w:val="null3"/>
              <w:jc w:val="right"/>
            </w:pPr>
            <w:r>
              <w:rPr/>
              <w:t>580,000.00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IT管理系统</w:t>
            </w:r>
          </w:p>
        </w:tc>
        <w:tc>
          <w:tcPr>
            <w:tcW w:type="dxa" w:w="831"/>
          </w:tcPr>
          <w:p>
            <w:pPr>
              <w:pStyle w:val="null3"/>
              <w:jc w:val="right"/>
            </w:pPr>
            <w:r>
              <w:rPr/>
              <w:t>1.00</w:t>
            </w:r>
          </w:p>
        </w:tc>
        <w:tc>
          <w:tcPr>
            <w:tcW w:type="dxa" w:w="831"/>
          </w:tcPr>
          <w:p>
            <w:pPr>
              <w:pStyle w:val="null3"/>
              <w:jc w:val="right"/>
            </w:pPr>
            <w:r>
              <w:rPr/>
              <w:t>360,000.00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IPV6网络协议全面部署实施</w:t>
            </w:r>
          </w:p>
        </w:tc>
        <w:tc>
          <w:tcPr>
            <w:tcW w:type="dxa" w:w="831"/>
          </w:tcPr>
          <w:p>
            <w:pPr>
              <w:pStyle w:val="null3"/>
              <w:jc w:val="right"/>
            </w:pPr>
            <w:r>
              <w:rPr/>
              <w:t>1.00</w:t>
            </w:r>
          </w:p>
        </w:tc>
        <w:tc>
          <w:tcPr>
            <w:tcW w:type="dxa" w:w="831"/>
          </w:tcPr>
          <w:p>
            <w:pPr>
              <w:pStyle w:val="null3"/>
              <w:jc w:val="right"/>
            </w:pPr>
            <w:r>
              <w:rPr/>
              <w:t>100,000.00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标的名称：IP资源管理设备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平台：所投产品为软硬一体专业IPv6资产管理设备。</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硬件参数：≥6个10/100/1000M电口，；磁盘空间≥1TB*2；CPU主频≥3.8GHz,4核8线程；内存≥16G；电源功率≤300W,热插拔双冗余电源。</w:t>
            </w:r>
          </w:p>
        </w:tc>
      </w:tr>
      <w:tr>
        <w:tc>
          <w:tcPr>
            <w:tcW w:type="dxa" w:w="2769"/>
          </w:tcPr>
          <w:p/>
        </w:tc>
        <w:tc>
          <w:tcPr>
            <w:tcW w:type="dxa" w:w="2769"/>
          </w:tcPr>
          <w:p>
            <w:pPr>
              <w:pStyle w:val="null3"/>
            </w:pPr>
            <w:r>
              <w:rPr/>
              <w:t>3</w:t>
            </w:r>
          </w:p>
        </w:tc>
        <w:tc>
          <w:tcPr>
            <w:tcW w:type="dxa" w:w="2769"/>
          </w:tcPr>
          <w:p>
            <w:pPr>
              <w:pStyle w:val="null3"/>
            </w:pPr>
            <w:r>
              <w:rPr/>
              <w:t>性能参数：LPS指标：≥1500LPS，提供相关证明材料。</w:t>
            </w:r>
          </w:p>
        </w:tc>
      </w:tr>
      <w:tr>
        <w:tc>
          <w:tcPr>
            <w:tcW w:type="dxa" w:w="2769"/>
          </w:tcPr>
          <w:p/>
        </w:tc>
        <w:tc>
          <w:tcPr>
            <w:tcW w:type="dxa" w:w="2769"/>
          </w:tcPr>
          <w:p>
            <w:pPr>
              <w:pStyle w:val="null3"/>
            </w:pPr>
            <w:r>
              <w:rPr/>
              <w:t>4</w:t>
            </w:r>
          </w:p>
        </w:tc>
        <w:tc>
          <w:tcPr>
            <w:tcW w:type="dxa" w:w="2769"/>
          </w:tcPr>
          <w:p>
            <w:pPr>
              <w:pStyle w:val="null3"/>
            </w:pPr>
            <w:r>
              <w:rPr/>
              <w:t xml:space="preserve"> 设备支持IPV4/IPv6 DHCP Failover技术，提供DHCP服务异地备灾的功能，当一台异常时另外一台支持一键接管全部租赁服务，支持调整MCLT和负载比例。</w:t>
            </w:r>
          </w:p>
        </w:tc>
      </w:tr>
      <w:tr>
        <w:tc>
          <w:tcPr>
            <w:tcW w:type="dxa" w:w="2769"/>
          </w:tcPr>
          <w:p/>
        </w:tc>
        <w:tc>
          <w:tcPr>
            <w:tcW w:type="dxa" w:w="2769"/>
          </w:tcPr>
          <w:p>
            <w:pPr>
              <w:pStyle w:val="null3"/>
            </w:pPr>
            <w:r>
              <w:rPr/>
              <w:t>5</w:t>
            </w:r>
          </w:p>
        </w:tc>
        <w:tc>
          <w:tcPr>
            <w:tcW w:type="dxa" w:w="2769"/>
          </w:tcPr>
          <w:p>
            <w:pPr>
              <w:pStyle w:val="null3"/>
            </w:pPr>
            <w:r>
              <w:rPr/>
              <w:t>支持对默认/最大/最小租赁时间，option，DNS等参数支持全局配置，地址池可继承全局配置或进行单独定制配置。</w:t>
            </w:r>
          </w:p>
        </w:tc>
      </w:tr>
      <w:tr>
        <w:tc>
          <w:tcPr>
            <w:tcW w:type="dxa" w:w="2769"/>
          </w:tcPr>
          <w:p>
            <w:pPr>
              <w:pStyle w:val="null3"/>
            </w:pPr>
            <w:r>
              <w:rPr/>
              <w:t>▲</w:t>
            </w:r>
          </w:p>
        </w:tc>
        <w:tc>
          <w:tcPr>
            <w:tcW w:type="dxa" w:w="2769"/>
          </w:tcPr>
          <w:p>
            <w:pPr>
              <w:pStyle w:val="null3"/>
            </w:pPr>
            <w:r>
              <w:rPr/>
              <w:t>6</w:t>
            </w:r>
          </w:p>
        </w:tc>
        <w:tc>
          <w:tcPr>
            <w:tcW w:type="dxa" w:w="2769"/>
          </w:tcPr>
          <w:p>
            <w:pPr>
              <w:pStyle w:val="null3"/>
            </w:pPr>
            <w:r>
              <w:rPr/>
              <w:t>支持对地址池进行分组，方便根据使用目的不同进行地址池归类管理支持对地址池进行分组，方便根据使用目的不同进行地址池归类管理，支持手动创建分组和基于自定义属性自动分组两种方式，并以树形方式展示分组信息。提供相关产品功能截图。</w:t>
            </w:r>
          </w:p>
        </w:tc>
      </w:tr>
      <w:tr>
        <w:tc>
          <w:tcPr>
            <w:tcW w:type="dxa" w:w="2769"/>
          </w:tcPr>
          <w:p>
            <w:pPr>
              <w:pStyle w:val="null3"/>
            </w:pPr>
            <w:r>
              <w:rPr/>
              <w:t>▲</w:t>
            </w:r>
          </w:p>
        </w:tc>
        <w:tc>
          <w:tcPr>
            <w:tcW w:type="dxa" w:w="2769"/>
          </w:tcPr>
          <w:p>
            <w:pPr>
              <w:pStyle w:val="null3"/>
            </w:pPr>
            <w:r>
              <w:rPr/>
              <w:t>7</w:t>
            </w:r>
          </w:p>
        </w:tc>
        <w:tc>
          <w:tcPr>
            <w:tcW w:type="dxa" w:w="2769"/>
          </w:tcPr>
          <w:p>
            <w:pPr>
              <w:pStyle w:val="null3"/>
            </w:pPr>
            <w:r>
              <w:rPr/>
              <w:t>支持IPv4-IPv6双栈地址分配，可将IPv4地址嵌入IPv6地址中实现双栈地址对应，支持通过IPv4地址快速查找对应的IPv6地址；提供相关产品功能截图。</w:t>
            </w:r>
          </w:p>
        </w:tc>
      </w:tr>
      <w:tr>
        <w:tc>
          <w:tcPr>
            <w:tcW w:type="dxa" w:w="2769"/>
          </w:tcPr>
          <w:p>
            <w:pPr>
              <w:pStyle w:val="null3"/>
            </w:pPr>
            <w:r>
              <w:rPr/>
              <w:t>▲</w:t>
            </w:r>
          </w:p>
        </w:tc>
        <w:tc>
          <w:tcPr>
            <w:tcW w:type="dxa" w:w="2769"/>
          </w:tcPr>
          <w:p>
            <w:pPr>
              <w:pStyle w:val="null3"/>
            </w:pPr>
            <w:r>
              <w:rPr/>
              <w:t>8</w:t>
            </w:r>
          </w:p>
        </w:tc>
        <w:tc>
          <w:tcPr>
            <w:tcW w:type="dxa" w:w="2769"/>
          </w:tcPr>
          <w:p>
            <w:pPr>
              <w:pStyle w:val="null3"/>
            </w:pPr>
            <w:r>
              <w:rPr/>
              <w:t>支持全局网络使用率、冲突地址条件、僵尸地址条件的自定义配置，可实时判断是否达到触发条件并告警；提供相关产品功能截图；</w:t>
            </w:r>
          </w:p>
        </w:tc>
      </w:tr>
      <w:tr>
        <w:tc>
          <w:tcPr>
            <w:tcW w:type="dxa" w:w="2769"/>
          </w:tcPr>
          <w:p>
            <w:pPr>
              <w:pStyle w:val="null3"/>
            </w:pPr>
            <w:r>
              <w:rPr/>
              <w:t>▲</w:t>
            </w:r>
          </w:p>
        </w:tc>
        <w:tc>
          <w:tcPr>
            <w:tcW w:type="dxa" w:w="2769"/>
          </w:tcPr>
          <w:p>
            <w:pPr>
              <w:pStyle w:val="null3"/>
            </w:pPr>
            <w:r>
              <w:rPr/>
              <w:t>9</w:t>
            </w:r>
          </w:p>
        </w:tc>
        <w:tc>
          <w:tcPr>
            <w:tcW w:type="dxa" w:w="2769"/>
          </w:tcPr>
          <w:p>
            <w:pPr>
              <w:pStyle w:val="null3"/>
            </w:pPr>
            <w:r>
              <w:rPr/>
              <w:t>支持拖拽操作对网络地址进行自定义拆分、缩放、合并，同时针对拆分、缩放、合并后的网络直接配置相关属性。提供相关产品功能截图。</w:t>
            </w:r>
          </w:p>
        </w:tc>
      </w:tr>
      <w:tr>
        <w:tc>
          <w:tcPr>
            <w:tcW w:type="dxa" w:w="2769"/>
          </w:tcPr>
          <w:p>
            <w:pPr>
              <w:pStyle w:val="null3"/>
            </w:pPr>
            <w:r>
              <w:rPr/>
              <w:t>▲</w:t>
            </w:r>
          </w:p>
        </w:tc>
        <w:tc>
          <w:tcPr>
            <w:tcW w:type="dxa" w:w="2769"/>
          </w:tcPr>
          <w:p>
            <w:pPr>
              <w:pStyle w:val="null3"/>
            </w:pPr>
            <w:r>
              <w:rPr/>
              <w:t>10</w:t>
            </w:r>
          </w:p>
        </w:tc>
        <w:tc>
          <w:tcPr>
            <w:tcW w:type="dxa" w:w="2769"/>
          </w:tcPr>
          <w:p>
            <w:pPr>
              <w:pStyle w:val="null3"/>
            </w:pPr>
            <w:r>
              <w:rPr/>
              <w:t>支持创建IPv6地址规划方案，并绑定固定前缀，同时支持为不同的组织创建子方案并继承父方案空间规划；支持针对每个方案按位宽长度通过图形化拖拽方式规划连续的IPv6地址空间，每个空间用于标记业务类型；支持对每段地址空间配置对应的空间标识并为空间标识赋值，每个地址空间可配置多个空间标识，空间标识象征具体业务，提供相关产品功能截图。</w:t>
            </w:r>
          </w:p>
        </w:tc>
      </w:tr>
      <w:tr>
        <w:tc>
          <w:tcPr>
            <w:tcW w:type="dxa" w:w="2769"/>
          </w:tcPr>
          <w:p>
            <w:pPr>
              <w:pStyle w:val="null3"/>
            </w:pPr>
            <w:r>
              <w:rPr/>
              <w:t>▲</w:t>
            </w:r>
          </w:p>
        </w:tc>
        <w:tc>
          <w:tcPr>
            <w:tcW w:type="dxa" w:w="2769"/>
          </w:tcPr>
          <w:p>
            <w:pPr>
              <w:pStyle w:val="null3"/>
            </w:pPr>
            <w:r>
              <w:rPr/>
              <w:t>11</w:t>
            </w:r>
          </w:p>
        </w:tc>
        <w:tc>
          <w:tcPr>
            <w:tcW w:type="dxa" w:w="2769"/>
          </w:tcPr>
          <w:p>
            <w:pPr>
              <w:pStyle w:val="null3"/>
            </w:pPr>
            <w:r>
              <w:rPr/>
              <w:t>支持通过SNMP凭证以网络扫描的方式发现网络中的所有的网络设备；支持SSH凭证用于联动网络设备下发绑定/阻断策略；支持查看网络设备的终端接口信息包括MAC地址、终端类型、IP地址、接口、VLAN等信息同时可进行即时刷新。提供相关产品功能截图。</w:t>
            </w:r>
          </w:p>
        </w:tc>
      </w:tr>
      <w:tr>
        <w:tc>
          <w:tcPr>
            <w:tcW w:type="dxa" w:w="2769"/>
          </w:tcPr>
          <w:p>
            <w:pPr>
              <w:pStyle w:val="null3"/>
            </w:pPr>
            <w:r>
              <w:rPr/>
              <w:t>▲</w:t>
            </w:r>
          </w:p>
        </w:tc>
        <w:tc>
          <w:tcPr>
            <w:tcW w:type="dxa" w:w="2769"/>
          </w:tcPr>
          <w:p>
            <w:pPr>
              <w:pStyle w:val="null3"/>
            </w:pPr>
            <w:r>
              <w:rPr/>
              <w:t>12</w:t>
            </w:r>
          </w:p>
        </w:tc>
        <w:tc>
          <w:tcPr>
            <w:tcW w:type="dxa" w:w="2769"/>
          </w:tcPr>
          <w:p>
            <w:pPr>
              <w:pStyle w:val="null3"/>
            </w:pPr>
            <w:r>
              <w:rPr/>
              <w:t>支持与AD、城市热点等第三方系统进行对接，允许信息同步至所有地址当中；支持与主流网络设备联动，对终端实现交换机阻断和端口绑定，且支持黑名单管理。提供相关产品功能截图。</w:t>
            </w:r>
          </w:p>
        </w:tc>
      </w:tr>
      <w:tr>
        <w:tc>
          <w:tcPr>
            <w:tcW w:type="dxa" w:w="2769"/>
          </w:tcPr>
          <w:p>
            <w:pPr>
              <w:pStyle w:val="null3"/>
            </w:pPr>
            <w:r>
              <w:rPr/>
              <w:t>▲</w:t>
            </w:r>
          </w:p>
        </w:tc>
        <w:tc>
          <w:tcPr>
            <w:tcW w:type="dxa" w:w="2769"/>
          </w:tcPr>
          <w:p>
            <w:pPr>
              <w:pStyle w:val="null3"/>
            </w:pPr>
            <w:r>
              <w:rPr/>
              <w:t>13</w:t>
            </w:r>
          </w:p>
        </w:tc>
        <w:tc>
          <w:tcPr>
            <w:tcW w:type="dxa" w:w="2769"/>
          </w:tcPr>
          <w:p>
            <w:pPr>
              <w:pStyle w:val="null3"/>
            </w:pPr>
            <w:r>
              <w:rPr/>
              <w:t>支持终端端口扫描，包括IPv4和IPv6的TCP端口以及UDP端口；支持记录所有与IP地址相关的活动，包括租约状态变更、扫描活跃、配置变更等其他相关事件。提供相关产品功能截图。</w:t>
            </w:r>
          </w:p>
        </w:tc>
      </w:tr>
      <w:tr>
        <w:tc>
          <w:tcPr>
            <w:tcW w:type="dxa" w:w="2769"/>
          </w:tcPr>
          <w:p/>
        </w:tc>
        <w:tc>
          <w:tcPr>
            <w:tcW w:type="dxa" w:w="2769"/>
          </w:tcPr>
          <w:p>
            <w:pPr>
              <w:pStyle w:val="null3"/>
            </w:pPr>
            <w:r>
              <w:rPr/>
              <w:t>14</w:t>
            </w:r>
          </w:p>
        </w:tc>
        <w:tc>
          <w:tcPr>
            <w:tcW w:type="dxa" w:w="2769"/>
          </w:tcPr>
          <w:p>
            <w:pPr>
              <w:pStyle w:val="null3"/>
            </w:pPr>
            <w:r>
              <w:rPr/>
              <w:t>支持以信息流的形式展示IP生命周期，方便审计回溯网内IP历史状态；</w:t>
            </w:r>
          </w:p>
        </w:tc>
      </w:tr>
      <w:tr>
        <w:tc>
          <w:tcPr>
            <w:tcW w:type="dxa" w:w="2769"/>
          </w:tcPr>
          <w:p/>
        </w:tc>
        <w:tc>
          <w:tcPr>
            <w:tcW w:type="dxa" w:w="2769"/>
          </w:tcPr>
          <w:p>
            <w:pPr>
              <w:pStyle w:val="null3"/>
            </w:pPr>
            <w:r>
              <w:rPr/>
              <w:t>15</w:t>
            </w:r>
          </w:p>
        </w:tc>
        <w:tc>
          <w:tcPr>
            <w:tcW w:type="dxa" w:w="2769"/>
          </w:tcPr>
          <w:p>
            <w:pPr>
              <w:pStyle w:val="null3"/>
            </w:pPr>
            <w:r>
              <w:rPr/>
              <w:t>支持精细化的IP资产管理权限划分，可灵活配置菜单权限、操作权限以及网络级别的数据权限划分。</w:t>
            </w:r>
          </w:p>
        </w:tc>
      </w:tr>
      <w:tr>
        <w:tc>
          <w:tcPr>
            <w:tcW w:type="dxa" w:w="2769"/>
          </w:tcPr>
          <w:p/>
        </w:tc>
        <w:tc>
          <w:tcPr>
            <w:tcW w:type="dxa" w:w="2769"/>
          </w:tcPr>
          <w:p>
            <w:pPr>
              <w:pStyle w:val="null3"/>
            </w:pPr>
            <w:r>
              <w:rPr/>
              <w:t>16</w:t>
            </w:r>
          </w:p>
        </w:tc>
        <w:tc>
          <w:tcPr>
            <w:tcW w:type="dxa" w:w="2769"/>
          </w:tcPr>
          <w:p>
            <w:pPr>
              <w:pStyle w:val="null3"/>
            </w:pPr>
            <w:r>
              <w:rPr/>
              <w:t xml:space="preserve"> 支持IP地址图形化展示，允许查看当前地址详情，并支持一键分配、转动态、转固定以及转保留等操作。</w:t>
            </w:r>
          </w:p>
        </w:tc>
      </w:tr>
      <w:tr>
        <w:tc>
          <w:tcPr>
            <w:tcW w:type="dxa" w:w="2769"/>
          </w:tcPr>
          <w:p>
            <w:pPr>
              <w:pStyle w:val="null3"/>
            </w:pPr>
            <w:r>
              <w:rPr/>
              <w:t>▲</w:t>
            </w:r>
          </w:p>
        </w:tc>
        <w:tc>
          <w:tcPr>
            <w:tcW w:type="dxa" w:w="2769"/>
          </w:tcPr>
          <w:p>
            <w:pPr>
              <w:pStyle w:val="null3"/>
            </w:pPr>
            <w:r>
              <w:rPr/>
              <w:t>17</w:t>
            </w:r>
          </w:p>
        </w:tc>
        <w:tc>
          <w:tcPr>
            <w:tcW w:type="dxa" w:w="2769"/>
          </w:tcPr>
          <w:p>
            <w:pPr>
              <w:pStyle w:val="null3"/>
            </w:pPr>
            <w:r>
              <w:rPr/>
              <w:t>支持通过web前台査看集群内所有节点的 设备型号、序列号、识别码、内存大小、磁盘数量、磁盘容量、RAID级别、RAID磁盘总数、CPU主频、CPU内核数量、CPU线程数量、电口信息、光口信息。内存、磁盘、扩展卡 扩容结果可以直接查看，无需进行人为的数据注入操作。提供相关产品功能截图。</w:t>
            </w:r>
          </w:p>
        </w:tc>
      </w:tr>
      <w:tr>
        <w:tc>
          <w:tcPr>
            <w:tcW w:type="dxa" w:w="2769"/>
          </w:tcPr>
          <w:p>
            <w:pPr>
              <w:pStyle w:val="null3"/>
            </w:pPr>
            <w:r>
              <w:rPr/>
              <w:t>▲</w:t>
            </w:r>
          </w:p>
        </w:tc>
        <w:tc>
          <w:tcPr>
            <w:tcW w:type="dxa" w:w="2769"/>
          </w:tcPr>
          <w:p>
            <w:pPr>
              <w:pStyle w:val="null3"/>
            </w:pPr>
            <w:r>
              <w:rPr/>
              <w:t>18</w:t>
            </w:r>
          </w:p>
        </w:tc>
        <w:tc>
          <w:tcPr>
            <w:tcW w:type="dxa" w:w="2769"/>
          </w:tcPr>
          <w:p>
            <w:pPr>
              <w:pStyle w:val="null3"/>
            </w:pPr>
            <w:r>
              <w:rPr/>
              <w:t>支持对自定义设定时间内未上线的地址进行僵尸地址类型标记，并可以产生告警。可界面指定此类地址自动回收容忍时间。实现IP地址动态管理需要，提供相关产品功能截图；</w:t>
            </w:r>
          </w:p>
        </w:tc>
      </w:tr>
      <w:tr>
        <w:tc>
          <w:tcPr>
            <w:tcW w:type="dxa" w:w="2769"/>
          </w:tcPr>
          <w:p>
            <w:pPr>
              <w:pStyle w:val="null3"/>
            </w:pPr>
            <w:r>
              <w:rPr/>
              <w:t>★</w:t>
            </w:r>
          </w:p>
        </w:tc>
        <w:tc>
          <w:tcPr>
            <w:tcW w:type="dxa" w:w="2769"/>
          </w:tcPr>
          <w:p>
            <w:pPr>
              <w:pStyle w:val="null3"/>
            </w:pPr>
            <w:r>
              <w:rPr/>
              <w:t>19</w:t>
            </w:r>
          </w:p>
        </w:tc>
        <w:tc>
          <w:tcPr>
            <w:tcW w:type="dxa" w:w="2769"/>
          </w:tcPr>
          <w:p>
            <w:pPr>
              <w:pStyle w:val="null3"/>
            </w:pPr>
            <w:r>
              <w:rPr/>
              <w:t>支持DDI（DNS/DHCP/IPAM)拓展能力，能够在DNS设备异常后通过升级License服务接管DNS服务。提供相关产品功能截图。</w:t>
            </w:r>
          </w:p>
        </w:tc>
      </w:tr>
      <w:tr>
        <w:tc>
          <w:tcPr>
            <w:tcW w:type="dxa" w:w="2769"/>
          </w:tcPr>
          <w:p/>
        </w:tc>
        <w:tc>
          <w:tcPr>
            <w:tcW w:type="dxa" w:w="2769"/>
          </w:tcPr>
          <w:p>
            <w:pPr>
              <w:pStyle w:val="null3"/>
            </w:pPr>
            <w:r>
              <w:rPr/>
              <w:t>20</w:t>
            </w:r>
          </w:p>
        </w:tc>
        <w:tc>
          <w:tcPr>
            <w:tcW w:type="dxa" w:w="2769"/>
          </w:tcPr>
          <w:p>
            <w:pPr>
              <w:pStyle w:val="null3"/>
            </w:pPr>
            <w:r>
              <w:rPr/>
              <w:t>根据我校网络实际情况，和校方沟通技术方案，实现校方无线网络、有线网络的IP地址管理，配合调试网络设备及其其他网络产品。</w:t>
            </w:r>
          </w:p>
        </w:tc>
      </w:tr>
      <w:tr>
        <w:tc>
          <w:tcPr>
            <w:tcW w:type="dxa" w:w="2769"/>
          </w:tcPr>
          <w:p/>
        </w:tc>
        <w:tc>
          <w:tcPr>
            <w:tcW w:type="dxa" w:w="2769"/>
          </w:tcPr>
          <w:p>
            <w:pPr>
              <w:pStyle w:val="null3"/>
            </w:pPr>
            <w:r>
              <w:rPr/>
              <w:t>21</w:t>
            </w:r>
          </w:p>
        </w:tc>
        <w:tc>
          <w:tcPr>
            <w:tcW w:type="dxa" w:w="2769"/>
          </w:tcPr>
          <w:p>
            <w:pPr>
              <w:pStyle w:val="null3"/>
            </w:pPr>
            <w:r>
              <w:rPr/>
              <w:t>提供6年原厂硬件质保和软件升级服务。</w:t>
            </w:r>
          </w:p>
        </w:tc>
      </w:tr>
    </w:tbl>
    <w:p>
      <w:pPr>
        <w:pStyle w:val="null3"/>
      </w:pPr>
      <w:r>
        <w:rPr/>
        <w:t>标的名称：IT管理系统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支持各种IT资源的统一监控与管理；提供灵活的告警和通知策略，通过告警分析，准确定位故障源；提供对IP、子网、终端的管理；支持多种可视化展现方法，网络拓扑等，全面提高IT资源的管理效率。</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可监控有线设备不低于1500台，配置管理的设备数量不低于1500台，提供不低于1块大屏展示。实配终端管理模块、视图管理模块、报表管理模块和告警管理模块；</w:t>
            </w:r>
          </w:p>
        </w:tc>
      </w:tr>
      <w:tr>
        <w:tc>
          <w:tcPr>
            <w:tcW w:type="dxa" w:w="2769"/>
          </w:tcPr>
          <w:p/>
        </w:tc>
        <w:tc>
          <w:tcPr>
            <w:tcW w:type="dxa" w:w="2769"/>
          </w:tcPr>
          <w:p>
            <w:pPr>
              <w:pStyle w:val="null3"/>
            </w:pPr>
            <w:r>
              <w:rPr/>
              <w:t>3</w:t>
            </w:r>
          </w:p>
        </w:tc>
        <w:tc>
          <w:tcPr>
            <w:tcW w:type="dxa" w:w="2769"/>
          </w:tcPr>
          <w:p>
            <w:pPr>
              <w:pStyle w:val="null3"/>
            </w:pPr>
            <w:r>
              <w:rPr/>
              <w:t>支持监控多种网络资源：有线设备、无线设备、PON、安全设备、服务器、动环设备、存储设备、标准应用、中间件、数据库以及虚拟化。</w:t>
            </w:r>
          </w:p>
        </w:tc>
      </w:tr>
      <w:tr>
        <w:tc>
          <w:tcPr>
            <w:tcW w:type="dxa" w:w="2769"/>
          </w:tcPr>
          <w:p/>
        </w:tc>
        <w:tc>
          <w:tcPr>
            <w:tcW w:type="dxa" w:w="2769"/>
          </w:tcPr>
          <w:p>
            <w:pPr>
              <w:pStyle w:val="null3"/>
            </w:pPr>
            <w:r>
              <w:rPr/>
              <w:t>4</w:t>
            </w:r>
          </w:p>
        </w:tc>
        <w:tc>
          <w:tcPr>
            <w:tcW w:type="dxa" w:w="2769"/>
          </w:tcPr>
          <w:p>
            <w:pPr>
              <w:pStyle w:val="null3"/>
            </w:pPr>
            <w:r>
              <w:rPr/>
              <w:t>至少支持：思科、华三、华为、神州数码、锐捷、中兴、迈普、戴尔、IBM、惠普、联想、微软、Oracle、VMware等；</w:t>
            </w:r>
          </w:p>
        </w:tc>
      </w:tr>
      <w:tr>
        <w:tc>
          <w:tcPr>
            <w:tcW w:type="dxa" w:w="2769"/>
          </w:tcPr>
          <w:p/>
        </w:tc>
        <w:tc>
          <w:tcPr>
            <w:tcW w:type="dxa" w:w="2769"/>
          </w:tcPr>
          <w:p>
            <w:pPr>
              <w:pStyle w:val="null3"/>
            </w:pPr>
            <w:r>
              <w:rPr/>
              <w:t>5</w:t>
            </w:r>
          </w:p>
        </w:tc>
        <w:tc>
          <w:tcPr>
            <w:tcW w:type="dxa" w:w="2769"/>
          </w:tcPr>
          <w:p>
            <w:pPr>
              <w:pStyle w:val="null3"/>
            </w:pPr>
            <w:r>
              <w:rPr/>
              <w:t>支持用户自定义任何可以采集的指标并进行监控。</w:t>
            </w:r>
          </w:p>
        </w:tc>
      </w:tr>
      <w:tr>
        <w:tc>
          <w:tcPr>
            <w:tcW w:type="dxa" w:w="2769"/>
          </w:tcPr>
          <w:p/>
        </w:tc>
        <w:tc>
          <w:tcPr>
            <w:tcW w:type="dxa" w:w="2769"/>
          </w:tcPr>
          <w:p>
            <w:pPr>
              <w:pStyle w:val="null3"/>
            </w:pPr>
            <w:r>
              <w:rPr/>
              <w:t>6</w:t>
            </w:r>
          </w:p>
        </w:tc>
        <w:tc>
          <w:tcPr>
            <w:tcW w:type="dxa" w:w="2769"/>
          </w:tcPr>
          <w:p>
            <w:pPr>
              <w:pStyle w:val="null3"/>
            </w:pPr>
            <w:r>
              <w:rPr/>
              <w:t>支持监控有线设备每个CPU利用率、内存利用率、丢包、延迟、SNMP状态、温度信息、接口状态、带宽、出入流量、丢包数、广播包数、IP、ICMP、TCP、UDP提供WEB端的网络工具，可实现PING检测、Traceroute追踪、Telnet/SSH等支持直接在WEB页面展示有线设备的MAC/ARP表</w:t>
            </w:r>
          </w:p>
        </w:tc>
      </w:tr>
      <w:tr>
        <w:tc>
          <w:tcPr>
            <w:tcW w:type="dxa" w:w="2769"/>
          </w:tcPr>
          <w:p>
            <w:pPr>
              <w:pStyle w:val="null3"/>
            </w:pPr>
            <w:r>
              <w:rPr/>
              <w:t>▲</w:t>
            </w:r>
          </w:p>
        </w:tc>
        <w:tc>
          <w:tcPr>
            <w:tcW w:type="dxa" w:w="2769"/>
          </w:tcPr>
          <w:p>
            <w:pPr>
              <w:pStyle w:val="null3"/>
            </w:pPr>
            <w:r>
              <w:rPr/>
              <w:t>7</w:t>
            </w:r>
          </w:p>
        </w:tc>
        <w:tc>
          <w:tcPr>
            <w:tcW w:type="dxa" w:w="2769"/>
          </w:tcPr>
          <w:p>
            <w:pPr>
              <w:pStyle w:val="null3"/>
            </w:pPr>
            <w:r>
              <w:rPr/>
              <w:t>支持网络遥测监控方式，即telemery技术。</w:t>
            </w:r>
          </w:p>
        </w:tc>
      </w:tr>
      <w:tr>
        <w:tc>
          <w:tcPr>
            <w:tcW w:type="dxa" w:w="2769"/>
          </w:tcPr>
          <w:p>
            <w:pPr>
              <w:pStyle w:val="null3"/>
            </w:pPr>
            <w:r>
              <w:rPr/>
              <w:t>▲</w:t>
            </w:r>
          </w:p>
        </w:tc>
        <w:tc>
          <w:tcPr>
            <w:tcW w:type="dxa" w:w="2769"/>
          </w:tcPr>
          <w:p>
            <w:pPr>
              <w:pStyle w:val="null3"/>
            </w:pPr>
            <w:r>
              <w:rPr/>
              <w:t>8</w:t>
            </w:r>
          </w:p>
        </w:tc>
        <w:tc>
          <w:tcPr>
            <w:tcW w:type="dxa" w:w="2769"/>
          </w:tcPr>
          <w:p>
            <w:pPr>
              <w:pStyle w:val="null3"/>
            </w:pPr>
            <w:r>
              <w:rPr/>
              <w:t>支持识别光模块块，可详细看到光模块状态，并对应光模块接入设备端口。</w:t>
            </w:r>
          </w:p>
        </w:tc>
      </w:tr>
      <w:tr>
        <w:tc>
          <w:tcPr>
            <w:tcW w:type="dxa" w:w="2769"/>
          </w:tcPr>
          <w:p>
            <w:pPr>
              <w:pStyle w:val="null3"/>
            </w:pPr>
            <w:r>
              <w:rPr/>
              <w:t>▲</w:t>
            </w:r>
          </w:p>
        </w:tc>
        <w:tc>
          <w:tcPr>
            <w:tcW w:type="dxa" w:w="2769"/>
          </w:tcPr>
          <w:p>
            <w:pPr>
              <w:pStyle w:val="null3"/>
            </w:pPr>
            <w:r>
              <w:rPr/>
              <w:t>9</w:t>
            </w:r>
          </w:p>
        </w:tc>
        <w:tc>
          <w:tcPr>
            <w:tcW w:type="dxa" w:w="2769"/>
          </w:tcPr>
          <w:p>
            <w:pPr>
              <w:pStyle w:val="null3"/>
            </w:pPr>
            <w:r>
              <w:rPr/>
              <w:t>支持记录终端用户的账号信息，IP地址、MAC地址、连接的二层设备、首次和最后发现时间、连接时长等。通过平台可以完成日常网络问题故障处理定位。</w:t>
            </w:r>
          </w:p>
        </w:tc>
      </w:tr>
      <w:tr>
        <w:tc>
          <w:tcPr>
            <w:tcW w:type="dxa" w:w="2769"/>
          </w:tcPr>
          <w:p>
            <w:pPr>
              <w:pStyle w:val="null3"/>
            </w:pPr>
            <w:r>
              <w:rPr/>
              <w:t>▲</w:t>
            </w:r>
          </w:p>
        </w:tc>
        <w:tc>
          <w:tcPr>
            <w:tcW w:type="dxa" w:w="2769"/>
          </w:tcPr>
          <w:p>
            <w:pPr>
              <w:pStyle w:val="null3"/>
            </w:pPr>
            <w:r>
              <w:rPr/>
              <w:t>10</w:t>
            </w:r>
          </w:p>
        </w:tc>
        <w:tc>
          <w:tcPr>
            <w:tcW w:type="dxa" w:w="2769"/>
          </w:tcPr>
          <w:p>
            <w:pPr>
              <w:pStyle w:val="null3"/>
            </w:pPr>
            <w:r>
              <w:rPr/>
              <w:t>支持与认证系统对接，获取终端对应的账号信息；</w:t>
            </w:r>
          </w:p>
        </w:tc>
      </w:tr>
      <w:tr>
        <w:tc>
          <w:tcPr>
            <w:tcW w:type="dxa" w:w="2769"/>
          </w:tcPr>
          <w:p/>
        </w:tc>
        <w:tc>
          <w:tcPr>
            <w:tcW w:type="dxa" w:w="2769"/>
          </w:tcPr>
          <w:p>
            <w:pPr>
              <w:pStyle w:val="null3"/>
            </w:pPr>
            <w:r>
              <w:rPr/>
              <w:t>11</w:t>
            </w:r>
          </w:p>
        </w:tc>
        <w:tc>
          <w:tcPr>
            <w:tcW w:type="dxa" w:w="2769"/>
          </w:tcPr>
          <w:p>
            <w:pPr>
              <w:pStyle w:val="null3"/>
            </w:pPr>
            <w:r>
              <w:rPr/>
              <w:t>支持记录终端用户的IPv6地址、MAC地址、连接的二层设备，并可以直接搜索IPv6地址，查询该终端上联于哪个设备，哪个接口；</w:t>
            </w:r>
          </w:p>
        </w:tc>
      </w:tr>
      <w:tr>
        <w:tc>
          <w:tcPr>
            <w:tcW w:type="dxa" w:w="2769"/>
          </w:tcPr>
          <w:p>
            <w:pPr>
              <w:pStyle w:val="null3"/>
            </w:pPr>
            <w:r>
              <w:rPr/>
              <w:t>▲</w:t>
            </w:r>
          </w:p>
        </w:tc>
        <w:tc>
          <w:tcPr>
            <w:tcW w:type="dxa" w:w="2769"/>
          </w:tcPr>
          <w:p>
            <w:pPr>
              <w:pStyle w:val="null3"/>
            </w:pPr>
            <w:r>
              <w:rPr/>
              <w:t>12</w:t>
            </w:r>
          </w:p>
        </w:tc>
        <w:tc>
          <w:tcPr>
            <w:tcW w:type="dxa" w:w="2769"/>
          </w:tcPr>
          <w:p>
            <w:pPr>
              <w:pStyle w:val="null3"/>
            </w:pPr>
            <w:r>
              <w:rPr/>
              <w:t>支持子网的分组管理，包括自动发现子网信息、对子网IP地址使用率进行监控，可以精确查看到该子网内的每个地址是否被使用；</w:t>
            </w:r>
          </w:p>
        </w:tc>
      </w:tr>
      <w:tr>
        <w:tc>
          <w:tcPr>
            <w:tcW w:type="dxa" w:w="2769"/>
          </w:tcPr>
          <w:p/>
        </w:tc>
        <w:tc>
          <w:tcPr>
            <w:tcW w:type="dxa" w:w="2769"/>
          </w:tcPr>
          <w:p>
            <w:pPr>
              <w:pStyle w:val="null3"/>
            </w:pPr>
            <w:r>
              <w:rPr/>
              <w:t>13</w:t>
            </w:r>
          </w:p>
        </w:tc>
        <w:tc>
          <w:tcPr>
            <w:tcW w:type="dxa" w:w="2769"/>
          </w:tcPr>
          <w:p>
            <w:pPr>
              <w:pStyle w:val="null3"/>
            </w:pPr>
            <w:r>
              <w:rPr/>
              <w:t>支持对IP地址进行标记管理，标记IP地址的使用人、使用位置、用途等信息；</w:t>
            </w:r>
          </w:p>
        </w:tc>
      </w:tr>
      <w:tr>
        <w:tc>
          <w:tcPr>
            <w:tcW w:type="dxa" w:w="2769"/>
          </w:tcPr>
          <w:p/>
        </w:tc>
        <w:tc>
          <w:tcPr>
            <w:tcW w:type="dxa" w:w="2769"/>
          </w:tcPr>
          <w:p>
            <w:pPr>
              <w:pStyle w:val="null3"/>
            </w:pPr>
            <w:r>
              <w:rPr/>
              <w:t>14</w:t>
            </w:r>
          </w:p>
        </w:tc>
        <w:tc>
          <w:tcPr>
            <w:tcW w:type="dxa" w:w="2769"/>
          </w:tcPr>
          <w:p>
            <w:pPr>
              <w:pStyle w:val="null3"/>
            </w:pPr>
            <w:r>
              <w:rPr/>
              <w:t>支持监控IP和MAC的对应关系，当发现对应关系不符时触发告警；</w:t>
            </w:r>
          </w:p>
        </w:tc>
      </w:tr>
      <w:tr>
        <w:tc>
          <w:tcPr>
            <w:tcW w:type="dxa" w:w="2769"/>
          </w:tcPr>
          <w:p/>
        </w:tc>
        <w:tc>
          <w:tcPr>
            <w:tcW w:type="dxa" w:w="2769"/>
          </w:tcPr>
          <w:p>
            <w:pPr>
              <w:pStyle w:val="null3"/>
            </w:pPr>
            <w:r>
              <w:rPr/>
              <w:t>15</w:t>
            </w:r>
          </w:p>
        </w:tc>
        <w:tc>
          <w:tcPr>
            <w:tcW w:type="dxa" w:w="2769"/>
          </w:tcPr>
          <w:p>
            <w:pPr>
              <w:pStyle w:val="null3"/>
            </w:pPr>
            <w:r>
              <w:rPr/>
              <w:t>支持自定义Portal，将用户关注或常用的内容添加至Portal（统计图、排行、拓扑等）</w:t>
            </w:r>
          </w:p>
        </w:tc>
      </w:tr>
      <w:tr>
        <w:tc>
          <w:tcPr>
            <w:tcW w:type="dxa" w:w="2769"/>
          </w:tcPr>
          <w:p/>
        </w:tc>
        <w:tc>
          <w:tcPr>
            <w:tcW w:type="dxa" w:w="2769"/>
          </w:tcPr>
          <w:p>
            <w:pPr>
              <w:pStyle w:val="null3"/>
            </w:pPr>
            <w:r>
              <w:rPr/>
              <w:t>16</w:t>
            </w:r>
          </w:p>
        </w:tc>
        <w:tc>
          <w:tcPr>
            <w:tcW w:type="dxa" w:w="2769"/>
          </w:tcPr>
          <w:p>
            <w:pPr>
              <w:pStyle w:val="null3"/>
            </w:pPr>
            <w:r>
              <w:rPr/>
              <w:t>支持拖拽方式调整Portal布局，并支持自定义多个Portal进行全屏轮播展示</w:t>
            </w:r>
          </w:p>
        </w:tc>
      </w:tr>
      <w:tr>
        <w:tc>
          <w:tcPr>
            <w:tcW w:type="dxa" w:w="2769"/>
          </w:tcPr>
          <w:p/>
        </w:tc>
        <w:tc>
          <w:tcPr>
            <w:tcW w:type="dxa" w:w="2769"/>
          </w:tcPr>
          <w:p>
            <w:pPr>
              <w:pStyle w:val="null3"/>
            </w:pPr>
            <w:r>
              <w:rPr/>
              <w:t>17</w:t>
            </w:r>
          </w:p>
        </w:tc>
        <w:tc>
          <w:tcPr>
            <w:tcW w:type="dxa" w:w="2769"/>
          </w:tcPr>
          <w:p>
            <w:pPr>
              <w:pStyle w:val="null3"/>
            </w:pPr>
            <w:r>
              <w:rPr/>
              <w:t>支持流量计算方式自动发现算法计算拓扑连接关系；</w:t>
            </w:r>
          </w:p>
        </w:tc>
      </w:tr>
      <w:tr>
        <w:tc>
          <w:tcPr>
            <w:tcW w:type="dxa" w:w="2769"/>
          </w:tcPr>
          <w:p/>
        </w:tc>
        <w:tc>
          <w:tcPr>
            <w:tcW w:type="dxa" w:w="2769"/>
          </w:tcPr>
          <w:p>
            <w:pPr>
              <w:pStyle w:val="null3"/>
            </w:pPr>
            <w:r>
              <w:rPr/>
              <w:t>18</w:t>
            </w:r>
          </w:p>
        </w:tc>
        <w:tc>
          <w:tcPr>
            <w:tcW w:type="dxa" w:w="2769"/>
          </w:tcPr>
          <w:p>
            <w:pPr>
              <w:pStyle w:val="null3"/>
            </w:pPr>
            <w:r>
              <w:rPr/>
              <w:t>支持以不同颜色实时显示设备和链路的运行状态、历史流量数据。</w:t>
            </w:r>
          </w:p>
        </w:tc>
      </w:tr>
      <w:tr>
        <w:tc>
          <w:tcPr>
            <w:tcW w:type="dxa" w:w="2769"/>
          </w:tcPr>
          <w:p/>
        </w:tc>
        <w:tc>
          <w:tcPr>
            <w:tcW w:type="dxa" w:w="2769"/>
          </w:tcPr>
          <w:p>
            <w:pPr>
              <w:pStyle w:val="null3"/>
            </w:pPr>
            <w:r>
              <w:rPr/>
              <w:t>19</w:t>
            </w:r>
          </w:p>
        </w:tc>
        <w:tc>
          <w:tcPr>
            <w:tcW w:type="dxa" w:w="2769"/>
          </w:tcPr>
          <w:p>
            <w:pPr>
              <w:pStyle w:val="null3"/>
            </w:pPr>
            <w:r>
              <w:rPr/>
              <w:t>支持自定义拓扑节点和链路的展现方式，包括名称、IP、备注、节点图标、文字样式、链路样式、背景图；支持拓扑小地图，列表展示相关的告警</w:t>
            </w:r>
          </w:p>
        </w:tc>
      </w:tr>
      <w:tr>
        <w:tc>
          <w:tcPr>
            <w:tcW w:type="dxa" w:w="2769"/>
          </w:tcPr>
          <w:p/>
        </w:tc>
        <w:tc>
          <w:tcPr>
            <w:tcW w:type="dxa" w:w="2769"/>
          </w:tcPr>
          <w:p>
            <w:pPr>
              <w:pStyle w:val="null3"/>
            </w:pPr>
            <w:r>
              <w:rPr/>
              <w:t>20</w:t>
            </w:r>
          </w:p>
        </w:tc>
        <w:tc>
          <w:tcPr>
            <w:tcW w:type="dxa" w:w="2769"/>
          </w:tcPr>
          <w:p>
            <w:pPr>
              <w:pStyle w:val="null3"/>
            </w:pPr>
            <w:r>
              <w:rPr/>
              <w:t>支持层级拓扑，子拓扑中设备状态可透传至父拓扑。</w:t>
            </w:r>
          </w:p>
        </w:tc>
      </w:tr>
      <w:tr>
        <w:tc>
          <w:tcPr>
            <w:tcW w:type="dxa" w:w="2769"/>
          </w:tcPr>
          <w:p/>
        </w:tc>
        <w:tc>
          <w:tcPr>
            <w:tcW w:type="dxa" w:w="2769"/>
          </w:tcPr>
          <w:p>
            <w:pPr>
              <w:pStyle w:val="null3"/>
            </w:pPr>
            <w:r>
              <w:rPr/>
              <w:t>21</w:t>
            </w:r>
          </w:p>
        </w:tc>
        <w:tc>
          <w:tcPr>
            <w:tcW w:type="dxa" w:w="2769"/>
          </w:tcPr>
          <w:p>
            <w:pPr>
              <w:pStyle w:val="null3"/>
            </w:pPr>
            <w:r>
              <w:rPr/>
              <w:t>支持百度地图等电子地图，将设备的拓扑与真实的地图信息进行关联；支持校园全景图作为拓扑背景，方便直观观察校内真实区域拓扑情况。</w:t>
            </w:r>
          </w:p>
        </w:tc>
      </w:tr>
      <w:tr>
        <w:tc>
          <w:tcPr>
            <w:tcW w:type="dxa" w:w="2769"/>
          </w:tcPr>
          <w:p/>
        </w:tc>
        <w:tc>
          <w:tcPr>
            <w:tcW w:type="dxa" w:w="2769"/>
          </w:tcPr>
          <w:p>
            <w:pPr>
              <w:pStyle w:val="null3"/>
            </w:pPr>
            <w:r>
              <w:rPr/>
              <w:t>22</w:t>
            </w:r>
          </w:p>
        </w:tc>
        <w:tc>
          <w:tcPr>
            <w:tcW w:type="dxa" w:w="2769"/>
          </w:tcPr>
          <w:p>
            <w:pPr>
              <w:pStyle w:val="null3"/>
            </w:pPr>
            <w:r>
              <w:rPr/>
              <w:t>支持直接在真实面板上开/关接口、查看接口状态、当前流量、历史流量图。</w:t>
            </w:r>
          </w:p>
        </w:tc>
      </w:tr>
      <w:tr>
        <w:tc>
          <w:tcPr>
            <w:tcW w:type="dxa" w:w="2769"/>
          </w:tcPr>
          <w:p/>
        </w:tc>
        <w:tc>
          <w:tcPr>
            <w:tcW w:type="dxa" w:w="2769"/>
          </w:tcPr>
          <w:p>
            <w:pPr>
              <w:pStyle w:val="null3"/>
            </w:pPr>
            <w:r>
              <w:rPr/>
              <w:t>23</w:t>
            </w:r>
          </w:p>
        </w:tc>
        <w:tc>
          <w:tcPr>
            <w:tcW w:type="dxa" w:w="2769"/>
          </w:tcPr>
          <w:p>
            <w:pPr>
              <w:pStyle w:val="null3"/>
            </w:pPr>
            <w:r>
              <w:rPr/>
              <w:t>支持数据展示报表，将无损存储的历史数据通过日、周、月、年或自定义时间段展示。</w:t>
            </w:r>
          </w:p>
        </w:tc>
      </w:tr>
      <w:tr>
        <w:tc>
          <w:tcPr>
            <w:tcW w:type="dxa" w:w="2769"/>
          </w:tcPr>
          <w:p/>
        </w:tc>
        <w:tc>
          <w:tcPr>
            <w:tcW w:type="dxa" w:w="2769"/>
          </w:tcPr>
          <w:p>
            <w:pPr>
              <w:pStyle w:val="null3"/>
            </w:pPr>
            <w:r>
              <w:rPr/>
              <w:t>24</w:t>
            </w:r>
          </w:p>
        </w:tc>
        <w:tc>
          <w:tcPr>
            <w:tcW w:type="dxa" w:w="2769"/>
          </w:tcPr>
          <w:p>
            <w:pPr>
              <w:pStyle w:val="null3"/>
            </w:pPr>
            <w:r>
              <w:rPr/>
              <w:t>支持排行报表，对监控资源关键数据进行排行展示，如CPU内存利用率排行、接口流量排行、丢包延迟排行等。</w:t>
            </w:r>
          </w:p>
        </w:tc>
      </w:tr>
      <w:tr>
        <w:tc>
          <w:tcPr>
            <w:tcW w:type="dxa" w:w="2769"/>
          </w:tcPr>
          <w:p/>
        </w:tc>
        <w:tc>
          <w:tcPr>
            <w:tcW w:type="dxa" w:w="2769"/>
          </w:tcPr>
          <w:p>
            <w:pPr>
              <w:pStyle w:val="null3"/>
            </w:pPr>
            <w:r>
              <w:rPr/>
              <w:t>25</w:t>
            </w:r>
          </w:p>
        </w:tc>
        <w:tc>
          <w:tcPr>
            <w:tcW w:type="dxa" w:w="2769"/>
          </w:tcPr>
          <w:p>
            <w:pPr>
              <w:pStyle w:val="null3"/>
            </w:pPr>
            <w:r>
              <w:rPr/>
              <w:t>支持丰富的报表模板，允许在报表模板的基础上自定义参数生成个性化报表。</w:t>
            </w:r>
          </w:p>
        </w:tc>
      </w:tr>
      <w:tr>
        <w:tc>
          <w:tcPr>
            <w:tcW w:type="dxa" w:w="2769"/>
          </w:tcPr>
          <w:p/>
        </w:tc>
        <w:tc>
          <w:tcPr>
            <w:tcW w:type="dxa" w:w="2769"/>
          </w:tcPr>
          <w:p>
            <w:pPr>
              <w:pStyle w:val="null3"/>
            </w:pPr>
            <w:r>
              <w:rPr/>
              <w:t>26</w:t>
            </w:r>
          </w:p>
        </w:tc>
        <w:tc>
          <w:tcPr>
            <w:tcW w:type="dxa" w:w="2769"/>
          </w:tcPr>
          <w:p>
            <w:pPr>
              <w:pStyle w:val="null3"/>
            </w:pPr>
            <w:r>
              <w:rPr/>
              <w:t>支持报表计划任务，可定期生成报表，并支持以邮件形式发送给指定接收人，支持报表导出为Excel格式。</w:t>
            </w:r>
          </w:p>
        </w:tc>
      </w:tr>
      <w:tr>
        <w:tc>
          <w:tcPr>
            <w:tcW w:type="dxa" w:w="2769"/>
          </w:tcPr>
          <w:p/>
        </w:tc>
        <w:tc>
          <w:tcPr>
            <w:tcW w:type="dxa" w:w="2769"/>
          </w:tcPr>
          <w:p>
            <w:pPr>
              <w:pStyle w:val="null3"/>
            </w:pPr>
            <w:r>
              <w:rPr/>
              <w:t>27</w:t>
            </w:r>
          </w:p>
        </w:tc>
        <w:tc>
          <w:tcPr>
            <w:tcW w:type="dxa" w:w="2769"/>
          </w:tcPr>
          <w:p>
            <w:pPr>
              <w:pStyle w:val="null3"/>
            </w:pPr>
            <w:r>
              <w:rPr/>
              <w:t>支持系统针对各类指标项预定义合理的全局告警阈值和个性化阈值，个性化阈值优先级高于全局告警阈值。</w:t>
            </w:r>
          </w:p>
        </w:tc>
      </w:tr>
      <w:tr>
        <w:tc>
          <w:tcPr>
            <w:tcW w:type="dxa" w:w="2769"/>
          </w:tcPr>
          <w:p/>
        </w:tc>
        <w:tc>
          <w:tcPr>
            <w:tcW w:type="dxa" w:w="2769"/>
          </w:tcPr>
          <w:p>
            <w:pPr>
              <w:pStyle w:val="null3"/>
            </w:pPr>
            <w:r>
              <w:rPr/>
              <w:t>28</w:t>
            </w:r>
          </w:p>
        </w:tc>
        <w:tc>
          <w:tcPr>
            <w:tcW w:type="dxa" w:w="2769"/>
          </w:tcPr>
          <w:p>
            <w:pPr>
              <w:pStyle w:val="null3"/>
            </w:pPr>
            <w:r>
              <w:rPr/>
              <w:t>根据各种告警类型的严重程度预置合理的告警等级，并允许用户根据告警类型或资源重新定义告警等级；支持频率告警，可设置某事件在某段时间内发生次数达到阈值时产生告警。</w:t>
            </w:r>
          </w:p>
        </w:tc>
      </w:tr>
      <w:tr>
        <w:tc>
          <w:tcPr>
            <w:tcW w:type="dxa" w:w="2769"/>
          </w:tcPr>
          <w:p>
            <w:pPr>
              <w:pStyle w:val="null3"/>
            </w:pPr>
            <w:r>
              <w:rPr/>
              <w:t>▲</w:t>
            </w:r>
          </w:p>
        </w:tc>
        <w:tc>
          <w:tcPr>
            <w:tcW w:type="dxa" w:w="2769"/>
          </w:tcPr>
          <w:p>
            <w:pPr>
              <w:pStyle w:val="null3"/>
            </w:pPr>
            <w:r>
              <w:rPr/>
              <w:t>29</w:t>
            </w:r>
          </w:p>
        </w:tc>
        <w:tc>
          <w:tcPr>
            <w:tcW w:type="dxa" w:w="2769"/>
          </w:tcPr>
          <w:p>
            <w:pPr>
              <w:pStyle w:val="null3"/>
            </w:pPr>
            <w:r>
              <w:rPr/>
              <w:t>支持复合告警，由两个子条件组成，每个子条件中可设置不同告警类型和告警资源；当两个子条件同时满足时触发告警。</w:t>
            </w:r>
          </w:p>
        </w:tc>
      </w:tr>
      <w:tr>
        <w:tc>
          <w:tcPr>
            <w:tcW w:type="dxa" w:w="2769"/>
          </w:tcPr>
          <w:p/>
        </w:tc>
        <w:tc>
          <w:tcPr>
            <w:tcW w:type="dxa" w:w="2769"/>
          </w:tcPr>
          <w:p>
            <w:pPr>
              <w:pStyle w:val="null3"/>
            </w:pPr>
            <w:r>
              <w:rPr/>
              <w:t>30</w:t>
            </w:r>
          </w:p>
        </w:tc>
        <w:tc>
          <w:tcPr>
            <w:tcW w:type="dxa" w:w="2769"/>
          </w:tcPr>
          <w:p>
            <w:pPr>
              <w:pStyle w:val="null3"/>
            </w:pPr>
            <w:r>
              <w:rPr/>
              <w:t>支持将所有告警在统一的界面展示，可通过资源、时间、类型、等级、状态、告警内容查询告警</w:t>
            </w:r>
          </w:p>
        </w:tc>
      </w:tr>
      <w:tr>
        <w:tc>
          <w:tcPr>
            <w:tcW w:type="dxa" w:w="2769"/>
          </w:tcPr>
          <w:p/>
        </w:tc>
        <w:tc>
          <w:tcPr>
            <w:tcW w:type="dxa" w:w="2769"/>
          </w:tcPr>
          <w:p>
            <w:pPr>
              <w:pStyle w:val="null3"/>
            </w:pPr>
            <w:r>
              <w:rPr/>
              <w:t>31</w:t>
            </w:r>
          </w:p>
        </w:tc>
        <w:tc>
          <w:tcPr>
            <w:tcW w:type="dxa" w:w="2769"/>
          </w:tcPr>
          <w:p>
            <w:pPr>
              <w:pStyle w:val="null3"/>
            </w:pPr>
            <w:r>
              <w:rPr/>
              <w:t>支持微信、短信、邮件、首页闪烁提示等方式进行告警通知，提供微信告警服务平台，用户只需关注即可使用。</w:t>
            </w:r>
          </w:p>
        </w:tc>
      </w:tr>
      <w:tr>
        <w:tc>
          <w:tcPr>
            <w:tcW w:type="dxa" w:w="2769"/>
          </w:tcPr>
          <w:p/>
        </w:tc>
        <w:tc>
          <w:tcPr>
            <w:tcW w:type="dxa" w:w="2769"/>
          </w:tcPr>
          <w:p>
            <w:pPr>
              <w:pStyle w:val="null3"/>
            </w:pPr>
            <w:r>
              <w:rPr/>
              <w:t>32</w:t>
            </w:r>
          </w:p>
        </w:tc>
        <w:tc>
          <w:tcPr>
            <w:tcW w:type="dxa" w:w="2769"/>
          </w:tcPr>
          <w:p>
            <w:pPr>
              <w:pStyle w:val="null3"/>
            </w:pPr>
            <w:r>
              <w:rPr/>
              <w:t>支持告警频率分析，对不同资源的告警次数及告警类型统计，评估资源故障率。</w:t>
            </w:r>
          </w:p>
        </w:tc>
      </w:tr>
      <w:tr>
        <w:tc>
          <w:tcPr>
            <w:tcW w:type="dxa" w:w="2769"/>
          </w:tcPr>
          <w:p/>
        </w:tc>
        <w:tc>
          <w:tcPr>
            <w:tcW w:type="dxa" w:w="2769"/>
          </w:tcPr>
          <w:p>
            <w:pPr>
              <w:pStyle w:val="null3"/>
            </w:pPr>
            <w:r>
              <w:rPr/>
              <w:t>33</w:t>
            </w:r>
          </w:p>
        </w:tc>
        <w:tc>
          <w:tcPr>
            <w:tcW w:type="dxa" w:w="2769"/>
          </w:tcPr>
          <w:p>
            <w:pPr>
              <w:pStyle w:val="null3"/>
            </w:pPr>
            <w:r>
              <w:rPr/>
              <w:t>支持告警原因分析，自动分析关联告警，提取关键根源告警信息，实现告警收敛，避免大量告警淹没关键信息，并提供故障处理建议。</w:t>
            </w:r>
          </w:p>
        </w:tc>
      </w:tr>
      <w:tr>
        <w:tc>
          <w:tcPr>
            <w:tcW w:type="dxa" w:w="2769"/>
          </w:tcPr>
          <w:p/>
        </w:tc>
        <w:tc>
          <w:tcPr>
            <w:tcW w:type="dxa" w:w="2769"/>
          </w:tcPr>
          <w:p>
            <w:pPr>
              <w:pStyle w:val="null3"/>
            </w:pPr>
            <w:r>
              <w:rPr/>
              <w:t>34</w:t>
            </w:r>
          </w:p>
        </w:tc>
        <w:tc>
          <w:tcPr>
            <w:tcW w:type="dxa" w:w="2769"/>
          </w:tcPr>
          <w:p>
            <w:pPr>
              <w:pStyle w:val="null3"/>
            </w:pPr>
            <w:r>
              <w:rPr/>
              <w:t>支持内置配置模板，包括配置备份、配置上传、配置存盘、修改系统名称、添加日志服务器、删除日志服务器、修改密码、添加SNMP可读共同体名、添加NTP服务器、查看ARP/MAC表、查看路由表等；</w:t>
            </w:r>
          </w:p>
        </w:tc>
      </w:tr>
      <w:tr>
        <w:tc>
          <w:tcPr>
            <w:tcW w:type="dxa" w:w="2769"/>
          </w:tcPr>
          <w:p>
            <w:pPr>
              <w:pStyle w:val="null3"/>
            </w:pPr>
            <w:r>
              <w:rPr/>
              <w:t>★</w:t>
            </w:r>
          </w:p>
        </w:tc>
        <w:tc>
          <w:tcPr>
            <w:tcW w:type="dxa" w:w="2769"/>
          </w:tcPr>
          <w:p>
            <w:pPr>
              <w:pStyle w:val="null3"/>
            </w:pPr>
            <w:r>
              <w:rPr/>
              <w:t>35</w:t>
            </w:r>
          </w:p>
        </w:tc>
        <w:tc>
          <w:tcPr>
            <w:tcW w:type="dxa" w:w="2769"/>
          </w:tcPr>
          <w:p>
            <w:pPr>
              <w:pStyle w:val="null3"/>
            </w:pPr>
            <w:r>
              <w:rPr/>
              <w:t>支持备份文件对比功能，支持对同一个设备不同版本的备份文件对比，支持对不同设备的备份文件对比;</w:t>
            </w:r>
          </w:p>
        </w:tc>
      </w:tr>
      <w:tr>
        <w:tc>
          <w:tcPr>
            <w:tcW w:type="dxa" w:w="2769"/>
          </w:tcPr>
          <w:p/>
        </w:tc>
        <w:tc>
          <w:tcPr>
            <w:tcW w:type="dxa" w:w="2769"/>
          </w:tcPr>
          <w:p>
            <w:pPr>
              <w:pStyle w:val="null3"/>
            </w:pPr>
            <w:r>
              <w:rPr/>
              <w:t>36</w:t>
            </w:r>
          </w:p>
        </w:tc>
        <w:tc>
          <w:tcPr>
            <w:tcW w:type="dxa" w:w="2769"/>
          </w:tcPr>
          <w:p>
            <w:pPr>
              <w:pStyle w:val="null3"/>
            </w:pPr>
            <w:r>
              <w:rPr/>
              <w:t>支持设备上的配置文件进行合规性检查，支持用户设置配置文件的规则，当配置不符合自定义的规。</w:t>
            </w:r>
          </w:p>
        </w:tc>
      </w:tr>
      <w:tr>
        <w:tc>
          <w:tcPr>
            <w:tcW w:type="dxa" w:w="2769"/>
          </w:tcPr>
          <w:p/>
        </w:tc>
        <w:tc>
          <w:tcPr>
            <w:tcW w:type="dxa" w:w="2769"/>
          </w:tcPr>
          <w:p>
            <w:pPr>
              <w:pStyle w:val="null3"/>
            </w:pPr>
            <w:r>
              <w:rPr/>
              <w:t>37</w:t>
            </w:r>
          </w:p>
        </w:tc>
        <w:tc>
          <w:tcPr>
            <w:tcW w:type="dxa" w:w="2769"/>
          </w:tcPr>
          <w:p>
            <w:pPr>
              <w:pStyle w:val="null3"/>
            </w:pPr>
            <w:r>
              <w:rPr/>
              <w:t>以上功能要求中标后一周内可由用户方组织测试验证，产品经过测试验证的视为满足，未经过测试验证的视为不满足。</w:t>
            </w:r>
          </w:p>
        </w:tc>
      </w:tr>
      <w:tr>
        <w:tc>
          <w:tcPr>
            <w:tcW w:type="dxa" w:w="2769"/>
          </w:tcPr>
          <w:p/>
        </w:tc>
        <w:tc>
          <w:tcPr>
            <w:tcW w:type="dxa" w:w="2769"/>
          </w:tcPr>
          <w:p>
            <w:pPr>
              <w:pStyle w:val="null3"/>
            </w:pPr>
            <w:r>
              <w:rPr/>
              <w:t>38</w:t>
            </w:r>
          </w:p>
        </w:tc>
        <w:tc>
          <w:tcPr>
            <w:tcW w:type="dxa" w:w="2769"/>
          </w:tcPr>
          <w:p>
            <w:pPr>
              <w:pStyle w:val="null3"/>
            </w:pPr>
            <w:r>
              <w:rPr/>
              <w:t>提供3年原厂质保和升级服务。</w:t>
            </w:r>
          </w:p>
        </w:tc>
      </w:tr>
    </w:tbl>
    <w:p>
      <w:pPr>
        <w:pStyle w:val="null3"/>
      </w:pPr>
      <w:r>
        <w:rPr/>
        <w:t>标的名称：IPV6网络协议全面部署实施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完成校园网络设备IPV6协议互联互通、路由等部署。实现网络IPV6互通、终端设备双栈接入和认证计费。</w:t>
            </w:r>
          </w:p>
        </w:tc>
      </w:tr>
      <w:tr>
        <w:tc>
          <w:tcPr>
            <w:tcW w:type="dxa" w:w="2769"/>
          </w:tcPr>
          <w:p/>
        </w:tc>
        <w:tc>
          <w:tcPr>
            <w:tcW w:type="dxa" w:w="2769"/>
          </w:tcPr>
          <w:p>
            <w:pPr>
              <w:pStyle w:val="null3"/>
            </w:pPr>
            <w:r>
              <w:rPr/>
              <w:t>2</w:t>
            </w:r>
          </w:p>
        </w:tc>
        <w:tc>
          <w:tcPr>
            <w:tcW w:type="dxa" w:w="2769"/>
          </w:tcPr>
          <w:p>
            <w:pPr>
              <w:pStyle w:val="null3"/>
            </w:pPr>
            <w:r>
              <w:rPr/>
              <w:t>完成校园网安全设备IPV6协议互联互通、路由等部署及ipv6安全策略配置及优化。</w:t>
            </w:r>
          </w:p>
        </w:tc>
      </w:tr>
      <w:tr>
        <w:tc>
          <w:tcPr>
            <w:tcW w:type="dxa" w:w="2769"/>
          </w:tcPr>
          <w:p/>
        </w:tc>
        <w:tc>
          <w:tcPr>
            <w:tcW w:type="dxa" w:w="2769"/>
          </w:tcPr>
          <w:p>
            <w:pPr>
              <w:pStyle w:val="null3"/>
            </w:pPr>
            <w:r>
              <w:rPr/>
              <w:t>3</w:t>
            </w:r>
          </w:p>
        </w:tc>
        <w:tc>
          <w:tcPr>
            <w:tcW w:type="dxa" w:w="2769"/>
          </w:tcPr>
          <w:p>
            <w:pPr>
              <w:pStyle w:val="null3"/>
            </w:pPr>
            <w:r>
              <w:rPr/>
              <w:t>配合完成延安大学各业务系统IPV6调试。</w:t>
            </w:r>
          </w:p>
        </w:tc>
      </w:tr>
      <w:tr>
        <w:tc>
          <w:tcPr>
            <w:tcW w:type="dxa" w:w="2769"/>
          </w:tcPr>
          <w:p/>
        </w:tc>
        <w:tc>
          <w:tcPr>
            <w:tcW w:type="dxa" w:w="2769"/>
          </w:tcPr>
          <w:p>
            <w:pPr>
              <w:pStyle w:val="null3"/>
            </w:pPr>
            <w:r>
              <w:rPr/>
              <w:t>4</w:t>
            </w:r>
          </w:p>
        </w:tc>
        <w:tc>
          <w:tcPr>
            <w:tcW w:type="dxa" w:w="2769"/>
          </w:tcPr>
          <w:p>
            <w:pPr>
              <w:pStyle w:val="null3"/>
            </w:pPr>
            <w:r>
              <w:rPr/>
              <w:t>提供完整的实施方案和计划，明确各环节的时间安排和项目交付节点，按阶段进行验收，需达到校园网IPv6改造总体规划要求。</w:t>
            </w:r>
          </w:p>
        </w:tc>
      </w:tr>
      <w:tr>
        <w:tc>
          <w:tcPr>
            <w:tcW w:type="dxa" w:w="2769"/>
          </w:tcPr>
          <w:p/>
        </w:tc>
        <w:tc>
          <w:tcPr>
            <w:tcW w:type="dxa" w:w="2769"/>
          </w:tcPr>
          <w:p>
            <w:pPr>
              <w:pStyle w:val="null3"/>
            </w:pPr>
            <w:r>
              <w:rPr/>
              <w:t>5</w:t>
            </w:r>
          </w:p>
        </w:tc>
        <w:tc>
          <w:tcPr>
            <w:tcW w:type="dxa" w:w="2769"/>
          </w:tcPr>
          <w:p>
            <w:pPr>
              <w:pStyle w:val="null3"/>
            </w:pPr>
            <w:r>
              <w:rPr/>
              <w:t>技术工程师驻场服务不低于50人天。</w:t>
            </w:r>
          </w:p>
        </w:tc>
      </w:tr>
      <w:tr>
        <w:tc>
          <w:tcPr>
            <w:tcW w:type="dxa" w:w="2769"/>
          </w:tcPr>
          <w:p/>
        </w:tc>
        <w:tc>
          <w:tcPr>
            <w:tcW w:type="dxa" w:w="2769"/>
          </w:tcPr>
          <w:p>
            <w:pPr>
              <w:pStyle w:val="null3"/>
            </w:pPr>
            <w:r>
              <w:rPr/>
              <w:t>6</w:t>
            </w:r>
          </w:p>
        </w:tc>
        <w:tc>
          <w:tcPr>
            <w:tcW w:type="dxa" w:w="2769"/>
          </w:tcPr>
          <w:p>
            <w:pPr>
              <w:pStyle w:val="null3"/>
            </w:pPr>
            <w:r>
              <w:rPr/>
              <w:t>提供IPv6改造实施后的技术培训。</w:t>
            </w:r>
          </w:p>
        </w:tc>
      </w:tr>
      <w:tr>
        <w:tc>
          <w:tcPr>
            <w:tcW w:type="dxa" w:w="2769"/>
          </w:tcPr>
          <w:p/>
        </w:tc>
        <w:tc>
          <w:tcPr>
            <w:tcW w:type="dxa" w:w="2769"/>
          </w:tcPr>
          <w:p>
            <w:pPr>
              <w:pStyle w:val="null3"/>
            </w:pPr>
            <w:r>
              <w:rPr/>
              <w:t>7</w:t>
            </w:r>
          </w:p>
        </w:tc>
        <w:tc>
          <w:tcPr>
            <w:tcW w:type="dxa" w:w="2769"/>
          </w:tcPr>
          <w:p>
            <w:pPr>
              <w:pStyle w:val="null3"/>
            </w:pPr>
            <w:r>
              <w:rPr/>
              <w:t>IPV6技术支持服务。1年。</w:t>
            </w:r>
          </w:p>
        </w:tc>
      </w:tr>
      <w:tr>
        <w:tc>
          <w:tcPr>
            <w:tcW w:type="dxa" w:w="2769"/>
          </w:tcPr>
          <w:p/>
        </w:tc>
        <w:tc>
          <w:tcPr>
            <w:tcW w:type="dxa" w:w="2769"/>
          </w:tcPr>
          <w:p>
            <w:pPr>
              <w:pStyle w:val="null3"/>
            </w:pPr>
            <w:r>
              <w:rPr/>
              <w:t>8</w:t>
            </w:r>
          </w:p>
        </w:tc>
        <w:tc>
          <w:tcPr>
            <w:tcW w:type="dxa" w:w="2769"/>
          </w:tcPr>
          <w:p>
            <w:pPr>
              <w:pStyle w:val="null3"/>
            </w:pPr>
            <w:r>
              <w:rPr/>
              <w:t>本项目涉及核心网络和安全设备的IPV6规划实施，要求集成商提供相关设备原厂技术服务或技术授权。</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合同签订之日起30日</w:t>
      </w:r>
    </w:p>
    <w:p>
      <w:pPr>
        <w:pStyle w:val="null3"/>
        <w:outlineLvl w:val="3"/>
      </w:pPr>
      <w:r>
        <w:rPr>
          <w:sz w:val="24"/>
          <w:b/>
        </w:rPr>
        <w:t>3.4.2交货地点</w:t>
      </w:r>
    </w:p>
    <w:p>
      <w:pPr>
        <w:pStyle w:val="null3"/>
      </w:pPr>
      <w:r>
        <w:rPr/>
        <w:t>采购包1：</w:t>
      </w:r>
    </w:p>
    <w:p>
      <w:pPr>
        <w:pStyle w:val="null3"/>
      </w:pPr>
      <w:r>
        <w:rPr/>
        <w:t>延安大学指定地点（校内）</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合同签订之日起</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验收合格之日起</w:t>
      </w:r>
      <w:r>
        <w:rPr/>
        <w:t xml:space="preserve"> ，达到付款条件起 </w:t>
      </w:r>
      <w:r>
        <w:rPr/>
        <w:t>30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IP资源管理设备系统功能符合要求、运行稳定顺畅；IT管理系统功能符合要求，通过IPV4-V6双栈纳管全网有线设备、运行顺畅；完成校园网IPV6协议互联互通、路由等部署，IPV4-v6双栈运行及ipv6安全策略配置及优化。进行项目验收。 验收依据： 1、合同文本、合同附件。 2、国内相应的标准、规范。 3、其他相关资料。</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项目验收之日起IP资源管理设备质保6年。IT管理系统质保3年。</w:t>
      </w:r>
    </w:p>
    <w:p>
      <w:pPr>
        <w:pStyle w:val="null3"/>
        <w:outlineLvl w:val="3"/>
      </w:pPr>
      <w:r>
        <w:rPr>
          <w:sz w:val="24"/>
          <w:b/>
        </w:rPr>
        <w:t>3.4.8违约责任与解决争议的方法</w:t>
      </w:r>
    </w:p>
    <w:p>
      <w:pPr>
        <w:pStyle w:val="null3"/>
      </w:pPr>
      <w:r>
        <w:rPr/>
        <w:t>采购包1：</w:t>
      </w:r>
    </w:p>
    <w:p>
      <w:pPr>
        <w:pStyle w:val="null3"/>
      </w:pPr>
      <w:r>
        <w:rPr/>
        <w:t>乙方未按合同约定提供服务或未达到约定的服务标准、产品质量的，甲方有权解除合同，并可依法向乙方主张不低于合同总价款30%的违约金，造成损害的，可一并主张损害赔偿。甲方违约的，应当赔偿乙方的经济损失。</w:t>
      </w:r>
    </w:p>
    <w:p>
      <w:pPr>
        <w:pStyle w:val="null3"/>
        <w:jc w:val="left"/>
        <w:outlineLvl w:val="2"/>
      </w:pPr>
      <w:r>
        <w:rPr>
          <w:sz w:val="28"/>
          <w:b/>
        </w:rPr>
        <w:t>3.5其他要求</w:t>
      </w:r>
    </w:p>
    <w:p>
      <w:pPr>
        <w:pStyle w:val="null3"/>
      </w:pPr>
      <w:r>
        <w:rPr/>
        <w:t>1、本项目核心产品：IP资源管理设备。 2、中标人领取中标通知书时，提交纸质投标文件正本壹份、副本贰份、电子版壹份（U盘壹份注明单位名称）编辑目录和页码，内容和通过电子化交易平台实施的政府采购项目提交的投标文件一致。纸质投标文件正副本分别胶装（投标文件建议采用双面打印）。 3、投标保证金到账（保函提交）截止时间与投标截止时间一致。 （1）投标保证金以投标人名称汇款,如以个人汇款，视为无效。 （2）保证金交纳凭证/保函须标明项目编号。 （3）投标人未交纳、未足额交纳或未按规定时间、账号交纳保证金（保函）的，将被视为自动放弃投标权利。 （4）投标保证金的交纳单位和投标人的名称必须一致，否则将视为投标无效。 （5）由于每个项目保证金交纳账号不一样，请各投标人务必仔细核对，由此带来的所有后果由投标人自行承担。 （温馨提示：由于转账当天不一定能够到账，为避免因保证金未到账或延迟到账而导致投标文件符合性审查不通过，建议至少提前1个工作日到账。） 4、踏勘注意事项： （1）各供应商根据采购文件要求自行踏勘现场。 （2）供应商因自身原因未按时进行现场踏勘，而导致的任何风险，由供应商自行承担。 （3）凡因对施工现场、施工环境、市场行情等了解不清而造成的后果和风险，由供应商自行承担。 （4）踏勘相关费用及安全由供应商自行承担。 （5）踏勘时各供应商有疑问可以在现场提出，由采购人当场解答，否则视为供应商再无疑义。</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法定代表人授权书及被授权人身份证。（法定代表人直接投标只须提供其身份证明）</w:t>
            </w:r>
          </w:p>
        </w:tc>
        <w:tc>
          <w:tcPr>
            <w:tcW w:type="dxa" w:w="1661"/>
          </w:tcPr>
          <w:p>
            <w:pPr>
              <w:pStyle w:val="null3"/>
            </w:pPr>
            <w:r>
              <w:rPr/>
              <w:t>投标人资格证明文件</w:t>
            </w:r>
          </w:p>
        </w:tc>
      </w:tr>
      <w:tr>
        <w:tc>
          <w:tcPr>
            <w:tcW w:type="dxa" w:w="831"/>
          </w:tcPr>
          <w:p>
            <w:pPr>
              <w:pStyle w:val="null3"/>
            </w:pPr>
            <w:r>
              <w:rPr/>
              <w:t>8</w:t>
            </w:r>
          </w:p>
        </w:tc>
        <w:tc>
          <w:tcPr>
            <w:tcW w:type="dxa" w:w="2492"/>
          </w:tcPr>
          <w:p>
            <w:pPr>
              <w:pStyle w:val="null3"/>
            </w:pPr>
            <w:r>
              <w:rPr/>
              <w:t>中小企业声明函</w:t>
            </w:r>
          </w:p>
        </w:tc>
        <w:tc>
          <w:tcPr>
            <w:tcW w:type="dxa" w:w="3322"/>
          </w:tcPr>
          <w:p>
            <w:pPr>
              <w:pStyle w:val="null3"/>
            </w:pPr>
            <w:r>
              <w:rPr/>
              <w:t>本项目专门面向中小企业采购，供应商须提供中小企业声明函。</w:t>
            </w:r>
          </w:p>
        </w:tc>
        <w:tc>
          <w:tcPr>
            <w:tcW w:type="dxa" w:w="1661"/>
          </w:tcPr>
          <w:p>
            <w:pPr>
              <w:pStyle w:val="null3"/>
            </w:pPr>
            <w:r>
              <w:rPr/>
              <w:t>投标人资格证明文件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残疾人福利性单位声明函 中小企业声明函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投标文件的初步审查</w:t>
            </w:r>
          </w:p>
        </w:tc>
        <w:tc>
          <w:tcPr>
            <w:tcW w:type="dxa" w:w="3322"/>
          </w:tcPr>
          <w:p>
            <w:pPr>
              <w:pStyle w:val="null3"/>
            </w:pPr>
            <w:r>
              <w:rPr/>
              <w:t>评标委员会应当对投标人提交的投标文件进行初步审查，包括投标文件的有效性、完整性、符合性。除可变动的技术、服务要求以及合同草案条款外，首次提交的投标文件有不符合下列情况的，其投标文件无效。 1.投标人名称与营业执照、资质证书一致； 2.投标文件按招标文件要求的数量、计量单位、报价货币及签字盖章； 3.投标有效期达到招标文件要求； 4.符合法律、法规和招标文件中规定的其他实质性要求。</w:t>
            </w:r>
          </w:p>
        </w:tc>
        <w:tc>
          <w:tcPr>
            <w:tcW w:type="dxa" w:w="1661"/>
          </w:tcPr>
          <w:p>
            <w:pPr>
              <w:pStyle w:val="null3"/>
            </w:pPr>
            <w:r>
              <w:rPr/>
              <w:t>分项报价表 中小企业声明函 保证金交纳凭证保函 投标人承诺书 开标一览表（报价表） 投标人资格证明文件 投标方案说明 商务条款响应说明 投标函 残疾人福利性单位声明函 标的清单 投标文件封面 监狱企业的证明文件 技术指标偏差表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详细评审60.0000分</w:t>
            </w:r>
          </w:p>
          <w:p>
            <w:pPr>
              <w:pStyle w:val="null3"/>
            </w:pPr>
            <w:r>
              <w:rPr/>
              <w:t>报价得分40.0000分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技术参数-基本分</w:t>
            </w:r>
          </w:p>
        </w:tc>
        <w:tc>
          <w:tcPr>
            <w:tcW w:type="dxa" w:w="2492"/>
          </w:tcPr>
          <w:p>
            <w:pPr>
              <w:pStyle w:val="null3"/>
            </w:pPr>
            <w:r>
              <w:rPr/>
              <w:t>完全符合、响应采购文件产品技术参数要求，基础分为34分；“★”项为废标项，负偏离按无效文件处理；“▲”号参数为重要技术指标，每负偏离一项扣2分，非“▲”号参数每负偏离一项扣1分。扣完为止。 备注：“★”及“▲”项须提供佐证材料，否则视为负偏离，佐证材料包括但不限于产品技术说明或功能截图或检测报告或产品彩页等。</w:t>
            </w:r>
          </w:p>
        </w:tc>
        <w:tc>
          <w:tcPr>
            <w:tcW w:type="dxa" w:w="831"/>
          </w:tcPr>
          <w:p>
            <w:pPr>
              <w:pStyle w:val="null3"/>
              <w:jc w:val="right"/>
            </w:pPr>
            <w:r>
              <w:rPr/>
              <w:t>34.0000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技术参数-加分项</w:t>
            </w:r>
          </w:p>
        </w:tc>
        <w:tc>
          <w:tcPr>
            <w:tcW w:type="dxa" w:w="2492"/>
          </w:tcPr>
          <w:p>
            <w:pPr>
              <w:pStyle w:val="null3"/>
            </w:pPr>
            <w:r>
              <w:rPr/>
              <w:t>在全部技术参数无负偏离的前提下，参数有优于采购文件要求的，每优于 1 项加 1分，最多加10分。注：需提供证明材料（不限于第三方的检测报告或公开发行的使用手册/说明书或制造商官网产品功能截图等，产品指标以提供的证明材料所显示内容为准，证明材料未显示或不能说明的参数按不满足对待，仅提供文字描述的无效）</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业绩</w:t>
            </w:r>
          </w:p>
        </w:tc>
        <w:tc>
          <w:tcPr>
            <w:tcW w:type="dxa" w:w="2492"/>
          </w:tcPr>
          <w:p>
            <w:pPr>
              <w:pStyle w:val="null3"/>
            </w:pPr>
            <w:r>
              <w:rPr/>
              <w:t>每提供1份供应商2021年12月1日至今类似项目业绩，提供1份得1分，满分3分。 注：①提供完整合同复印件。 ②业绩时间以合同签订时间为准。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实施方案</w:t>
            </w:r>
          </w:p>
        </w:tc>
        <w:tc>
          <w:tcPr>
            <w:tcW w:type="dxa" w:w="2492"/>
          </w:tcPr>
          <w:p>
            <w:pPr>
              <w:pStyle w:val="null3"/>
            </w:pPr>
            <w:r>
              <w:rPr/>
              <w:t>根据提供的实施方案（不限于项目实施、供货组织安排、人力投入、安装调试、项目验收等）赋分：针对本项目编制，实施链条完整、措施具体，可行性强。 满足采购文件要求，无瑕疵：8分； 内容存在1处瑕疵：6分； 内容存在2处瑕疵：4分； 未提供或不满足采购文件要求或内容存在3处及以上瑕疵：0分。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售后服务方案</w:t>
            </w:r>
          </w:p>
        </w:tc>
        <w:tc>
          <w:tcPr>
            <w:tcW w:type="dxa" w:w="2492"/>
          </w:tcPr>
          <w:p>
            <w:pPr>
              <w:pStyle w:val="null3"/>
            </w:pPr>
            <w:r>
              <w:rPr/>
              <w:t>根据售后服务方案（不限于售后服务承诺、售后服务体系、应急预案及措施、售后服务内容、故障管理、响应时间、响应方式等）赋分：服务方案完善，服务链条完整，内容详实，措施具体，响应迅速，可行性强。 满足采购文件要求，无瑕疵：5分； 内容存在1处瑕疵：3分； 内容存在2处瑕疵：1分； 未提供或不满足采购文件要求或内容存在3处及以上瑕疵：0分。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投标报价得分=(评标基准价／投标报价)×价格权值×100 计算分数时四舍五入取小数点后两位。</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详见附件：开标一览表（报价表）</w:t>
      </w:r>
    </w:p>
    <w:p>
      <w:pPr>
        <w:pStyle w:val="null3"/>
        <w:ind w:firstLine="960"/>
      </w:pPr>
      <w:r>
        <w:rPr/>
        <w:t>详见附件：分项报价表</w:t>
      </w:r>
    </w:p>
    <w:p>
      <w:pPr>
        <w:pStyle w:val="null3"/>
        <w:ind w:firstLine="960"/>
      </w:pPr>
      <w:r>
        <w:rPr/>
        <w:t>详见附件：技术指标偏差表</w:t>
      </w:r>
    </w:p>
    <w:p>
      <w:pPr>
        <w:pStyle w:val="null3"/>
        <w:ind w:firstLine="960"/>
      </w:pPr>
      <w:r>
        <w:rPr/>
        <w:t>详见附件：商务条款响应说明</w:t>
      </w:r>
    </w:p>
    <w:p>
      <w:pPr>
        <w:pStyle w:val="null3"/>
        <w:ind w:firstLine="960"/>
      </w:pPr>
      <w:r>
        <w:rPr/>
        <w:t>详见附件：投标人资格证明文件</w:t>
      </w:r>
    </w:p>
    <w:p>
      <w:pPr>
        <w:pStyle w:val="null3"/>
        <w:ind w:firstLine="960"/>
      </w:pPr>
      <w:r>
        <w:rPr/>
        <w:t>详见附件：投标方案说明</w:t>
      </w:r>
    </w:p>
    <w:p>
      <w:pPr>
        <w:pStyle w:val="null3"/>
        <w:ind w:firstLine="960"/>
      </w:pPr>
      <w:r>
        <w:rPr/>
        <w:t>详见附件：投标人承诺书</w:t>
      </w:r>
    </w:p>
    <w:p>
      <w:pPr>
        <w:pStyle w:val="null3"/>
        <w:ind w:firstLine="960"/>
      </w:pPr>
      <w:r>
        <w:rPr/>
        <w:t>详见附件：中小企业声明函</w:t>
      </w:r>
    </w:p>
    <w:p>
      <w:pPr>
        <w:pStyle w:val="null3"/>
        <w:ind w:firstLine="960"/>
      </w:pPr>
      <w:r>
        <w:rPr/>
        <w:t>详见附件：保证金交纳凭证保函</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