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分布式光纤声学数据算法和堵塞智能监测系统采购项目</w:t>
      </w:r>
    </w:p>
    <w:p>
      <w:pPr>
        <w:pStyle w:val="null3"/>
        <w:jc w:val="center"/>
        <w:outlineLvl w:val="2"/>
      </w:pPr>
      <w:r>
        <w:rPr>
          <w:sz w:val="28"/>
          <w:b/>
        </w:rPr>
        <w:t>采购项目编号：</w:t>
      </w:r>
      <w:r>
        <w:rPr>
          <w:sz w:val="28"/>
          <w:b/>
        </w:rPr>
        <w:t>0617-2421HZ3498</w:t>
      </w:r>
      <w:r>
        <w:br/>
      </w:r>
      <w:r>
        <w:br/>
      </w:r>
      <w:r>
        <w:br/>
      </w:r>
    </w:p>
    <w:p>
      <w:pPr>
        <w:pStyle w:val="null3"/>
        <w:jc w:val="center"/>
        <w:outlineLvl w:val="2"/>
      </w:pPr>
      <w:r>
        <w:rPr>
          <w:sz w:val="28"/>
          <w:b/>
        </w:rPr>
        <w:t>西安科技大学</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西北(陕西)国际招标有限公司</w:t>
      </w:r>
      <w:r>
        <w:rPr/>
        <w:t>（以下简称“代理机构”）受</w:t>
      </w:r>
      <w:r>
        <w:rPr/>
        <w:t>西安科技大学</w:t>
      </w:r>
      <w:r>
        <w:rPr/>
        <w:t>委托，拟对</w:t>
      </w:r>
      <w:r>
        <w:rPr/>
        <w:t>分布式光纤声学数据算法和堵塞智能监测系统采购项目</w:t>
      </w:r>
      <w:r>
        <w:rPr/>
        <w:t>进行国内公开招标，兹邀请符合本次招标要求的供应商参加投标。</w:t>
      </w:r>
    </w:p>
    <w:p>
      <w:pPr>
        <w:pStyle w:val="null3"/>
        <w:outlineLvl w:val="2"/>
      </w:pPr>
      <w:r>
        <w:rPr>
          <w:sz w:val="28"/>
          <w:b/>
        </w:rPr>
        <w:t>一、采购项目编号：</w:t>
      </w:r>
      <w:r>
        <w:rPr>
          <w:sz w:val="28"/>
          <w:b/>
        </w:rPr>
        <w:t>0617-2421HZ3498</w:t>
      </w:r>
    </w:p>
    <w:p>
      <w:pPr>
        <w:pStyle w:val="null3"/>
        <w:outlineLvl w:val="2"/>
      </w:pPr>
      <w:r>
        <w:rPr>
          <w:sz w:val="28"/>
          <w:b/>
        </w:rPr>
        <w:t>二、采购项目名称：</w:t>
      </w:r>
      <w:r>
        <w:rPr>
          <w:sz w:val="28"/>
          <w:b/>
        </w:rPr>
        <w:t>分布式光纤声学数据算法和堵塞智能监测系统采购项目</w:t>
      </w:r>
    </w:p>
    <w:p>
      <w:pPr>
        <w:pStyle w:val="null3"/>
        <w:outlineLvl w:val="2"/>
      </w:pPr>
      <w:r>
        <w:rPr>
          <w:sz w:val="28"/>
          <w:b/>
        </w:rPr>
        <w:t>三、招标项目简介</w:t>
      </w:r>
    </w:p>
    <w:p>
      <w:pPr>
        <w:pStyle w:val="null3"/>
        <w:ind w:firstLine="480"/>
      </w:pPr>
      <w:r>
        <w:rPr/>
        <w:t>分布式光纤声学数据算法和堵塞智能监测系统，1项。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采购包1（分布式光纤声学数据算法和堵塞智能监测系统）：属于专门面向中小企业采购。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西安科技大学</w:t>
      </w:r>
    </w:p>
    <w:p>
      <w:pPr>
        <w:pStyle w:val="null3"/>
      </w:pPr>
      <w:r>
        <w:rPr/>
        <w:t xml:space="preserve"> 地址： </w:t>
      </w:r>
      <w:r>
        <w:rPr/>
        <w:t>陕西省西安市雁塔路58号</w:t>
      </w:r>
    </w:p>
    <w:p>
      <w:pPr>
        <w:pStyle w:val="null3"/>
      </w:pPr>
      <w:r>
        <w:rPr/>
        <w:t xml:space="preserve"> 邮编： </w:t>
      </w:r>
      <w:r>
        <w:rPr/>
        <w:t>710054</w:t>
      </w:r>
    </w:p>
    <w:p>
      <w:pPr>
        <w:pStyle w:val="null3"/>
      </w:pPr>
      <w:r>
        <w:rPr/>
        <w:t xml:space="preserve"> 联系人： </w:t>
      </w:r>
      <w:r>
        <w:rPr/>
        <w:t>西安科技大学经办</w:t>
      </w:r>
    </w:p>
    <w:p>
      <w:pPr>
        <w:pStyle w:val="null3"/>
      </w:pPr>
      <w:r>
        <w:rPr/>
        <w:t xml:space="preserve"> 联系电话： </w:t>
      </w:r>
      <w:r>
        <w:rPr/>
        <w:t>029-83858191</w:t>
      </w:r>
    </w:p>
    <w:p>
      <w:pPr>
        <w:pStyle w:val="null3"/>
        <w:outlineLvl w:val="2"/>
      </w:pPr>
      <w:r>
        <w:rPr>
          <w:sz w:val="28"/>
          <w:b/>
        </w:rPr>
        <w:t>代理机构：</w:t>
      </w:r>
      <w:r>
        <w:rPr>
          <w:sz w:val="28"/>
          <w:b/>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710075</w:t>
      </w:r>
    </w:p>
    <w:p>
      <w:pPr>
        <w:pStyle w:val="null3"/>
      </w:pPr>
      <w:r>
        <w:rPr/>
        <w:t xml:space="preserve"> 联系人： </w:t>
      </w:r>
      <w:r>
        <w:rPr/>
        <w:t>张婉迪、宋鹏飞、张喆</w:t>
      </w:r>
    </w:p>
    <w:p>
      <w:pPr>
        <w:pStyle w:val="null3"/>
      </w:pPr>
      <w:r>
        <w:rPr/>
        <w:t xml:space="preserve"> 联系电话： </w:t>
      </w:r>
      <w:r>
        <w:rPr/>
        <w:t>029-85239900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说明：投标人中标后凭中标通知书向采购人缴纳成交金额的5%作为履约保证金，项目完成验收合格之后，5%履约保证金无质量问题一次性无息退还。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22.5%向中标（成交）供应商收取代理服务费。2.缴费时间：确定中标（成交）供应商后3日内，由中标（成交）供应商向采购代理机构一次付清代理服务费。 3.银行信息: 户名：西北（陕西）国际招标有限公司；开户银行：交通银行西安长安大学支行；账号：611301151018010003843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西安科技大学</w:t>
      </w:r>
      <w:r>
        <w:rPr/>
        <w:t>和</w:t>
      </w:r>
      <w:r>
        <w:rPr/>
        <w:t>西北(陕西)国际招标有限公司</w:t>
      </w:r>
      <w:r>
        <w:rPr/>
        <w:t>享有。对招标文件中供应商参加本次政府采购活动应当具备的条件，招标项目技术、服务、商务及其他要求，评标细则及标准由</w:t>
      </w:r>
      <w:r>
        <w:rPr/>
        <w:t>西安科技大学</w:t>
      </w:r>
      <w:r>
        <w:rPr/>
        <w:t>负责解释。除上述招标文件内容，其他内容由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招标文件和投标文件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联系人：西北（陕西）国际招标有限公司综合监督处</w:t>
      </w:r>
    </w:p>
    <w:p>
      <w:pPr>
        <w:pStyle w:val="null3"/>
      </w:pPr>
      <w:r>
        <w:rPr/>
        <w:t>联系电话：029-85362812</w:t>
      </w:r>
    </w:p>
    <w:p>
      <w:pPr>
        <w:pStyle w:val="null3"/>
      </w:pPr>
      <w:r>
        <w:rPr/>
        <w:t>地址：陕西省西安市南二环西段58号成长大厦12楼 1203室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分布式光纤声学数据算法和堵塞智能监测系统，1项。</w:t>
      </w:r>
    </w:p>
    <w:p>
      <w:pPr>
        <w:pStyle w:val="null3"/>
        <w:outlineLvl w:val="2"/>
      </w:pPr>
      <w:r>
        <w:rPr>
          <w:sz w:val="28"/>
          <w:b/>
        </w:rPr>
        <w:t>3.2采购内容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分布式光纤声学数据算法和堵塞智能监测系统</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标的名称：分布式光纤声学数据算法和堵塞智能监测系统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quot;times new roman&quot;" w:hAnsi="&quot;times new roman&quot;" w:cs="&quot;times new roman&quot;" w:eastAsia="&quot;times new roman&quot;"/>
                <w:sz w:val="21"/>
              </w:rPr>
              <w:t>（一）具体功能要求及配置要求：</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基于分布式光纤声波传感系统（</w:t>
            </w:r>
            <w:r>
              <w:rPr>
                <w:rFonts w:ascii="仿宋_gb2312" w:hAnsi="仿宋_gb2312" w:cs="仿宋_gb2312" w:eastAsia="仿宋_gb2312"/>
                <w:sz w:val="21"/>
              </w:rPr>
              <w:t>DAS）的相位数据实现管道第三方威胁事件报警与清管器实时定位与堵塞报警功能</w:t>
            </w:r>
          </w:p>
        </w:tc>
      </w:tr>
      <w:tr>
        <w:tc>
          <w:tcPr>
            <w:tcW w:type="dxa" w:w="2769"/>
          </w:tcPr>
          <w:p>
            <w:pPr>
              <w:pStyle w:val="null3"/>
            </w:pPr>
            <w:r>
              <w:rPr/>
              <w:t>▲</w:t>
            </w:r>
          </w:p>
        </w:tc>
        <w:tc>
          <w:tcPr>
            <w:tcW w:type="dxa" w:w="2769"/>
          </w:tcPr>
          <w:p>
            <w:pPr>
              <w:pStyle w:val="null3"/>
            </w:pPr>
            <w:r>
              <w:rPr/>
              <w:t>3</w:t>
            </w:r>
          </w:p>
        </w:tc>
        <w:tc>
          <w:tcPr>
            <w:tcW w:type="dxa" w:w="2769"/>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软件基于</w:t>
            </w:r>
            <w:r>
              <w:rPr>
                <w:rFonts w:ascii="仿宋_gb2312" w:hAnsi="仿宋_gb2312" w:cs="仿宋_gb2312" w:eastAsia="仿宋_gb2312"/>
                <w:sz w:val="21"/>
              </w:rPr>
              <w:t>Linux开发，采用大数据机器学习方式进行快速识别与定位算法库建立</w:t>
            </w:r>
          </w:p>
        </w:tc>
      </w:tr>
      <w:tr>
        <w:tc>
          <w:tcPr>
            <w:tcW w:type="dxa" w:w="2769"/>
          </w:tcPr>
          <w:p>
            <w:pPr>
              <w:pStyle w:val="null3"/>
            </w:pPr>
            <w:r>
              <w:rPr/>
              <w:t>★</w:t>
            </w:r>
          </w:p>
        </w:tc>
        <w:tc>
          <w:tcPr>
            <w:tcW w:type="dxa" w:w="2769"/>
          </w:tcPr>
          <w:p>
            <w:pPr>
              <w:pStyle w:val="null3"/>
            </w:pPr>
            <w:r>
              <w:rPr/>
              <w:t>4</w:t>
            </w:r>
          </w:p>
        </w:tc>
        <w:tc>
          <w:tcPr>
            <w:tcW w:type="dxa" w:w="2769"/>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算法库包含第三方入侵模型至少包括：人工、机械、电镐、汽车等。</w:t>
            </w:r>
            <w:r>
              <w:rPr>
                <w:rFonts w:ascii="仿宋_gb2312" w:hAnsi="仿宋_gb2312" w:cs="仿宋_gb2312" w:eastAsia="仿宋_gb2312"/>
                <w:sz w:val="21"/>
              </w:rPr>
              <w:t>包括至少提供能识别和区别上述场景的四种算法。</w:t>
            </w:r>
          </w:p>
        </w:tc>
      </w:tr>
      <w:tr>
        <w:tc>
          <w:tcPr>
            <w:tcW w:type="dxa" w:w="2769"/>
          </w:tcPr>
          <w:p>
            <w:pPr>
              <w:pStyle w:val="null3"/>
            </w:pPr>
            <w:r>
              <w:rPr/>
              <w:t>★</w:t>
            </w:r>
          </w:p>
        </w:tc>
        <w:tc>
          <w:tcPr>
            <w:tcW w:type="dxa" w:w="2769"/>
          </w:tcPr>
          <w:p>
            <w:pPr>
              <w:pStyle w:val="null3"/>
            </w:pPr>
            <w:r>
              <w:rPr/>
              <w:t>5</w:t>
            </w:r>
          </w:p>
        </w:tc>
        <w:tc>
          <w:tcPr>
            <w:tcW w:type="dxa" w:w="2769"/>
          </w:tcPr>
          <w:p>
            <w:pPr>
              <w:pStyle w:val="null3"/>
              <w:jc w:val="left"/>
            </w:pPr>
            <w:r>
              <w:rPr>
                <w:rFonts w:ascii="仿宋_gb2312" w:hAnsi="仿宋_gb2312" w:cs="仿宋_gb2312" w:eastAsia="仿宋_gb2312"/>
                <w:sz w:val="21"/>
              </w:rPr>
              <w:t>4、算法库包含矸石管道堵塞程度定量化判别。算法实现&lt;2m堵塞定位；算法实现堵塞程度判别准确率&gt;90%</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第三方入侵事件报警准确率：</w:t>
            </w:r>
            <w:r>
              <w:rPr>
                <w:rFonts w:ascii="仿宋_gb2312" w:hAnsi="仿宋_gb2312" w:cs="仿宋_gb2312" w:eastAsia="仿宋_gb2312"/>
                <w:sz w:val="21"/>
              </w:rPr>
              <w:t>&gt;97%。</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算法实现第三方入侵事件漏报率：</w:t>
            </w:r>
            <w:r>
              <w:rPr>
                <w:rFonts w:ascii="仿宋_gb2312" w:hAnsi="仿宋_gb2312" w:cs="仿宋_gb2312" w:eastAsia="仿宋_gb2312"/>
                <w:sz w:val="21"/>
              </w:rPr>
              <w:t>0</w:t>
            </w:r>
          </w:p>
        </w:tc>
      </w:tr>
      <w:tr>
        <w:tc>
          <w:tcPr>
            <w:tcW w:type="dxa" w:w="2769"/>
          </w:tcPr>
          <w:p>
            <w:pPr>
              <w:pStyle w:val="null3"/>
            </w:pPr>
            <w:r>
              <w:rPr/>
              <w:t>▲</w:t>
            </w:r>
          </w:p>
        </w:tc>
        <w:tc>
          <w:tcPr>
            <w:tcW w:type="dxa" w:w="2769"/>
          </w:tcPr>
          <w:p>
            <w:pPr>
              <w:pStyle w:val="null3"/>
            </w:pPr>
            <w:r>
              <w:rPr/>
              <w:t>8</w:t>
            </w:r>
          </w:p>
        </w:tc>
        <w:tc>
          <w:tcPr>
            <w:tcW w:type="dxa" w:w="2769"/>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算法实现第三方入侵事件报警时间小于等于</w:t>
            </w:r>
            <w:r>
              <w:rPr>
                <w:rFonts w:ascii="仿宋_gb2312" w:hAnsi="仿宋_gb2312" w:cs="仿宋_gb2312" w:eastAsia="仿宋_gb2312"/>
                <w:sz w:val="21"/>
              </w:rPr>
              <w:t>2s</w:t>
            </w:r>
          </w:p>
        </w:tc>
      </w:tr>
      <w:tr>
        <w:tc>
          <w:tcPr>
            <w:tcW w:type="dxa" w:w="2769"/>
          </w:tcPr>
          <w:p>
            <w:pPr>
              <w:pStyle w:val="null3"/>
            </w:pPr>
            <w:r>
              <w:rPr/>
              <w:t>★</w:t>
            </w:r>
          </w:p>
        </w:tc>
        <w:tc>
          <w:tcPr>
            <w:tcW w:type="dxa" w:w="2769"/>
          </w:tcPr>
          <w:p>
            <w:pPr>
              <w:pStyle w:val="null3"/>
            </w:pPr>
            <w:r>
              <w:rPr/>
              <w:t>9</w:t>
            </w:r>
          </w:p>
        </w:tc>
        <w:tc>
          <w:tcPr>
            <w:tcW w:type="dxa" w:w="2769"/>
          </w:tcPr>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开发具备管道内检（清管器）追踪功能，参数要求：定位精度</w:t>
            </w:r>
            <w:r>
              <w:rPr>
                <w:rFonts w:ascii="仿宋_gb2312" w:hAnsi="仿宋_gb2312" w:cs="仿宋_gb2312" w:eastAsia="仿宋_gb2312"/>
                <w:sz w:val="21"/>
              </w:rPr>
              <w:t>&lt;20m，定位时间&lt;2s，堵塞报警时间&lt;10s</w:t>
            </w:r>
          </w:p>
        </w:tc>
      </w:tr>
      <w:tr>
        <w:tc>
          <w:tcPr>
            <w:tcW w:type="dxa" w:w="2769"/>
          </w:tcPr>
          <w:p>
            <w:pPr>
              <w:pStyle w:val="null3"/>
            </w:pPr>
            <w:r>
              <w:rPr/>
              <w:t>★</w:t>
            </w:r>
          </w:p>
        </w:tc>
        <w:tc>
          <w:tcPr>
            <w:tcW w:type="dxa" w:w="2769"/>
          </w:tcPr>
          <w:p>
            <w:pPr>
              <w:pStyle w:val="null3"/>
            </w:pPr>
            <w:r>
              <w:rPr/>
              <w:t>10</w:t>
            </w:r>
          </w:p>
        </w:tc>
        <w:tc>
          <w:tcPr>
            <w:tcW w:type="dxa" w:w="2769"/>
          </w:tcPr>
          <w:p>
            <w:pPr>
              <w:pStyle w:val="null3"/>
              <w:jc w:val="left"/>
            </w:pPr>
            <w:r>
              <w:rPr>
                <w:rFonts w:ascii="仿宋_gb2312" w:hAnsi="仿宋_gb2312" w:cs="仿宋_gb2312" w:eastAsia="仿宋_gb2312"/>
                <w:sz w:val="21"/>
              </w:rPr>
              <w:t>9、实现管道全线数据波形与瀑布图查看以及声音回放功能。</w:t>
            </w:r>
            <w:r>
              <w:rPr>
                <w:rFonts w:ascii="仿宋_gb2312" w:hAnsi="仿宋_gb2312" w:cs="仿宋_gb2312" w:eastAsia="仿宋_gb2312"/>
                <w:sz w:val="21"/>
              </w:rPr>
              <w:t>包括对</w:t>
            </w:r>
            <w:r>
              <w:rPr>
                <w:rFonts w:ascii="仿宋_gb2312" w:hAnsi="仿宋_gb2312" w:cs="仿宋_gb2312" w:eastAsia="仿宋_gb2312"/>
                <w:sz w:val="21"/>
              </w:rPr>
              <w:t>20km测试距离、1.5m空间分辨率、5000Hz采集频率条件下1个月内的数据查看及声音回放</w:t>
            </w:r>
            <w:r>
              <w:rPr>
                <w:rFonts w:ascii="仿宋_gb2312" w:hAnsi="仿宋_gb2312" w:cs="仿宋_gb2312" w:eastAsia="仿宋_gb2312"/>
                <w:sz w:val="21"/>
              </w:rPr>
              <w:t>。</w:t>
            </w:r>
          </w:p>
        </w:tc>
      </w:tr>
      <w:tr>
        <w:tc>
          <w:tcPr>
            <w:tcW w:type="dxa" w:w="2769"/>
          </w:tcPr>
          <w:p>
            <w:pPr>
              <w:pStyle w:val="null3"/>
            </w:pPr>
            <w:r>
              <w:rPr/>
              <w:t>★</w:t>
            </w:r>
          </w:p>
        </w:tc>
        <w:tc>
          <w:tcPr>
            <w:tcW w:type="dxa" w:w="2769"/>
          </w:tcPr>
          <w:p>
            <w:pPr>
              <w:pStyle w:val="null3"/>
            </w:pPr>
            <w:r>
              <w:rPr/>
              <w:t>11</w:t>
            </w:r>
          </w:p>
        </w:tc>
        <w:tc>
          <w:tcPr>
            <w:tcW w:type="dxa" w:w="2769"/>
          </w:tcPr>
          <w:p>
            <w:pPr>
              <w:pStyle w:val="null3"/>
              <w:jc w:val="left"/>
            </w:pPr>
            <w:r>
              <w:rPr>
                <w:rFonts w:ascii="仿宋_gb2312" w:hAnsi="仿宋_gb2312" w:cs="仿宋_gb2312" w:eastAsia="仿宋_gb2312"/>
                <w:sz w:val="21"/>
              </w:rPr>
              <w:t>10、管道全线实时瀑布图查看，报警数据统计分析。</w:t>
            </w:r>
            <w:r>
              <w:rPr>
                <w:rFonts w:ascii="仿宋_gb2312" w:hAnsi="仿宋_gb2312" w:cs="仿宋_gb2312" w:eastAsia="仿宋_gb2312"/>
                <w:sz w:val="21"/>
              </w:rPr>
              <w:t>包括对</w:t>
            </w:r>
            <w:r>
              <w:rPr>
                <w:rFonts w:ascii="仿宋_gb2312" w:hAnsi="仿宋_gb2312" w:cs="仿宋_gb2312" w:eastAsia="仿宋_gb2312"/>
                <w:sz w:val="21"/>
              </w:rPr>
              <w:t>20km测试距离、1.5m空间分辨率、5000Hz采集频率条件下1个月内的数据统计分析。</w:t>
            </w:r>
          </w:p>
        </w:tc>
      </w:tr>
      <w:tr>
        <w:tc>
          <w:tcPr>
            <w:tcW w:type="dxa" w:w="2769"/>
          </w:tcPr>
          <w:p>
            <w:pPr>
              <w:pStyle w:val="null3"/>
            </w:pPr>
            <w:r>
              <w:rPr/>
              <w:t>▲</w:t>
            </w:r>
          </w:p>
        </w:tc>
        <w:tc>
          <w:tcPr>
            <w:tcW w:type="dxa" w:w="2769"/>
          </w:tcPr>
          <w:p>
            <w:pPr>
              <w:pStyle w:val="null3"/>
            </w:pPr>
            <w:r>
              <w:rPr/>
              <w:t>12</w:t>
            </w:r>
          </w:p>
        </w:tc>
        <w:tc>
          <w:tcPr>
            <w:tcW w:type="dxa" w:w="2769"/>
          </w:tcPr>
          <w:p>
            <w:pPr>
              <w:pStyle w:val="null3"/>
              <w:jc w:val="left"/>
            </w:pPr>
            <w:r>
              <w:rPr>
                <w:rFonts w:ascii="仿宋_gb2312" w:hAnsi="仿宋_gb2312" w:cs="仿宋_gb2312" w:eastAsia="仿宋_gb2312"/>
                <w:sz w:val="21"/>
              </w:rPr>
              <w:t>11、根据报警信息自动生成工单，设备状态管理功能，用户权限管理功能</w:t>
            </w:r>
          </w:p>
        </w:tc>
      </w:tr>
      <w:tr>
        <w:tc>
          <w:tcPr>
            <w:tcW w:type="dxa" w:w="2769"/>
          </w:tcPr>
          <w:p>
            <w:pPr>
              <w:pStyle w:val="null3"/>
            </w:pPr>
            <w:r>
              <w:rPr/>
              <w:t>▲</w:t>
            </w:r>
          </w:p>
        </w:tc>
        <w:tc>
          <w:tcPr>
            <w:tcW w:type="dxa" w:w="2769"/>
          </w:tcPr>
          <w:p>
            <w:pPr>
              <w:pStyle w:val="null3"/>
            </w:pPr>
            <w:r>
              <w:rPr/>
              <w:t>13</w:t>
            </w:r>
          </w:p>
        </w:tc>
        <w:tc>
          <w:tcPr>
            <w:tcW w:type="dxa" w:w="2769"/>
          </w:tcPr>
          <w:p>
            <w:pPr>
              <w:pStyle w:val="null3"/>
              <w:jc w:val="left"/>
            </w:pPr>
            <w:r>
              <w:rPr>
                <w:rFonts w:ascii="仿宋_gb2312" w:hAnsi="仿宋_gb2312" w:cs="仿宋_gb2312" w:eastAsia="仿宋_gb2312"/>
                <w:sz w:val="21"/>
              </w:rPr>
              <w:t>12、实现视频接入功能与视频联动报警功能，报警推送功能（同步推送报警信息到第三方平台）</w:t>
            </w:r>
          </w:p>
        </w:tc>
      </w:tr>
      <w:tr>
        <w:tc>
          <w:tcPr>
            <w:tcW w:type="dxa" w:w="2769"/>
          </w:tcPr>
          <w:p>
            <w:pPr>
              <w:pStyle w:val="null3"/>
            </w:pPr>
            <w:r>
              <w:rPr/>
              <w:t>★</w:t>
            </w:r>
          </w:p>
        </w:tc>
        <w:tc>
          <w:tcPr>
            <w:tcW w:type="dxa" w:w="2769"/>
          </w:tcPr>
          <w:p>
            <w:pPr>
              <w:pStyle w:val="null3"/>
            </w:pPr>
            <w:r>
              <w:rPr/>
              <w:t>14</w:t>
            </w:r>
          </w:p>
        </w:tc>
        <w:tc>
          <w:tcPr>
            <w:tcW w:type="dxa" w:w="2769"/>
          </w:tcPr>
          <w:p>
            <w:pPr>
              <w:pStyle w:val="null3"/>
              <w:jc w:val="left"/>
            </w:pPr>
            <w:r>
              <w:rPr>
                <w:rFonts w:ascii="仿宋_gb2312" w:hAnsi="仿宋_gb2312" w:cs="仿宋_gb2312" w:eastAsia="仿宋_gb2312"/>
                <w:sz w:val="21"/>
              </w:rPr>
              <w:t>13、达成数据降噪分析处理分析、集合经验模态分解分析，光纤振动信号数据的时域分析和时频分析处理，光纤振动信号基于数据特征或数据分析的阻塞识别，光纤振动信号基于深度学习构建网络模型算法实现阻塞识别。</w:t>
            </w:r>
            <w:r>
              <w:rPr>
                <w:rFonts w:ascii="仿宋_gb2312" w:hAnsi="仿宋_gb2312" w:cs="仿宋_gb2312" w:eastAsia="仿宋_gb2312"/>
                <w:sz w:val="21"/>
              </w:rPr>
              <w:t>至少包括数据降噪分析算法、集合经验模态分解算法、时频域算法等</w:t>
            </w:r>
            <w:r>
              <w:rPr>
                <w:rFonts w:ascii="仿宋_gb2312" w:hAnsi="仿宋_gb2312" w:cs="仿宋_gb2312" w:eastAsia="仿宋_gb2312"/>
                <w:sz w:val="21"/>
              </w:rPr>
              <w:t>算法。</w:t>
            </w:r>
          </w:p>
        </w:tc>
      </w:tr>
      <w:tr>
        <w:tc>
          <w:tcPr>
            <w:tcW w:type="dxa" w:w="2769"/>
          </w:tcPr>
          <w:p>
            <w:pPr>
              <w:pStyle w:val="null3"/>
            </w:pPr>
            <w:r>
              <w:rPr/>
              <w:t>★</w:t>
            </w:r>
          </w:p>
        </w:tc>
        <w:tc>
          <w:tcPr>
            <w:tcW w:type="dxa" w:w="2769"/>
          </w:tcPr>
          <w:p>
            <w:pPr>
              <w:pStyle w:val="null3"/>
            </w:pPr>
            <w:r>
              <w:rPr/>
              <w:t>15</w:t>
            </w:r>
          </w:p>
        </w:tc>
        <w:tc>
          <w:tcPr>
            <w:tcW w:type="dxa" w:w="2769"/>
          </w:tcPr>
          <w:p>
            <w:pPr>
              <w:pStyle w:val="null3"/>
              <w:jc w:val="left"/>
            </w:pPr>
            <w:r>
              <w:rPr>
                <w:rFonts w:ascii="仿宋_gb2312" w:hAnsi="仿宋_gb2312" w:cs="仿宋_gb2312" w:eastAsia="仿宋_gb2312"/>
                <w:sz w:val="21"/>
              </w:rPr>
              <w:t>14、实现可视化告警推送，告警延时&lt;1s</w:t>
            </w:r>
          </w:p>
        </w:tc>
      </w:tr>
      <w:tr>
        <w:tc>
          <w:tcPr>
            <w:tcW w:type="dxa" w:w="2769"/>
          </w:tcPr>
          <w:p>
            <w:pPr>
              <w:pStyle w:val="null3"/>
            </w:pPr>
            <w:r>
              <w:rPr/>
              <w:t>▲</w:t>
            </w:r>
          </w:p>
        </w:tc>
        <w:tc>
          <w:tcPr>
            <w:tcW w:type="dxa" w:w="2769"/>
          </w:tcPr>
          <w:p>
            <w:pPr>
              <w:pStyle w:val="null3"/>
            </w:pPr>
            <w:r>
              <w:rPr/>
              <w:t>16</w:t>
            </w:r>
          </w:p>
        </w:tc>
        <w:tc>
          <w:tcPr>
            <w:tcW w:type="dxa" w:w="2769"/>
          </w:tcPr>
          <w:p>
            <w:pPr>
              <w:pStyle w:val="null3"/>
              <w:jc w:val="left"/>
            </w:pPr>
            <w:r>
              <w:rPr>
                <w:rFonts w:ascii="仿宋_gb2312" w:hAnsi="仿宋_gb2312" w:cs="仿宋_gb2312" w:eastAsia="仿宋_gb2312"/>
                <w:sz w:val="21"/>
              </w:rPr>
              <w:t>15、查询管理包含告警查询及处置、监测数据管理、监测数据管理、历史数据解析</w:t>
            </w:r>
          </w:p>
        </w:tc>
      </w:tr>
      <w:tr>
        <w:tc>
          <w:tcPr>
            <w:tcW w:type="dxa" w:w="2769"/>
          </w:tcPr>
          <w:p>
            <w:pPr>
              <w:pStyle w:val="null3"/>
            </w:pPr>
            <w:r>
              <w:rPr/>
              <w:t>▲</w:t>
            </w:r>
          </w:p>
        </w:tc>
        <w:tc>
          <w:tcPr>
            <w:tcW w:type="dxa" w:w="2769"/>
          </w:tcPr>
          <w:p>
            <w:pPr>
              <w:pStyle w:val="null3"/>
            </w:pPr>
            <w:r>
              <w:rPr/>
              <w:t>17</w:t>
            </w:r>
          </w:p>
        </w:tc>
        <w:tc>
          <w:tcPr>
            <w:tcW w:type="dxa" w:w="2769"/>
          </w:tcPr>
          <w:p>
            <w:pPr>
              <w:pStyle w:val="null3"/>
              <w:jc w:val="left"/>
            </w:pPr>
            <w:r>
              <w:rPr>
                <w:rFonts w:ascii="仿宋_gb2312" w:hAnsi="仿宋_gb2312" w:cs="仿宋_gb2312" w:eastAsia="仿宋_gb2312"/>
                <w:sz w:val="21"/>
              </w:rPr>
              <w:t>16、日志管理包含用户登录日志和操作日志，记录用户的登录/操作时间、用户ip等信息</w:t>
            </w:r>
          </w:p>
        </w:tc>
      </w:tr>
      <w:tr>
        <w:tc>
          <w:tcPr>
            <w:tcW w:type="dxa" w:w="2769"/>
          </w:tcPr>
          <w:p>
            <w:pPr>
              <w:pStyle w:val="null3"/>
            </w:pPr>
            <w:r>
              <w:rPr/>
              <w:t>▲</w:t>
            </w:r>
          </w:p>
        </w:tc>
        <w:tc>
          <w:tcPr>
            <w:tcW w:type="dxa" w:w="2769"/>
          </w:tcPr>
          <w:p>
            <w:pPr>
              <w:pStyle w:val="null3"/>
            </w:pPr>
            <w:r>
              <w:rPr/>
              <w:t>18</w:t>
            </w:r>
          </w:p>
        </w:tc>
        <w:tc>
          <w:tcPr>
            <w:tcW w:type="dxa" w:w="2769"/>
          </w:tcPr>
          <w:p>
            <w:pPr>
              <w:pStyle w:val="null3"/>
              <w:jc w:val="left"/>
            </w:pPr>
            <w:r>
              <w:rPr>
                <w:rFonts w:ascii="仿宋_gb2312" w:hAnsi="仿宋_gb2312" w:cs="仿宋_gb2312" w:eastAsia="仿宋_gb2312"/>
                <w:sz w:val="21"/>
              </w:rPr>
              <w:t>17、普通应用查询时间&lt;1s、事务处理查询时间平均&lt;2s统计分析类查询时间平均&lt;3s</w:t>
            </w:r>
          </w:p>
        </w:tc>
      </w:tr>
      <w:tr>
        <w:tc>
          <w:tcPr>
            <w:tcW w:type="dxa" w:w="2769"/>
          </w:tcPr>
          <w:p>
            <w:pPr>
              <w:pStyle w:val="null3"/>
            </w:pPr>
            <w:r>
              <w:rPr/>
              <w:t>▲</w:t>
            </w:r>
          </w:p>
        </w:tc>
        <w:tc>
          <w:tcPr>
            <w:tcW w:type="dxa" w:w="2769"/>
          </w:tcPr>
          <w:p>
            <w:pPr>
              <w:pStyle w:val="null3"/>
            </w:pPr>
            <w:r>
              <w:rPr/>
              <w:t>19</w:t>
            </w:r>
          </w:p>
        </w:tc>
        <w:tc>
          <w:tcPr>
            <w:tcW w:type="dxa" w:w="2769"/>
          </w:tcPr>
          <w:p>
            <w:pPr>
              <w:pStyle w:val="null3"/>
              <w:jc w:val="left"/>
            </w:pPr>
            <w:r>
              <w:rPr>
                <w:rFonts w:ascii="仿宋_gb2312" w:hAnsi="仿宋_gb2312" w:cs="仿宋_gb2312" w:eastAsia="仿宋_gb2312"/>
                <w:sz w:val="21"/>
              </w:rPr>
              <w:t>18、所开发算法及软件适配于DAS设备参数见以下：系统传感距离不低于35km，信号采样率最大支持50000Hz，能实现最高1.5m空间分辨率，系统激光安全有保障，等级不低于CLASS1级；占用算力配置不高于GPU 16G显存、主板32G内存；同时支持2通道数据采集；系统具备RJ45万兆通信接口和3.0USB接口通信协议</w:t>
            </w:r>
          </w:p>
        </w:tc>
      </w:tr>
      <w:tr>
        <w:tc>
          <w:tcPr>
            <w:tcW w:type="dxa" w:w="2769"/>
          </w:tcPr>
          <w:p>
            <w:pPr>
              <w:pStyle w:val="null3"/>
            </w:pPr>
            <w:r>
              <w:rPr/>
              <w:t>★</w:t>
            </w:r>
          </w:p>
        </w:tc>
        <w:tc>
          <w:tcPr>
            <w:tcW w:type="dxa" w:w="2769"/>
          </w:tcPr>
          <w:p>
            <w:pPr>
              <w:pStyle w:val="null3"/>
            </w:pPr>
            <w:r>
              <w:rPr/>
              <w:t>20</w:t>
            </w:r>
          </w:p>
        </w:tc>
        <w:tc>
          <w:tcPr>
            <w:tcW w:type="dxa" w:w="2769"/>
          </w:tcPr>
          <w:p>
            <w:pPr>
              <w:pStyle w:val="null3"/>
              <w:jc w:val="both"/>
            </w:pPr>
            <w:r>
              <w:rPr>
                <w:rFonts w:ascii="仿宋_gb2312" w:hAnsi="仿宋_gb2312" w:cs="仿宋_gb2312" w:eastAsia="仿宋_gb2312"/>
                <w:sz w:val="21"/>
              </w:rPr>
              <w:t>19、合同签订一周内提供包含上述技术参数和性能指标的完整技术方案，方案需评审通过后进入3.4.4付款流程。</w:t>
            </w:r>
          </w:p>
        </w:tc>
      </w:tr>
      <w:tr>
        <w:tc>
          <w:tcPr>
            <w:tcW w:type="dxa" w:w="2769"/>
          </w:tcPr>
          <w:p/>
        </w:tc>
        <w:tc>
          <w:tcPr>
            <w:tcW w:type="dxa" w:w="2769"/>
          </w:tcPr>
          <w:p>
            <w:pPr>
              <w:pStyle w:val="null3"/>
            </w:pPr>
            <w:r>
              <w:rPr/>
              <w:t>21</w:t>
            </w:r>
          </w:p>
        </w:tc>
        <w:tc>
          <w:tcPr>
            <w:tcW w:type="dxa" w:w="2769"/>
          </w:tcPr>
          <w:p>
            <w:pPr>
              <w:pStyle w:val="null3"/>
              <w:jc w:val="both"/>
            </w:pPr>
            <w:r>
              <w:rPr>
                <w:rFonts w:ascii="&quot;times new roman&quot;" w:hAnsi="&quot;times new roman&quot;" w:cs="&quot;times new roman&quot;" w:eastAsia="&quot;times new roman&quot;"/>
                <w:sz w:val="21"/>
              </w:rPr>
              <w:t>（二）服务要求：</w:t>
            </w:r>
          </w:p>
        </w:tc>
      </w:tr>
      <w:tr>
        <w:tc>
          <w:tcPr>
            <w:tcW w:type="dxa" w:w="2769"/>
          </w:tcPr>
          <w:p>
            <w:pPr>
              <w:pStyle w:val="null3"/>
            </w:pPr>
            <w:r>
              <w:rPr/>
              <w:t>★</w:t>
            </w:r>
          </w:p>
        </w:tc>
        <w:tc>
          <w:tcPr>
            <w:tcW w:type="dxa" w:w="2769"/>
          </w:tcPr>
          <w:p>
            <w:pPr>
              <w:pStyle w:val="null3"/>
            </w:pPr>
            <w:r>
              <w:rPr/>
              <w:t>22</w:t>
            </w:r>
          </w:p>
        </w:tc>
        <w:tc>
          <w:tcPr>
            <w:tcW w:type="dxa" w:w="2769"/>
          </w:tcPr>
          <w:p>
            <w:pPr>
              <w:pStyle w:val="null3"/>
              <w:jc w:val="both"/>
            </w:pPr>
            <w:r>
              <w:rPr>
                <w:rFonts w:ascii="仿宋_gb2312" w:hAnsi="仿宋_gb2312" w:cs="仿宋_gb2312" w:eastAsia="仿宋_gb2312"/>
                <w:sz w:val="21"/>
              </w:rPr>
              <w:t>系统软件及终身升级服务</w:t>
            </w:r>
          </w:p>
        </w:tc>
      </w:tr>
      <w:tr>
        <w:tc>
          <w:tcPr>
            <w:tcW w:type="dxa" w:w="2769"/>
          </w:tcPr>
          <w:p/>
        </w:tc>
        <w:tc>
          <w:tcPr>
            <w:tcW w:type="dxa" w:w="2769"/>
          </w:tcPr>
          <w:p>
            <w:pPr>
              <w:pStyle w:val="null3"/>
            </w:pPr>
            <w:r>
              <w:rPr/>
              <w:t>23</w:t>
            </w:r>
          </w:p>
        </w:tc>
        <w:tc>
          <w:tcPr>
            <w:tcW w:type="dxa" w:w="2769"/>
          </w:tcPr>
          <w:p>
            <w:pPr>
              <w:pStyle w:val="null3"/>
              <w:jc w:val="both"/>
            </w:pPr>
            <w:r>
              <w:rPr>
                <w:rFonts w:ascii="&quot;times new roman&quot;" w:hAnsi="&quot;times new roman&quot;" w:cs="&quot;times new roman&quot;" w:eastAsia="&quot;times new roman&quot;"/>
                <w:sz w:val="21"/>
              </w:rPr>
              <w:t>（三）售后服务：</w:t>
            </w:r>
          </w:p>
        </w:tc>
      </w:tr>
      <w:tr>
        <w:tc>
          <w:tcPr>
            <w:tcW w:type="dxa" w:w="2769"/>
          </w:tcPr>
          <w:p>
            <w:pPr>
              <w:pStyle w:val="null3"/>
            </w:pPr>
            <w:r>
              <w:rPr/>
              <w:t>▲</w:t>
            </w:r>
          </w:p>
        </w:tc>
        <w:tc>
          <w:tcPr>
            <w:tcW w:type="dxa" w:w="2769"/>
          </w:tcPr>
          <w:p>
            <w:pPr>
              <w:pStyle w:val="null3"/>
            </w:pPr>
            <w:r>
              <w:rPr/>
              <w:t>24</w:t>
            </w:r>
          </w:p>
        </w:tc>
        <w:tc>
          <w:tcPr>
            <w:tcW w:type="dxa" w:w="2769"/>
          </w:tcPr>
          <w:p>
            <w:pPr>
              <w:pStyle w:val="null3"/>
              <w:jc w:val="both"/>
            </w:pPr>
            <w:r>
              <w:rPr>
                <w:rFonts w:ascii="仿宋_gb2312" w:hAnsi="仿宋_gb2312" w:cs="仿宋_gb2312" w:eastAsia="仿宋_gb2312"/>
                <w:sz w:val="21"/>
              </w:rPr>
              <w:t>即时响应（包括电话响应）；若遇设备故障应及时提供解决方案。</w:t>
            </w:r>
          </w:p>
        </w:tc>
      </w:tr>
      <w:tr>
        <w:tc>
          <w:tcPr>
            <w:tcW w:type="dxa" w:w="2769"/>
          </w:tcPr>
          <w:p>
            <w:pPr>
              <w:pStyle w:val="null3"/>
            </w:pPr>
            <w:r>
              <w:rPr/>
              <w:t>★</w:t>
            </w:r>
          </w:p>
        </w:tc>
        <w:tc>
          <w:tcPr>
            <w:tcW w:type="dxa" w:w="2769"/>
          </w:tcPr>
          <w:p>
            <w:pPr>
              <w:pStyle w:val="null3"/>
            </w:pPr>
            <w:r>
              <w:rPr/>
              <w:t>25</w:t>
            </w:r>
          </w:p>
        </w:tc>
        <w:tc>
          <w:tcPr>
            <w:tcW w:type="dxa" w:w="2769"/>
          </w:tcPr>
          <w:p>
            <w:pPr>
              <w:pStyle w:val="null3"/>
              <w:jc w:val="both"/>
            </w:pPr>
            <w:r>
              <w:rPr>
                <w:rFonts w:ascii="仿宋_gb2312" w:hAnsi="仿宋_gb2312" w:cs="仿宋_gb2312" w:eastAsia="仿宋_gb2312"/>
                <w:sz w:val="21"/>
              </w:rPr>
              <w:t>（四）商务条款补充说明。本章</w:t>
            </w:r>
            <w:r>
              <w:rPr>
                <w:rFonts w:ascii="仿宋_gb2312" w:hAnsi="仿宋_gb2312" w:cs="仿宋_gb2312" w:eastAsia="仿宋_gb2312"/>
                <w:sz w:val="21"/>
              </w:rPr>
              <w:t>3.4商务条款的内容均为实质性条款，不满足，投标将被否决。</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交付时间：自合同签订之日起三周内。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签订合同前向采购人缴纳5%的履约保证金，合同签订后（支付预付款）具体为</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项目完成验收合格之后</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招标文件和投标文件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系统软件及终身升级服务</w:t>
      </w:r>
    </w:p>
    <w:p>
      <w:pPr>
        <w:pStyle w:val="null3"/>
        <w:outlineLvl w:val="3"/>
      </w:pPr>
      <w:r>
        <w:rPr>
          <w:sz w:val="24"/>
          <w:b/>
        </w:rPr>
        <w:t>3.4.8违约责任与解决争议的方法</w:t>
      </w:r>
    </w:p>
    <w:p>
      <w:pPr>
        <w:pStyle w:val="null3"/>
      </w:pPr>
      <w:r>
        <w:rPr/>
        <w:t>采购包1：</w:t>
      </w:r>
    </w:p>
    <w:p>
      <w:pPr>
        <w:pStyle w:val="null3"/>
      </w:pPr>
      <w:r>
        <w:rPr/>
        <w:t>（1）违约责任：按《中华人民共和国民法典》和合同文本执行。 （2）解决争议的方法：友好协商，若协商不成在采购人所在地人民法院进行诉讼。</w:t>
      </w:r>
    </w:p>
    <w:p>
      <w:pPr>
        <w:pStyle w:val="null3"/>
        <w:jc w:val="left"/>
        <w:outlineLvl w:val="2"/>
      </w:pPr>
      <w:r>
        <w:rPr>
          <w:sz w:val="28"/>
          <w:b/>
        </w:rPr>
        <w:t>3.5其他要求</w:t>
      </w:r>
    </w:p>
    <w:p>
      <w:pPr>
        <w:pStyle w:val="null3"/>
      </w:pPr>
      <w:r>
        <w:rPr/>
        <w:t>1.知识产权归采购人所有，包括但不限于系统软件及软件代码、所有算法、软件代码说明书、算法说明书、技术文档和成果数据。供应商不得将本项目涉及的任何技术、算法、数据或其他知识产权用于其他商业或非商业目的，也不得转让、许可或泄露给第三方。若供应商在项目实施中使用了自有知识产权或第三方授权技术，应确保采购人对最终成果拥有不受限制的使用权，并承担因知识产权侵权引起的一切法律责任。 2.付款方式：因系统设置原因，本章3.4.4支付约定描述不全之处，以本条为准（签订合同前向采购人缴纳5%的履约保证金，合同签订后（支付预付款）具体为，达到付款条件起30日内，支付合同总金额的40.00%；项目完成验收合格之后，达到付款条件起30日内，支付合同总金额的60%，同时缴纳的5%履约保证金无质量问题一次性无息退还。 注：在付款前必须开具全额增值税发票给采购人）。 3.残疾人福利性单位及监狱企业视同为小型、微型企业。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（一）具有独立承担民事责任的能力。 提供注册登记凭证（营业执照、其他组织经营的合法凭证，自然人的提供身份 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定代表人授权委托书或法定代表人证明书。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投标文件的完整性审查</w:t>
            </w:r>
          </w:p>
        </w:tc>
        <w:tc>
          <w:tcPr>
            <w:tcW w:type="dxa" w:w="3322"/>
          </w:tcPr>
          <w:p>
            <w:pPr>
              <w:pStyle w:val="null3"/>
            </w:pPr>
            <w:r>
              <w:rPr/>
              <w:t>投标文件是否按照招标文件要求的格式编写</w:t>
            </w:r>
          </w:p>
        </w:tc>
        <w:tc>
          <w:tcPr>
            <w:tcW w:type="dxa" w:w="1661"/>
          </w:tcPr>
          <w:p>
            <w:pPr>
              <w:pStyle w:val="null3"/>
            </w:pPr>
            <w:r>
              <w:rPr/>
              <w:t>产品技术参数表 投标方案说明书 投标函 商务应答表 标的清单 投标文件封面</w:t>
            </w:r>
          </w:p>
        </w:tc>
      </w:tr>
      <w:tr>
        <w:tc>
          <w:tcPr>
            <w:tcW w:type="dxa" w:w="831"/>
          </w:tcPr>
          <w:p>
            <w:pPr>
              <w:pStyle w:val="null3"/>
            </w:pPr>
            <w:r>
              <w:rPr/>
              <w:t>3</w:t>
            </w:r>
          </w:p>
        </w:tc>
        <w:tc>
          <w:tcPr>
            <w:tcW w:type="dxa" w:w="2492"/>
          </w:tcPr>
          <w:p>
            <w:pPr>
              <w:pStyle w:val="null3"/>
            </w:pPr>
            <w:r>
              <w:rPr/>
              <w:t>投标文件的有效性审查</w:t>
            </w:r>
          </w:p>
        </w:tc>
        <w:tc>
          <w:tcPr>
            <w:tcW w:type="dxa" w:w="3322"/>
          </w:tcPr>
          <w:p>
            <w:pPr>
              <w:pStyle w:val="null3"/>
            </w:pPr>
            <w:r>
              <w:rPr/>
              <w:t>1、投标文件的签署、加盖印章是否有效； 2、提供的各种证明文件、数据、资料是否有效。</w:t>
            </w:r>
          </w:p>
        </w:tc>
        <w:tc>
          <w:tcPr>
            <w:tcW w:type="dxa" w:w="1661"/>
          </w:tcPr>
          <w:p>
            <w:pPr>
              <w:pStyle w:val="null3"/>
            </w:pPr>
            <w:r>
              <w:rPr/>
              <w:t>产品技术参数表 投标方案说明书 投标函 商务应答表 标的清单 投标文件封面</w:t>
            </w:r>
          </w:p>
        </w:tc>
      </w:tr>
      <w:tr>
        <w:tc>
          <w:tcPr>
            <w:tcW w:type="dxa" w:w="831"/>
          </w:tcPr>
          <w:p>
            <w:pPr>
              <w:pStyle w:val="null3"/>
            </w:pPr>
            <w:r>
              <w:rPr/>
              <w:t>4</w:t>
            </w:r>
          </w:p>
        </w:tc>
        <w:tc>
          <w:tcPr>
            <w:tcW w:type="dxa" w:w="2492"/>
          </w:tcPr>
          <w:p>
            <w:pPr>
              <w:pStyle w:val="null3"/>
            </w:pPr>
            <w:r>
              <w:rPr/>
              <w:t>投标文件的响应性审查</w:t>
            </w:r>
          </w:p>
        </w:tc>
        <w:tc>
          <w:tcPr>
            <w:tcW w:type="dxa" w:w="3322"/>
          </w:tcPr>
          <w:p>
            <w:pPr>
              <w:pStyle w:val="null3"/>
            </w:pPr>
            <w:r>
              <w:rPr/>
              <w:t>1、投标报价是否超过采购预算； 2、投标报价有效期是否符合招标文件的要求； 3、投标文件内容是否符合国家法律法规； 4、是否响应实质性条款。</w:t>
            </w:r>
          </w:p>
        </w:tc>
        <w:tc>
          <w:tcPr>
            <w:tcW w:type="dxa" w:w="1661"/>
          </w:tcPr>
          <w:p>
            <w:pPr>
              <w:pStyle w:val="null3"/>
            </w:pPr>
            <w:r>
              <w:rPr/>
              <w:t>产品技术参数表 投标方案说明书 投标函 商务应答表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标注“▲”技术指标全部满足招标文件要求得20分，每出现一项负偏离扣5分，扣完为止。</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投标方案说明书</w:t>
            </w:r>
          </w:p>
        </w:tc>
      </w:tr>
      <w:tr>
        <w:tc>
          <w:tcPr>
            <w:tcW w:type="dxa" w:w="831"/>
            <w:vMerge/>
          </w:tcPr>
          <w:p/>
        </w:tc>
        <w:tc>
          <w:tcPr>
            <w:tcW w:type="dxa" w:w="1661"/>
          </w:tcPr>
          <w:p>
            <w:pPr>
              <w:pStyle w:val="null3"/>
            </w:pPr>
            <w:r>
              <w:rPr/>
              <w:t>实施方案</w:t>
            </w:r>
          </w:p>
        </w:tc>
        <w:tc>
          <w:tcPr>
            <w:tcW w:type="dxa" w:w="2492"/>
          </w:tcPr>
          <w:p>
            <w:pPr>
              <w:pStyle w:val="null3"/>
            </w:pPr>
            <w:r>
              <w:rPr/>
              <w:t>投标人针对本项目提供完整的项目实施计划方案（至少包括（1）项目实施进度、计划；（2）项目人员组织；（3）项目实施方案；（4）项目保障措施计划；（5）验收方案）。 评审标准：完整性：方案全面，对评审内容中的各项要求有详细描述； 可实施性：切合本项目实际情况，方案步骤清晰、合理；针对性：方案能够紧扣项目实际情况，内容科学合理。 方案完整、具有很强的可实施性和针对性，得15-8分（不含8分）； 方案完整，实施性和针对性一般，得8-4分（不含4分）； 方案完整，缺少项目针对性、可实施性，得4-1分。 未提供实施方案，得0分。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技术方案</w:t>
            </w:r>
          </w:p>
        </w:tc>
        <w:tc>
          <w:tcPr>
            <w:tcW w:type="dxa" w:w="2492"/>
          </w:tcPr>
          <w:p>
            <w:pPr>
              <w:pStyle w:val="null3"/>
            </w:pPr>
            <w:r>
              <w:rPr/>
              <w:t>投标人针对本项目提供完整的技术方案（至少包括（1）技术路线；（2）开发方案；（3）系统架构；（4）软件及硬件安装调试；（5）试运行）。 评审标准：完整性：方案全面，对评审内容中的各项要求有详细描述； 可实施性：切合本项目实际情况，方案步骤清晰、合理；针对性：方案能够紧扣项目实际情况，内容科学合理。 方案完整、具有很强的可实施性和针对性，得12-7分（不含7分）； 方案完整，实施性和针对性一般，得7-4分（不含4分）； 方案完整，缺少项目针对性、可实施性，得4-1分。 未提供技术方案，得0分。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核心技术团队</w:t>
            </w:r>
          </w:p>
        </w:tc>
        <w:tc>
          <w:tcPr>
            <w:tcW w:type="dxa" w:w="2492"/>
          </w:tcPr>
          <w:p>
            <w:pPr>
              <w:pStyle w:val="null3"/>
            </w:pPr>
            <w:r>
              <w:rPr/>
              <w:t>投标人应对项目需求充分理解，合理安排项目技术人员。 提供核心技术人员证书复印件以及参保证明复印件：项目团队中至少有两名信息系统项目管理师或PMP的管理人员，每个得1分，共3分。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项目管理质量保证方案</w:t>
            </w:r>
          </w:p>
        </w:tc>
        <w:tc>
          <w:tcPr>
            <w:tcW w:type="dxa" w:w="2492"/>
          </w:tcPr>
          <w:p>
            <w:pPr>
              <w:pStyle w:val="null3"/>
            </w:pPr>
            <w:r>
              <w:rPr/>
              <w:t>根据投标人提供的项目管理和质量保证方案进行评分：提供的项目管理方案（包括但不限于研发、部署调试、测试及上线计划等项目进度计划、拟投入人员配备、风险应对措施等）和质量保证方案（质量保证组织架构、质量目标策划、质量目标监控、质量控制措施、质量数据分析等） 评审标准： 完整性：方案全面，对评审内容中的各项要求有详细描述； 可实施性：切合本项目实际情况，方案步骤清晰、合理；针对性：方案能够紧扣项目实际情况，内容科学合理。 方案完整、具有很强的可实施性和针对性，得5-3分（不含3分）； 方案基本完整，实施性和针对性一般，得3-1分（不含1分）； 方案不完整或缺少项目针对性或缺少可实施性，得1-0分。 未提供项目管理质量保证方案，得0分。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售后服务及 培训方案</w:t>
            </w:r>
          </w:p>
        </w:tc>
        <w:tc>
          <w:tcPr>
            <w:tcW w:type="dxa" w:w="2492"/>
          </w:tcPr>
          <w:p>
            <w:pPr>
              <w:pStyle w:val="null3"/>
            </w:pPr>
            <w:r>
              <w:rPr/>
              <w:t>提供售后服务及培训方案：（1）售后服务方案，本地化技术服务支持能力说明。（2）培训方案及培训计划，并列出培训的具体内容及方式，确保使用人员能够独立操作，并进行简单故障排查处理。（3）应急方案（项目实施及维护过程中处理突发事件时的应急预案、补救措施）。 评审标准： 完整性：方案全面，对评审内容中的各项要求有详细描述； 可实施性：切合本项目实际情况，方案步骤清晰、合理；针对性：方案能够紧扣项目实际情况，内容科学合理。 方案完整、具有很强的可实施性和针对性，得10-7分（不含7分）； 方案基本完整，实施性和针对性一般，得7-4分（不含4分）； 方案不完整或缺少项目针对性或缺少可实施性，得4-1分。 未提供售后服务及培训方案，得0分。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产品质量保障</w:t>
            </w:r>
          </w:p>
        </w:tc>
        <w:tc>
          <w:tcPr>
            <w:tcW w:type="dxa" w:w="2492"/>
          </w:tcPr>
          <w:p>
            <w:pPr>
              <w:pStyle w:val="null3"/>
            </w:pPr>
            <w:r>
              <w:rPr/>
              <w:t>每提供1个与本次采购内容所涉及产品或功能相关的计算机软件著作权证书得1分，最高得2分，不提供不得分。（投标文件中提供复印件加盖厂商公章，需提供中国版权保护中心网截图，否则不得分）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业绩</w:t>
            </w:r>
          </w:p>
        </w:tc>
        <w:tc>
          <w:tcPr>
            <w:tcW w:type="dxa" w:w="2492"/>
          </w:tcPr>
          <w:p>
            <w:pPr>
              <w:pStyle w:val="null3"/>
            </w:pPr>
            <w:r>
              <w:rPr/>
              <w:t>提供所投产品厂商或投标人近三年类似项目业绩（2021年1月1日至今，以合同签订时间为准），投标文件中提供合同复印件加盖公章，每提供一个计1分，满分3分。 注：合同要求：至少包含首页、反映采购内容页、签字盖章、合同签署时间信息等内容。</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详见附件：投标方案说明书</w:t>
      </w:r>
    </w:p>
    <w:p>
      <w:pPr>
        <w:pStyle w:val="null3"/>
        <w:ind w:firstLine="960"/>
      </w:pPr>
      <w:r>
        <w:rPr/>
        <w:t>详见附件：业绩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