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2024年省财政异地容灾备份系统二期硬件维保服务项目</w:t>
      </w:r>
    </w:p>
    <w:p>
      <w:pPr>
        <w:pStyle w:val="null3"/>
        <w:jc w:val="center"/>
        <w:outlineLvl w:val="2"/>
      </w:pPr>
      <w:r>
        <w:rPr>
          <w:sz w:val="28"/>
          <w:b/>
        </w:rPr>
        <w:t>采购项目编号：</w:t>
      </w:r>
      <w:r>
        <w:rPr>
          <w:sz w:val="28"/>
          <w:b/>
        </w:rPr>
        <w:t>HC-FZB-2024-118-1</w:t>
      </w:r>
      <w:r>
        <w:br/>
      </w:r>
      <w:r>
        <w:br/>
      </w:r>
      <w:r>
        <w:br/>
      </w:r>
    </w:p>
    <w:p>
      <w:pPr>
        <w:pStyle w:val="null3"/>
        <w:jc w:val="center"/>
        <w:outlineLvl w:val="2"/>
      </w:pPr>
      <w:r>
        <w:rPr>
          <w:sz w:val="28"/>
          <w:b/>
        </w:rPr>
        <w:t>陕西省财政厅机关</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2024年11月05日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华春建设工程项目管理有限责任公司</w:t>
      </w:r>
      <w:r>
        <w:rPr/>
        <w:t>（以下简称“代理机构”）受</w:t>
      </w:r>
      <w:r>
        <w:rPr/>
        <w:t>陕西省财政厅机关</w:t>
      </w:r>
      <w:r>
        <w:rPr/>
        <w:t>委托，拟对</w:t>
      </w:r>
      <w:r>
        <w:rPr/>
        <w:t>2024年省财政异地容灾备份系统二期硬件维保服务项目</w:t>
      </w:r>
      <w:r>
        <w:rPr/>
        <w:t>采用竞争性磋商采购方式进行采购，兹邀请供应商参加本项目的竞争性磋商。</w:t>
      </w:r>
    </w:p>
    <w:p>
      <w:pPr>
        <w:pStyle w:val="null3"/>
        <w:outlineLvl w:val="2"/>
      </w:pPr>
      <w:r>
        <w:rPr>
          <w:sz w:val="28"/>
          <w:b/>
        </w:rPr>
        <w:t>一、项目编号：</w:t>
      </w:r>
      <w:r>
        <w:rPr>
          <w:sz w:val="28"/>
          <w:b/>
        </w:rPr>
        <w:t>HC-FZB-2024-118-1</w:t>
      </w:r>
    </w:p>
    <w:p>
      <w:pPr>
        <w:pStyle w:val="null3"/>
        <w:outlineLvl w:val="2"/>
      </w:pPr>
      <w:r>
        <w:rPr>
          <w:sz w:val="28"/>
          <w:b/>
        </w:rPr>
        <w:t>二、项目名称：</w:t>
      </w:r>
      <w:r>
        <w:rPr>
          <w:sz w:val="28"/>
          <w:b/>
        </w:rPr>
        <w:t>2024年省财政异地容灾备份系统二期硬件维保服务项目</w:t>
      </w:r>
    </w:p>
    <w:p>
      <w:pPr>
        <w:pStyle w:val="null3"/>
        <w:outlineLvl w:val="2"/>
      </w:pPr>
      <w:r>
        <w:rPr>
          <w:sz w:val="28"/>
          <w:b/>
        </w:rPr>
        <w:t>三、磋商项目简介</w:t>
      </w:r>
    </w:p>
    <w:p>
      <w:pPr>
        <w:pStyle w:val="null3"/>
        <w:ind w:firstLine="480"/>
      </w:pPr>
      <w:r>
        <w:rPr/>
        <w:t>对异地容灾备份系统二期硬件设备进行维保，包括定期的巡检、日常维护、故障部件的更换，设备参数的调整，必要的维护等。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1、主体资格身份：具有独立承担民事责任能力的法人、其他组织或自然人，并出具合法有效的营业执照或事业单位法人证书等国家规定的相关证明，自然人参与的提供其身份证明书；</w:t>
      </w:r>
    </w:p>
    <w:p>
      <w:pPr>
        <w:pStyle w:val="null3"/>
      </w:pPr>
      <w:r>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t>3、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t>4、税收缴纳证明：提供自2023年10月1日至今已缴纳的至少一个月的纳税证明或完税证明，纳税证明或完税证明上应有代收机构或税务机关的公章或业务专用章，依法免税的服务商应提供相关文件证明；</w:t>
      </w:r>
    </w:p>
    <w:p>
      <w:pPr>
        <w:pStyle w:val="null3"/>
      </w:pPr>
      <w:r>
        <w:rPr/>
        <w:t>5、社会保障资金缴纳证明：提供供应商2023年10月1日至今已缴存的任意一个月的社会保障资金缴存单据或社保机构开具的社会保险参保缴费情况证明；依法不需要缴纳社会保障资金的应提供相关文件证明；</w:t>
      </w:r>
    </w:p>
    <w:p>
      <w:pPr>
        <w:pStyle w:val="null3"/>
      </w:pPr>
      <w:r>
        <w:rPr/>
        <w:t>6、无重大违法记录：参加政府采购活动前3年内，在经营活动中没有重大违法记录；</w:t>
      </w:r>
    </w:p>
    <w:p>
      <w:pPr>
        <w:pStyle w:val="null3"/>
      </w:pPr>
      <w:r>
        <w:rPr/>
        <w:t>7、书面声明：提供具有履行本合同所必需的设备和专业技术能力的声明；</w:t>
      </w:r>
    </w:p>
    <w:p>
      <w:pPr>
        <w:pStyle w:val="null3"/>
      </w:pPr>
      <w:r>
        <w:rPr/>
        <w:t>8、信用查询(采购人或采购代理机构开标当天查询,供应商无须提供截图)：供应商不得为“信用中国”网站 （www.creditchina.gov.cn）中列入失信被执行人和重大税收违法案件当事人名单的供应商，不得为中国政府采购网 （www.ccgp.gov.cn）政府采购严重违法失信行为记录名单中被财政部门禁止参加政府采购活动的供应商；</w:t>
      </w:r>
    </w:p>
    <w:p>
      <w:pPr>
        <w:pStyle w:val="null3"/>
      </w:pPr>
      <w:r>
        <w:rPr/>
        <w:t>9、控股管理关系：本项目不接受联合体磋商，投标单位负责人为同一人或者存在控股、管理关系的不同单位，不得参加同一招标项目投标；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陕西省财政厅机关</w:t>
      </w:r>
    </w:p>
    <w:p>
      <w:pPr>
        <w:pStyle w:val="null3"/>
      </w:pPr>
      <w:r>
        <w:rPr/>
        <w:t xml:space="preserve"> 地址： </w:t>
      </w:r>
      <w:r>
        <w:rPr/>
        <w:t>西安市北院门街道冰窖巷</w:t>
      </w:r>
    </w:p>
    <w:p>
      <w:pPr>
        <w:pStyle w:val="null3"/>
      </w:pPr>
      <w:r>
        <w:rPr/>
        <w:t xml:space="preserve"> 邮编： </w:t>
      </w:r>
      <w:r>
        <w:rPr/>
        <w:t>710000</w:t>
      </w:r>
    </w:p>
    <w:p>
      <w:pPr>
        <w:pStyle w:val="null3"/>
      </w:pPr>
      <w:r>
        <w:rPr/>
        <w:t xml:space="preserve"> 联系人： </w:t>
      </w:r>
      <w:r>
        <w:rPr/>
        <w:t>黄卫东</w:t>
      </w:r>
    </w:p>
    <w:p>
      <w:pPr>
        <w:pStyle w:val="null3"/>
      </w:pPr>
      <w:r>
        <w:rPr/>
        <w:t xml:space="preserve"> 联系电话： </w:t>
      </w:r>
      <w:r>
        <w:rPr/>
        <w:t>029-68936196</w:t>
      </w:r>
    </w:p>
    <w:p>
      <w:pPr>
        <w:pStyle w:val="null3"/>
        <w:outlineLvl w:val="3"/>
      </w:pPr>
      <w:r>
        <w:rPr>
          <w:sz w:val="24"/>
          <w:b/>
        </w:rPr>
        <w:t>代理机构：</w:t>
      </w:r>
      <w:r>
        <w:rPr>
          <w:sz w:val="24"/>
          <w:b/>
        </w:rPr>
        <w:t>华春建设工程项目管理有限责任公司</w:t>
      </w:r>
    </w:p>
    <w:p>
      <w:pPr>
        <w:pStyle w:val="null3"/>
      </w:pPr>
      <w:r>
        <w:rPr/>
        <w:t xml:space="preserve"> 地址： </w:t>
      </w:r>
      <w:r>
        <w:rPr/>
        <w:t>陕西省西安市南二环西段成长大厦8楼</w:t>
      </w:r>
    </w:p>
    <w:p>
      <w:pPr>
        <w:pStyle w:val="null3"/>
      </w:pPr>
      <w:r>
        <w:rPr/>
        <w:t xml:space="preserve"> 邮编： </w:t>
      </w:r>
      <w:r>
        <w:rPr/>
        <w:t>710000</w:t>
      </w:r>
    </w:p>
    <w:p>
      <w:pPr>
        <w:pStyle w:val="null3"/>
      </w:pPr>
      <w:r>
        <w:rPr/>
        <w:t xml:space="preserve"> 联系人： </w:t>
      </w:r>
      <w:r>
        <w:rPr/>
        <w:t>张工</w:t>
      </w:r>
    </w:p>
    <w:p>
      <w:pPr>
        <w:pStyle w:val="null3"/>
      </w:pPr>
      <w:r>
        <w:rPr/>
        <w:t xml:space="preserve"> 联系电话： </w:t>
      </w:r>
      <w:r>
        <w:rPr/>
        <w:t>18392767108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采购包1：925,000.00元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考国家计委《招标代理服务收费管理暂行办法》计价格[2002]1980号、国家发展改革委办公厅《关于招标代理服务收费有关问题的通知》发改办价格［2003］857号规定的标准下浮30%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陕西省财政厅机关</w:t>
      </w:r>
      <w:r>
        <w:rPr/>
        <w:t>和</w:t>
      </w:r>
      <w:r>
        <w:rPr/>
        <w:t>华春建设工程项目管理有限责任公司</w:t>
      </w:r>
      <w:r>
        <w:rPr/>
        <w:t>享有。对磋商文件中供应商参加本次政府采购活动应当具备的条件，磋商项目技术、服务、商务及其他要求，评审细则及标准由</w:t>
      </w:r>
      <w:r>
        <w:rPr/>
        <w:t>陕西省财政厅机关</w:t>
      </w:r>
      <w:r>
        <w:rPr/>
        <w:t>负责解释。除上述磋商文件内容，其他内容由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陕西省财政厅机关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严格按照《陕西省财政厅网络安全和信息化项目验收管理办法》规定执行。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联系电话：18392767108</w:t>
      </w:r>
    </w:p>
    <w:p>
      <w:pPr>
        <w:pStyle w:val="null3"/>
      </w:pPr>
      <w:r>
        <w:rPr/>
        <w:t>地址：陕西省西安市南二环西段成长大厦8楼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对异地容灾备份系统二期硬件设备进行维保，包括定期的巡检、日常维护、故障部件的更换，设备参数的调整，必要的维护等。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925,000.00</w:t>
      </w:r>
    </w:p>
    <w:p>
      <w:pPr>
        <w:pStyle w:val="null3"/>
      </w:pPr>
      <w:r>
        <w:rPr/>
        <w:t>采购包最高限价（元）: 925,000.00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运维服务</w:t>
            </w:r>
          </w:p>
        </w:tc>
        <w:tc>
          <w:tcPr>
            <w:tcW w:type="dxa" w:w="831"/>
          </w:tcPr>
          <w:p>
            <w:pPr>
              <w:pStyle w:val="null3"/>
              <w:jc w:val="right"/>
            </w:pPr>
            <w:r>
              <w:rPr/>
              <w:t>1.00</w:t>
            </w:r>
          </w:p>
        </w:tc>
        <w:tc>
          <w:tcPr>
            <w:tcW w:type="dxa" w:w="831"/>
          </w:tcPr>
          <w:p>
            <w:pPr>
              <w:pStyle w:val="null3"/>
              <w:jc w:val="right"/>
            </w:pPr>
            <w:r>
              <w:rPr/>
              <w:t>925,000.00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4"/>
              <w:gridCol w:w="117"/>
              <w:gridCol w:w="2266"/>
            </w:tblGrid>
            <w:tr>
              <w:tc>
                <w:tcPr>
                  <w:tcW w:type="dxa" w:w="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宋体" w:hAnsi="宋体" w:cs="宋体" w:eastAsia="宋体"/>
                      <w:sz w:val="22"/>
                    </w:rPr>
                    <w:t>参数</w:t>
                  </w:r>
                </w:p>
                <w:p>
                  <w:pPr>
                    <w:pStyle w:val="null3"/>
                    <w:ind w:left="90"/>
                    <w:jc w:val="center"/>
                  </w:pPr>
                  <w:r>
                    <w:rPr>
                      <w:rFonts w:ascii="宋体" w:hAnsi="宋体" w:cs="宋体" w:eastAsia="宋体"/>
                      <w:sz w:val="22"/>
                    </w:rPr>
                    <w:t>性质</w:t>
                  </w:r>
                </w:p>
              </w:tc>
              <w:tc>
                <w:tcPr>
                  <w:tcW w:type="dxa" w:w="1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宋体" w:hAnsi="宋体" w:cs="宋体" w:eastAsia="宋体"/>
                      <w:sz w:val="22"/>
                    </w:rPr>
                    <w:t>序号</w:t>
                  </w:r>
                </w:p>
              </w:tc>
              <w:tc>
                <w:tcPr>
                  <w:tcW w:type="dxa" w:w="22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宋体" w:hAnsi="宋体" w:cs="宋体" w:eastAsia="宋体"/>
                      <w:sz w:val="22"/>
                    </w:rPr>
                    <w:t>技术参数与性能指标</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2"/>
                    </w:rPr>
                    <w:t>1</w:t>
                  </w:r>
                </w:p>
              </w:tc>
              <w:tc>
                <w:tcPr>
                  <w:tcW w:type="dxa" w:w="2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85"/>
                    <w:jc w:val="left"/>
                  </w:pPr>
                  <w:r>
                    <w:rPr>
                      <w:rFonts w:ascii="宋体" w:hAnsi="宋体" w:cs="宋体" w:eastAsia="宋体"/>
                      <w:sz w:val="24"/>
                    </w:rPr>
                    <w:t>一、技术需求</w:t>
                  </w:r>
                </w:p>
                <w:p>
                  <w:pPr>
                    <w:pStyle w:val="null3"/>
                    <w:ind w:left="270"/>
                    <w:jc w:val="left"/>
                  </w:pPr>
                  <w:r>
                    <w:rPr>
                      <w:rFonts w:ascii="宋体" w:hAnsi="宋体" w:cs="宋体" w:eastAsia="宋体"/>
                      <w:sz w:val="24"/>
                    </w:rPr>
                    <w:t>（一）项目交付周期：一年</w:t>
                  </w:r>
                </w:p>
                <w:p>
                  <w:pPr>
                    <w:pStyle w:val="null3"/>
                    <w:ind w:left="285" w:right="180"/>
                    <w:jc w:val="left"/>
                  </w:pPr>
                  <w:r>
                    <w:rPr>
                      <w:rFonts w:ascii="宋体" w:hAnsi="宋体" w:cs="宋体" w:eastAsia="宋体"/>
                      <w:sz w:val="24"/>
                    </w:rPr>
                    <w:t>（二）项目交付地点：省信息中心机房、延安新区党政云数</w:t>
                  </w:r>
                  <w:r>
                    <w:rPr>
                      <w:rFonts w:ascii="宋体" w:hAnsi="宋体" w:cs="宋体" w:eastAsia="宋体"/>
                      <w:sz w:val="24"/>
                    </w:rPr>
                    <w:t>据中心机房</w:t>
                  </w:r>
                </w:p>
                <w:p>
                  <w:pPr>
                    <w:pStyle w:val="null3"/>
                    <w:ind w:left="270"/>
                    <w:jc w:val="left"/>
                  </w:pPr>
                  <w:r>
                    <w:rPr>
                      <w:rFonts w:ascii="宋体" w:hAnsi="宋体" w:cs="宋体" w:eastAsia="宋体"/>
                      <w:sz w:val="24"/>
                    </w:rPr>
                    <w:t>（三）项目功能</w:t>
                  </w:r>
                </w:p>
                <w:p>
                  <w:pPr>
                    <w:pStyle w:val="null3"/>
                    <w:ind w:left="180" w:right="180" w:firstLine="651"/>
                    <w:jc w:val="both"/>
                  </w:pPr>
                  <w:r>
                    <w:rPr>
                      <w:rFonts w:ascii="宋体" w:hAnsi="宋体" w:cs="宋体" w:eastAsia="宋体"/>
                      <w:sz w:val="24"/>
                    </w:rPr>
                    <w:t>对异地容灾备份系统二期硬件设备（详见下表）进行维</w:t>
                  </w:r>
                  <w:r>
                    <w:rPr>
                      <w:rFonts w:ascii="宋体" w:hAnsi="宋体" w:cs="宋体" w:eastAsia="宋体"/>
                      <w:sz w:val="24"/>
                    </w:rPr>
                    <w:t>保，包括定期的巡检、日常维护、故障部件的更换</w:t>
                  </w:r>
                  <w:r>
                    <w:rPr>
                      <w:rFonts w:ascii="宋体" w:hAnsi="宋体" w:cs="宋体" w:eastAsia="宋体"/>
                      <w:sz w:val="24"/>
                    </w:rPr>
                    <w:t>，设备参</w:t>
                  </w:r>
                  <w:r>
                    <w:rPr>
                      <w:rFonts w:ascii="宋体" w:hAnsi="宋体" w:cs="宋体" w:eastAsia="宋体"/>
                      <w:sz w:val="24"/>
                    </w:rPr>
                    <w:t>数的调整，必要的维护等。</w:t>
                  </w:r>
                </w:p>
                <w:p>
                  <w:pPr>
                    <w:pStyle w:val="null3"/>
                    <w:ind w:left="300" w:right="5505"/>
                    <w:jc w:val="left"/>
                  </w:pPr>
                  <w:r>
                    <w:rPr>
                      <w:rFonts w:ascii="宋体" w:hAnsi="宋体" w:cs="宋体" w:eastAsia="宋体"/>
                      <w:sz w:val="24"/>
                    </w:rPr>
                    <w:t>（四）项目技术需求</w:t>
                  </w:r>
                </w:p>
                <w:p>
                  <w:pPr>
                    <w:pStyle w:val="null3"/>
                    <w:ind w:left="300" w:right="5505"/>
                    <w:jc w:val="left"/>
                  </w:pPr>
                  <w:r>
                    <w:rPr>
                      <w:rFonts w:ascii="宋体" w:hAnsi="宋体" w:cs="宋体" w:eastAsia="宋体"/>
                      <w:sz w:val="24"/>
                    </w:rPr>
                    <w:t>1.服务器设备清单</w:t>
                  </w:r>
                </w:p>
                <w:tbl>
                  <w:tblPr>
                    <w:tblInd w:type="dxa" w:w="120"/>
                    <w:tblBorders>
                      <w:top w:val="none" w:color="000000" w:sz="4"/>
                      <w:left w:val="none" w:color="000000" w:sz="4"/>
                      <w:bottom w:val="none" w:color="000000" w:sz="4"/>
                      <w:right w:val="none" w:color="000000" w:sz="4"/>
                      <w:insideH w:val="none"/>
                      <w:insideV w:val="none"/>
                    </w:tblBorders>
                  </w:tblPr>
                  <w:tblGrid>
                    <w:gridCol w:w="128"/>
                    <w:gridCol w:w="188"/>
                    <w:gridCol w:w="540"/>
                    <w:gridCol w:w="533"/>
                    <w:gridCol w:w="466"/>
                    <w:gridCol w:w="185"/>
                  </w:tblGrid>
                  <w:tr>
                    <w:tc>
                      <w:tcPr>
                        <w:tcW w:type="dxa" w:w="12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2"/>
                            <w:color w:val="000000"/>
                          </w:rPr>
                          <w:t>设备名称</w:t>
                        </w:r>
                      </w:p>
                    </w:tc>
                    <w:tc>
                      <w:tcPr>
                        <w:tcW w:type="dxa" w:w="18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19"/>
                          </w:rPr>
                          <w:t>序号</w:t>
                        </w:r>
                      </w:p>
                    </w:tc>
                    <w:tc>
                      <w:tcPr>
                        <w:tcW w:type="dxa" w:w="5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19"/>
                          </w:rPr>
                          <w:t>名称</w:t>
                        </w:r>
                      </w:p>
                    </w:tc>
                    <w:tc>
                      <w:tcPr>
                        <w:tcW w:type="dxa" w:w="53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19"/>
                          </w:rPr>
                          <w:t>型号和规格</w:t>
                        </w:r>
                      </w:p>
                    </w:tc>
                    <w:tc>
                      <w:tcPr>
                        <w:tcW w:type="dxa" w:w="4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19"/>
                          </w:rPr>
                          <w:t>原产地及制造厂名</w:t>
                        </w:r>
                      </w:p>
                    </w:tc>
                    <w:tc>
                      <w:tcPr>
                        <w:tcW w:type="dxa" w:w="1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19"/>
                          </w:rPr>
                          <w:t>数量</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405"/>
                        </w:pPr>
                        <w:r>
                          <w:rPr>
                            <w:rFonts w:ascii="宋体" w:hAnsi="宋体" w:cs="宋体" w:eastAsia="宋体"/>
                            <w:sz w:val="19"/>
                          </w:rPr>
                          <w:t>1</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小型机</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宋体" w:hAnsi="宋体" w:cs="宋体" w:eastAsia="宋体"/>
                            <w:sz w:val="19"/>
                          </w:rPr>
                          <w:t>NA6814服务器</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宋体" w:hAnsi="宋体" w:cs="宋体" w:eastAsia="宋体"/>
                            <w:sz w:val="19"/>
                          </w:rPr>
                          <w:t>中国/新云东方</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405"/>
                        </w:pPr>
                        <w:r>
                          <w:rPr>
                            <w:rFonts w:ascii="宋体" w:hAnsi="宋体" w:cs="宋体" w:eastAsia="宋体"/>
                            <w:sz w:val="19"/>
                          </w:rPr>
                          <w:t>2</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小型机</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宋体" w:hAnsi="宋体" w:cs="宋体" w:eastAsia="宋体"/>
                            <w:sz w:val="19"/>
                          </w:rPr>
                          <w:t>NA6814服务器</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宋体" w:hAnsi="宋体" w:cs="宋体" w:eastAsia="宋体"/>
                            <w:sz w:val="19"/>
                          </w:rPr>
                          <w:t>中国/新云东方</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405"/>
                        </w:pPr>
                        <w:r>
                          <w:rPr>
                            <w:rFonts w:ascii="宋体" w:hAnsi="宋体" w:cs="宋体" w:eastAsia="宋体"/>
                            <w:sz w:val="19"/>
                          </w:rPr>
                          <w:t>3</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right"/>
                        </w:pPr>
                        <w:r>
                          <w:rPr>
                            <w:rFonts w:ascii="宋体" w:hAnsi="宋体" w:cs="宋体" w:eastAsia="宋体"/>
                            <w:sz w:val="19"/>
                          </w:rPr>
                          <w:t>磁盘阵列1（生产阵列）</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95"/>
                        </w:pPr>
                        <w:r>
                          <w:rPr>
                            <w:rFonts w:ascii="宋体" w:hAnsi="宋体" w:cs="宋体" w:eastAsia="宋体"/>
                            <w:sz w:val="19"/>
                          </w:rPr>
                          <w:t>OceanStor18500V3</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宋体" w:hAnsi="宋体" w:cs="宋体" w:eastAsia="宋体"/>
                            <w:sz w:val="19"/>
                          </w:rPr>
                          <w:t>中国/华为</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rPr>
                          <w:t>4</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35"/>
                        </w:pPr>
                        <w:r>
                          <w:rPr>
                            <w:rFonts w:ascii="宋体" w:hAnsi="宋体" w:cs="宋体" w:eastAsia="宋体"/>
                            <w:sz w:val="19"/>
                          </w:rPr>
                          <w:t>磁盘阵列2（异地容灾</w:t>
                        </w:r>
                      </w:p>
                      <w:p>
                        <w:pPr>
                          <w:pStyle w:val="null3"/>
                          <w:spacing w:before="60"/>
                          <w:ind w:left="885"/>
                        </w:pPr>
                        <w:r>
                          <w:rPr>
                            <w:rFonts w:ascii="宋体" w:hAnsi="宋体" w:cs="宋体" w:eastAsia="宋体"/>
                            <w:sz w:val="19"/>
                          </w:rPr>
                          <w:t>阵列）</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rPr>
                          <w:t>OceanStor18500V3</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rPr>
                          <w:t>中国/华为</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05"/>
                        </w:pPr>
                        <w:r>
                          <w:rPr>
                            <w:rFonts w:ascii="宋体" w:hAnsi="宋体" w:cs="宋体" w:eastAsia="宋体"/>
                            <w:sz w:val="19"/>
                          </w:rPr>
                          <w:t>5</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30"/>
                        </w:pPr>
                        <w:r>
                          <w:rPr>
                            <w:rFonts w:ascii="宋体" w:hAnsi="宋体" w:cs="宋体" w:eastAsia="宋体"/>
                            <w:sz w:val="19"/>
                          </w:rPr>
                          <w:t>存储交换机</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SNS2124</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中国/华为</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05"/>
                        </w:pPr>
                        <w:r>
                          <w:rPr>
                            <w:rFonts w:ascii="宋体" w:hAnsi="宋体" w:cs="宋体" w:eastAsia="宋体"/>
                            <w:sz w:val="19"/>
                          </w:rPr>
                          <w:t>6</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30"/>
                        </w:pPr>
                        <w:r>
                          <w:rPr>
                            <w:rFonts w:ascii="宋体" w:hAnsi="宋体" w:cs="宋体" w:eastAsia="宋体"/>
                            <w:sz w:val="19"/>
                          </w:rPr>
                          <w:t>存储交换机</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SNS2124</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中国/华为</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05"/>
                        </w:pPr>
                        <w:r>
                          <w:rPr>
                            <w:rFonts w:ascii="宋体" w:hAnsi="宋体" w:cs="宋体" w:eastAsia="宋体"/>
                            <w:sz w:val="19"/>
                          </w:rPr>
                          <w:t>7</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宋体" w:hAnsi="宋体" w:cs="宋体" w:eastAsia="宋体"/>
                            <w:sz w:val="19"/>
                          </w:rPr>
                          <w:t>容灾管理平台</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35"/>
                        </w:pPr>
                        <w:r>
                          <w:rPr>
                            <w:rFonts w:ascii="宋体" w:hAnsi="宋体" w:cs="宋体" w:eastAsia="宋体"/>
                            <w:sz w:val="19"/>
                          </w:rPr>
                          <w:t>OceanStorBCManager</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中国/华为</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1套</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05"/>
                        </w:pPr>
                        <w:r>
                          <w:rPr>
                            <w:rFonts w:ascii="宋体" w:hAnsi="宋体" w:cs="宋体" w:eastAsia="宋体"/>
                            <w:sz w:val="19"/>
                          </w:rPr>
                          <w:t>8</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705"/>
                        </w:pPr>
                        <w:r>
                          <w:rPr>
                            <w:rFonts w:ascii="宋体" w:hAnsi="宋体" w:cs="宋体" w:eastAsia="宋体"/>
                            <w:sz w:val="19"/>
                          </w:rPr>
                          <w:t>IBM3650M3</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00"/>
                        </w:pPr>
                        <w:r>
                          <w:rPr>
                            <w:rFonts w:ascii="宋体" w:hAnsi="宋体" w:cs="宋体" w:eastAsia="宋体"/>
                            <w:sz w:val="19"/>
                          </w:rPr>
                          <w:t>美国/IBM</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405"/>
                        </w:pPr>
                        <w:r>
                          <w:rPr>
                            <w:rFonts w:ascii="宋体" w:hAnsi="宋体" w:cs="宋体" w:eastAsia="宋体"/>
                            <w:sz w:val="19"/>
                          </w:rPr>
                          <w:t>9</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705"/>
                        </w:pPr>
                        <w:r>
                          <w:rPr>
                            <w:rFonts w:ascii="宋体" w:hAnsi="宋体" w:cs="宋体" w:eastAsia="宋体"/>
                            <w:sz w:val="19"/>
                          </w:rPr>
                          <w:t>IBM3650M4</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00"/>
                        </w:pPr>
                        <w:r>
                          <w:rPr>
                            <w:rFonts w:ascii="宋体" w:hAnsi="宋体" w:cs="宋体" w:eastAsia="宋体"/>
                            <w:sz w:val="19"/>
                          </w:rPr>
                          <w:t>美国/IBM</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10</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705"/>
                        </w:pPr>
                        <w:r>
                          <w:rPr>
                            <w:rFonts w:ascii="宋体" w:hAnsi="宋体" w:cs="宋体" w:eastAsia="宋体"/>
                            <w:sz w:val="19"/>
                          </w:rPr>
                          <w:t>IBM3650M4</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600"/>
                        </w:pPr>
                        <w:r>
                          <w:rPr>
                            <w:rFonts w:ascii="宋体" w:hAnsi="宋体" w:cs="宋体" w:eastAsia="宋体"/>
                            <w:sz w:val="19"/>
                          </w:rPr>
                          <w:t>美国/IBM</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11</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750"/>
                        </w:pPr>
                        <w:r>
                          <w:rPr>
                            <w:rFonts w:ascii="宋体" w:hAnsi="宋体" w:cs="宋体" w:eastAsia="宋体"/>
                            <w:sz w:val="19"/>
                          </w:rPr>
                          <w:t>曙光两路</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宋体" w:hAnsi="宋体" w:cs="宋体" w:eastAsia="宋体"/>
                            <w:sz w:val="19"/>
                          </w:rPr>
                          <w:t>中国/曙光</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12</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750"/>
                        </w:pPr>
                        <w:r>
                          <w:rPr>
                            <w:rFonts w:ascii="宋体" w:hAnsi="宋体" w:cs="宋体" w:eastAsia="宋体"/>
                            <w:sz w:val="19"/>
                          </w:rPr>
                          <w:t>曙光两路</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宋体" w:hAnsi="宋体" w:cs="宋体" w:eastAsia="宋体"/>
                            <w:sz w:val="19"/>
                          </w:rPr>
                          <w:t>中国/曙光</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13</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40"/>
                        </w:pPr>
                        <w:r>
                          <w:rPr>
                            <w:rFonts w:ascii="宋体" w:hAnsi="宋体" w:cs="宋体" w:eastAsia="宋体"/>
                            <w:sz w:val="19"/>
                          </w:rPr>
                          <w:t>浪潮NF8460M4</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宋体" w:hAnsi="宋体" w:cs="宋体" w:eastAsia="宋体"/>
                            <w:sz w:val="19"/>
                          </w:rPr>
                          <w:t>中国/浪潮</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14</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40"/>
                        </w:pPr>
                        <w:r>
                          <w:rPr>
                            <w:rFonts w:ascii="宋体" w:hAnsi="宋体" w:cs="宋体" w:eastAsia="宋体"/>
                            <w:sz w:val="19"/>
                          </w:rPr>
                          <w:t>浪潮NF8460M4</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宋体" w:hAnsi="宋体" w:cs="宋体" w:eastAsia="宋体"/>
                            <w:sz w:val="19"/>
                          </w:rPr>
                          <w:t>中国/浪潮</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15</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600"/>
                        </w:pPr>
                        <w:r>
                          <w:rPr>
                            <w:rFonts w:ascii="宋体" w:hAnsi="宋体" w:cs="宋体" w:eastAsia="宋体"/>
                            <w:sz w:val="19"/>
                          </w:rPr>
                          <w:t>曙光A620r-G</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宋体" w:hAnsi="宋体" w:cs="宋体" w:eastAsia="宋体"/>
                            <w:sz w:val="19"/>
                          </w:rPr>
                          <w:t>中国/曙光</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16</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645"/>
                        </w:pPr>
                        <w:r>
                          <w:rPr>
                            <w:rFonts w:ascii="宋体" w:hAnsi="宋体" w:cs="宋体" w:eastAsia="宋体"/>
                            <w:sz w:val="19"/>
                          </w:rPr>
                          <w:t>IBM3850X5</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00"/>
                        </w:pPr>
                        <w:r>
                          <w:rPr>
                            <w:rFonts w:ascii="宋体" w:hAnsi="宋体" w:cs="宋体" w:eastAsia="宋体"/>
                            <w:sz w:val="19"/>
                          </w:rPr>
                          <w:t>美国/IBM</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17</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宋体" w:hAnsi="宋体" w:cs="宋体" w:eastAsia="宋体"/>
                            <w:sz w:val="19"/>
                          </w:rPr>
                          <w:t>曙光I840-G20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中国/曙光</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345"/>
                        </w:pPr>
                        <w:r>
                          <w:rPr>
                            <w:rFonts w:ascii="宋体" w:hAnsi="宋体" w:cs="宋体" w:eastAsia="宋体"/>
                            <w:sz w:val="19"/>
                          </w:rPr>
                          <w:t>18</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宋体" w:hAnsi="宋体" w:cs="宋体" w:eastAsia="宋体"/>
                            <w:sz w:val="19"/>
                          </w:rPr>
                          <w:t>曙光I840-G20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中国/曙光</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19</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宋体" w:hAnsi="宋体" w:cs="宋体" w:eastAsia="宋体"/>
                            <w:sz w:val="19"/>
                          </w:rPr>
                          <w:t>曙光I840-G20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中国/曙光</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20</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630"/>
                        </w:pPr>
                        <w:r>
                          <w:rPr>
                            <w:rFonts w:ascii="宋体" w:hAnsi="宋体" w:cs="宋体" w:eastAsia="宋体"/>
                            <w:sz w:val="19"/>
                          </w:rPr>
                          <w:t>RH5885HV3</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中国/华为</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21</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55"/>
                        </w:pPr>
                        <w:r>
                          <w:rPr>
                            <w:rFonts w:ascii="宋体" w:hAnsi="宋体" w:cs="宋体" w:eastAsia="宋体"/>
                            <w:sz w:val="19"/>
                          </w:rPr>
                          <w:t>服务器</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630"/>
                        </w:pPr>
                        <w:r>
                          <w:rPr>
                            <w:rFonts w:ascii="宋体" w:hAnsi="宋体" w:cs="宋体" w:eastAsia="宋体"/>
                            <w:sz w:val="19"/>
                          </w:rPr>
                          <w:t>RH5885HV3</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宋体" w:hAnsi="宋体" w:cs="宋体" w:eastAsia="宋体"/>
                            <w:sz w:val="19"/>
                          </w:rPr>
                          <w:t>中国/华为</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22</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70"/>
                        </w:pPr>
                        <w:r>
                          <w:rPr>
                            <w:rFonts w:ascii="宋体" w:hAnsi="宋体" w:cs="宋体" w:eastAsia="宋体"/>
                            <w:sz w:val="19"/>
                          </w:rPr>
                          <w:t>工作站</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HPT7810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60"/>
                        </w:pPr>
                        <w:r>
                          <w:rPr>
                            <w:rFonts w:ascii="宋体" w:hAnsi="宋体" w:cs="宋体" w:eastAsia="宋体"/>
                            <w:sz w:val="19"/>
                          </w:rPr>
                          <w:t>美国/HP</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23</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70"/>
                        </w:pPr>
                        <w:r>
                          <w:rPr>
                            <w:rFonts w:ascii="宋体" w:hAnsi="宋体" w:cs="宋体" w:eastAsia="宋体"/>
                            <w:sz w:val="19"/>
                          </w:rPr>
                          <w:t>工作站</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HPT7810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60"/>
                        </w:pPr>
                        <w:r>
                          <w:rPr>
                            <w:rFonts w:ascii="宋体" w:hAnsi="宋体" w:cs="宋体" w:eastAsia="宋体"/>
                            <w:sz w:val="19"/>
                          </w:rPr>
                          <w:t>美国/HP</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24</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70"/>
                        </w:pPr>
                        <w:r>
                          <w:rPr>
                            <w:rFonts w:ascii="宋体" w:hAnsi="宋体" w:cs="宋体" w:eastAsia="宋体"/>
                            <w:sz w:val="19"/>
                          </w:rPr>
                          <w:t>工作站</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HPT7810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60"/>
                        </w:pPr>
                        <w:r>
                          <w:rPr>
                            <w:rFonts w:ascii="宋体" w:hAnsi="宋体" w:cs="宋体" w:eastAsia="宋体"/>
                            <w:sz w:val="19"/>
                          </w:rPr>
                          <w:t>美国/HP</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25</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70"/>
                        </w:pPr>
                        <w:r>
                          <w:rPr>
                            <w:rFonts w:ascii="宋体" w:hAnsi="宋体" w:cs="宋体" w:eastAsia="宋体"/>
                            <w:sz w:val="19"/>
                          </w:rPr>
                          <w:t>工作站</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HPT7810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60"/>
                        </w:pPr>
                        <w:r>
                          <w:rPr>
                            <w:rFonts w:ascii="宋体" w:hAnsi="宋体" w:cs="宋体" w:eastAsia="宋体"/>
                            <w:sz w:val="19"/>
                          </w:rPr>
                          <w:t>美国/HP</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26</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70"/>
                        </w:pPr>
                        <w:r>
                          <w:rPr>
                            <w:rFonts w:ascii="宋体" w:hAnsi="宋体" w:cs="宋体" w:eastAsia="宋体"/>
                            <w:sz w:val="19"/>
                          </w:rPr>
                          <w:t>工作站</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HPT7810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60"/>
                        </w:pPr>
                        <w:r>
                          <w:rPr>
                            <w:rFonts w:ascii="宋体" w:hAnsi="宋体" w:cs="宋体" w:eastAsia="宋体"/>
                            <w:sz w:val="19"/>
                          </w:rPr>
                          <w:t>美国/HP</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r>
                    <w:tc>
                      <w:tcPr>
                        <w:tcW w:type="dxa" w:w="128"/>
                        <w:vMerge/>
                        <w:tcBorders>
                          <w:top w:val="single" w:color="000000" w:sz="4"/>
                          <w:left w:val="single" w:color="000000" w:sz="4"/>
                          <w:bottom w:val="none" w:color="000000" w:sz="4"/>
                          <w:right w:val="single" w:color="000000" w:sz="4"/>
                        </w:tcBorders>
                      </w:tcPr>
                      <w:p/>
                    </w:tc>
                    <w:tc>
                      <w:tcPr>
                        <w:tcW w:type="dxa" w:w="18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345"/>
                        </w:pPr>
                        <w:r>
                          <w:rPr>
                            <w:rFonts w:ascii="宋体" w:hAnsi="宋体" w:cs="宋体" w:eastAsia="宋体"/>
                            <w:sz w:val="19"/>
                          </w:rPr>
                          <w:t>27</w:t>
                        </w:r>
                      </w:p>
                    </w:tc>
                    <w:tc>
                      <w:tcPr>
                        <w:tcW w:type="dxa" w:w="5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870"/>
                        </w:pPr>
                        <w:r>
                          <w:rPr>
                            <w:rFonts w:ascii="宋体" w:hAnsi="宋体" w:cs="宋体" w:eastAsia="宋体"/>
                            <w:sz w:val="19"/>
                          </w:rPr>
                          <w:t>工作站</w:t>
                        </w:r>
                      </w:p>
                    </w:tc>
                    <w:tc>
                      <w:tcPr>
                        <w:tcW w:type="dxa" w:w="5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50"/>
                        </w:pPr>
                        <w:r>
                          <w:rPr>
                            <w:rFonts w:ascii="宋体" w:hAnsi="宋体" w:cs="宋体" w:eastAsia="宋体"/>
                            <w:sz w:val="19"/>
                          </w:rPr>
                          <w:t>HPT7810</w:t>
                        </w:r>
                      </w:p>
                    </w:tc>
                    <w:tc>
                      <w:tcPr>
                        <w:tcW w:type="dxa" w:w="4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60"/>
                        </w:pPr>
                        <w:r>
                          <w:rPr>
                            <w:rFonts w:ascii="宋体" w:hAnsi="宋体" w:cs="宋体" w:eastAsia="宋体"/>
                            <w:sz w:val="19"/>
                          </w:rPr>
                          <w:t>美国/HP</w:t>
                        </w:r>
                      </w:p>
                    </w:tc>
                    <w:tc>
                      <w:tcPr>
                        <w:tcW w:type="dxa" w:w="1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0"/>
                        </w:pPr>
                        <w:r>
                          <w:rPr>
                            <w:rFonts w:ascii="宋体" w:hAnsi="宋体" w:cs="宋体" w:eastAsia="宋体"/>
                            <w:sz w:val="19"/>
                          </w:rPr>
                          <w:t>1台</w:t>
                        </w:r>
                      </w:p>
                    </w:tc>
                  </w:tr>
                </w:tbl>
                <w:p>
                  <w:pPr>
                    <w:pStyle w:val="null3"/>
                    <w:ind w:left="300"/>
                    <w:jc w:val="left"/>
                  </w:pPr>
                  <w:r>
                    <w:rPr>
                      <w:rFonts w:ascii="宋体" w:hAnsi="宋体" w:cs="宋体" w:eastAsia="宋体"/>
                      <w:sz w:val="24"/>
                    </w:rPr>
                    <w:t>2.服务要求及目的</w:t>
                  </w:r>
                </w:p>
                <w:p>
                  <w:pPr>
                    <w:pStyle w:val="null3"/>
                    <w:ind w:right="180" w:firstLine="512"/>
                    <w:jc w:val="left"/>
                  </w:pPr>
                  <w:r>
                    <w:rPr>
                      <w:rFonts w:ascii="宋体" w:hAnsi="宋体" w:cs="宋体" w:eastAsia="宋体"/>
                      <w:sz w:val="24"/>
                    </w:rPr>
                    <w:t>制定科学合理的维护管理办法和措施，对上述设备进行</w:t>
                  </w:r>
                  <w:r>
                    <w:rPr>
                      <w:rFonts w:ascii="宋体" w:hAnsi="宋体" w:cs="宋体" w:eastAsia="宋体"/>
                      <w:sz w:val="24"/>
                    </w:rPr>
                    <w:t>监控、巡检、故障排除、故障备件更换和日常维</w:t>
                  </w:r>
                  <w:r>
                    <w:rPr>
                      <w:rFonts w:ascii="宋体" w:hAnsi="宋体" w:cs="宋体" w:eastAsia="宋体"/>
                      <w:sz w:val="24"/>
                    </w:rPr>
                    <w:t>护、优化，确保所有系统安全稳定运行。</w:t>
                  </w:r>
                </w:p>
                <w:p>
                  <w:pPr>
                    <w:pStyle w:val="null3"/>
                    <w:ind w:left="45" w:right="15" w:firstLine="2"/>
                    <w:jc w:val="left"/>
                  </w:pPr>
                  <w:r>
                    <w:rPr>
                      <w:rFonts w:ascii="宋体" w:hAnsi="宋体" w:cs="宋体" w:eastAsia="宋体"/>
                      <w:sz w:val="24"/>
                    </w:rPr>
                    <w:t>提供定期的全面巡检，每周一次对陕西财政</w:t>
                  </w:r>
                  <w:r>
                    <w:rPr>
                      <w:rFonts w:ascii="宋体" w:hAnsi="宋体" w:cs="宋体" w:eastAsia="宋体"/>
                      <w:sz w:val="24"/>
                    </w:rPr>
                    <w:t>主机存储系</w:t>
                  </w:r>
                  <w:r>
                    <w:rPr>
                      <w:rFonts w:ascii="宋体" w:hAnsi="宋体" w:cs="宋体" w:eastAsia="宋体"/>
                      <w:sz w:val="24"/>
                    </w:rPr>
                    <w:t>统进行现场巡检、每月一次对延安中心机房设备进行现场巡检，及时发现并排除系统故障，调整系统运行参数，保证系</w:t>
                  </w:r>
                  <w:r>
                    <w:rPr>
                      <w:rFonts w:ascii="宋体" w:hAnsi="宋体" w:cs="宋体" w:eastAsia="宋体"/>
                      <w:sz w:val="24"/>
                    </w:rPr>
                    <w:t>统运行在良好状态。同时响应甲方的安装、调试、优化及故</w:t>
                  </w:r>
                  <w:r>
                    <w:rPr>
                      <w:rFonts w:ascii="宋体" w:hAnsi="宋体" w:cs="宋体" w:eastAsia="宋体"/>
                      <w:sz w:val="24"/>
                    </w:rPr>
                    <w:t>障排除等服务请求，确保系统无故障、稳定运行，对所服务</w:t>
                  </w:r>
                  <w:r>
                    <w:rPr>
                      <w:rFonts w:ascii="宋体" w:hAnsi="宋体" w:cs="宋体" w:eastAsia="宋体"/>
                      <w:sz w:val="24"/>
                    </w:rPr>
                    <w:t>系统的安全、稳定运行负责。</w:t>
                  </w:r>
                </w:p>
                <w:p>
                  <w:pPr>
                    <w:pStyle w:val="null3"/>
                    <w:ind w:right="15" w:firstLine="512"/>
                    <w:jc w:val="left"/>
                  </w:pPr>
                  <w:r>
                    <w:rPr>
                      <w:rFonts w:ascii="宋体" w:hAnsi="宋体" w:cs="宋体" w:eastAsia="宋体"/>
                      <w:sz w:val="24"/>
                    </w:rPr>
                    <w:t>在服务过程中应采取科学、合理的运维手段，确保服务</w:t>
                  </w:r>
                  <w:r>
                    <w:rPr>
                      <w:rFonts w:ascii="宋体" w:hAnsi="宋体" w:cs="宋体" w:eastAsia="宋体"/>
                      <w:sz w:val="24"/>
                    </w:rPr>
                    <w:t>质量；服务过程中，应编制详尽、规范的系统维护资料，确保对系统的调整内容和服务内容有依据、可追溯。</w:t>
                  </w:r>
                </w:p>
                <w:p>
                  <w:pPr>
                    <w:pStyle w:val="null3"/>
                    <w:ind w:right="15" w:firstLine="512"/>
                    <w:jc w:val="left"/>
                  </w:pPr>
                  <w:r>
                    <w:rPr>
                      <w:rFonts w:ascii="宋体" w:hAnsi="宋体" w:cs="宋体" w:eastAsia="宋体"/>
                      <w:sz w:val="24"/>
                    </w:rPr>
                    <w:t>制定系统应急预案，对核心系统故障风险点进行排查，</w:t>
                  </w:r>
                  <w:r>
                    <w:rPr>
                      <w:rFonts w:ascii="宋体" w:hAnsi="宋体" w:cs="宋体" w:eastAsia="宋体"/>
                      <w:sz w:val="24"/>
                    </w:rPr>
                    <w:t>对故障可能造成的后果进行分析，并提出针对单一故障的具</w:t>
                  </w:r>
                  <w:r>
                    <w:rPr>
                      <w:rFonts w:ascii="宋体" w:hAnsi="宋体" w:cs="宋体" w:eastAsia="宋体"/>
                      <w:sz w:val="24"/>
                    </w:rPr>
                    <w:t>体应对办法及应急恢复办法。</w:t>
                  </w:r>
                </w:p>
                <w:p>
                  <w:pPr>
                    <w:pStyle w:val="null3"/>
                    <w:ind w:right="15" w:firstLine="516"/>
                    <w:jc w:val="left"/>
                  </w:pPr>
                  <w:r>
                    <w:rPr>
                      <w:rFonts w:ascii="宋体" w:hAnsi="宋体" w:cs="宋体" w:eastAsia="宋体"/>
                      <w:sz w:val="24"/>
                    </w:rPr>
                    <w:t>保证设备损坏配件及时更换,乙方制定周期性的维护计划，根据设备部件的预防性维护要求，对需执行的维护操作予以实施，对预计寿命终了的部件预先予以更换。西安设备故障24小时内更换部件或整机排除故障，延</w:t>
                  </w:r>
                  <w:r>
                    <w:rPr>
                      <w:rFonts w:ascii="宋体" w:hAnsi="宋体" w:cs="宋体" w:eastAsia="宋体"/>
                      <w:sz w:val="24"/>
                    </w:rPr>
                    <w:t>安设备</w:t>
                  </w:r>
                  <w:r>
                    <w:rPr>
                      <w:rFonts w:ascii="宋体" w:hAnsi="宋体" w:cs="宋体" w:eastAsia="宋体"/>
                      <w:sz w:val="24"/>
                    </w:rPr>
                    <w:t>故障48小时内更换部件或整机排除故障。</w:t>
                  </w:r>
                </w:p>
                <w:p>
                  <w:pPr>
                    <w:pStyle w:val="null3"/>
                    <w:ind w:left="450"/>
                    <w:jc w:val="left"/>
                  </w:pPr>
                  <w:r>
                    <w:rPr>
                      <w:rFonts w:ascii="宋体" w:hAnsi="宋体" w:cs="宋体" w:eastAsia="宋体"/>
                      <w:sz w:val="24"/>
                    </w:rPr>
                    <w:t>二、付款方式</w:t>
                  </w:r>
                </w:p>
                <w:p>
                  <w:pPr>
                    <w:pStyle w:val="null3"/>
                    <w:ind w:left="30" w:right="165" w:firstLine="642"/>
                    <w:jc w:val="left"/>
                  </w:pPr>
                  <w:r>
                    <w:rPr>
                      <w:rFonts w:ascii="宋体" w:hAnsi="宋体" w:cs="宋体" w:eastAsia="宋体"/>
                      <w:sz w:val="24"/>
                    </w:rPr>
                    <w:t>合同款由甲方分3期支付给乙方，原则上合同约定的资金金额与以对运维供应商考核评价结果结算，选择分期支</w:t>
                  </w:r>
                  <w:r>
                    <w:rPr>
                      <w:rFonts w:ascii="宋体" w:hAnsi="宋体" w:cs="宋体" w:eastAsia="宋体"/>
                      <w:sz w:val="24"/>
                    </w:rPr>
                    <w:t>付，其具体支付方式及节点如下：</w:t>
                  </w:r>
                </w:p>
                <w:p>
                  <w:pPr>
                    <w:pStyle w:val="null3"/>
                    <w:ind w:left="30" w:right="15" w:firstLine="408"/>
                    <w:jc w:val="left"/>
                  </w:pPr>
                  <w:r>
                    <w:rPr>
                      <w:rFonts w:ascii="宋体" w:hAnsi="宋体" w:cs="宋体" w:eastAsia="宋体"/>
                      <w:sz w:val="24"/>
                    </w:rPr>
                    <w:t>（一）首期款：签订合同后30个日历日内，乙方书面提</w:t>
                  </w:r>
                  <w:r>
                    <w:rPr>
                      <w:rFonts w:ascii="宋体" w:hAnsi="宋体" w:cs="宋体" w:eastAsia="宋体"/>
                      <w:sz w:val="24"/>
                    </w:rPr>
                    <w:t>出支付申请函及与支付金额等额的增值税普通</w:t>
                  </w:r>
                  <w:r>
                    <w:rPr>
                      <w:rFonts w:ascii="宋体" w:hAnsi="宋体" w:cs="宋体" w:eastAsia="宋体"/>
                      <w:sz w:val="24"/>
                    </w:rPr>
                    <w:t>发票，甲方确认后启动首期款支付流程，支付合同总金额的30%。</w:t>
                  </w:r>
                </w:p>
                <w:p>
                  <w:pPr>
                    <w:pStyle w:val="null3"/>
                    <w:ind w:firstLine="496"/>
                    <w:jc w:val="left"/>
                  </w:pPr>
                  <w:r>
                    <w:rPr>
                      <w:rFonts w:ascii="宋体" w:hAnsi="宋体" w:cs="宋体" w:eastAsia="宋体"/>
                      <w:sz w:val="24"/>
                    </w:rPr>
                    <w:t>（二）第二期款：本项目运维9个月后，乙</w:t>
                  </w:r>
                  <w:r>
                    <w:rPr>
                      <w:rFonts w:ascii="宋体" w:hAnsi="宋体" w:cs="宋体" w:eastAsia="宋体"/>
                      <w:sz w:val="24"/>
                    </w:rPr>
                    <w:t>方书面提出支</w:t>
                  </w:r>
                  <w:r>
                    <w:rPr>
                      <w:rFonts w:ascii="宋体" w:hAnsi="宋体" w:cs="宋体" w:eastAsia="宋体"/>
                      <w:sz w:val="24"/>
                    </w:rPr>
                    <w:t>付申请函及与支付金额等额的增值税普通发票，甲方确认后</w:t>
                  </w:r>
                  <w:r>
                    <w:rPr>
                      <w:rFonts w:ascii="宋体" w:hAnsi="宋体" w:cs="宋体" w:eastAsia="宋体"/>
                      <w:sz w:val="24"/>
                    </w:rPr>
                    <w:t>启动尾款支付流程，支付合同总金额的40%。</w:t>
                  </w:r>
                </w:p>
                <w:p>
                  <w:pPr>
                    <w:pStyle w:val="null3"/>
                    <w:ind w:firstLine="496"/>
                    <w:jc w:val="left"/>
                  </w:pPr>
                  <w:r>
                    <w:rPr>
                      <w:rFonts w:ascii="宋体" w:hAnsi="宋体" w:cs="宋体" w:eastAsia="宋体"/>
                      <w:sz w:val="24"/>
                    </w:rPr>
                    <w:t>（三）尾款：本项目经甲方验收通过后30个日历日内，</w:t>
                  </w:r>
                  <w:r>
                    <w:rPr>
                      <w:rFonts w:ascii="宋体" w:hAnsi="宋体" w:cs="宋体" w:eastAsia="宋体"/>
                      <w:sz w:val="24"/>
                    </w:rPr>
                    <w:t>乙方书面提出支付申请函及与支付金额等额的增值税普通</w:t>
                  </w:r>
                  <w:r>
                    <w:rPr>
                      <w:rFonts w:ascii="宋体" w:hAnsi="宋体" w:cs="宋体" w:eastAsia="宋体"/>
                      <w:sz w:val="24"/>
                    </w:rPr>
                    <w:t>发票，甲方确认后启动尾款支付流程，支付合同总金额的</w:t>
                  </w:r>
                  <w:r>
                    <w:rPr>
                      <w:rFonts w:ascii="宋体" w:hAnsi="宋体" w:cs="宋体" w:eastAsia="宋体"/>
                      <w:sz w:val="24"/>
                    </w:rPr>
                    <w:t>30%。</w:t>
                  </w:r>
                </w:p>
              </w:tc>
            </w:tr>
          </w:tbl>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具体自合同签订之日起1年</w:t>
      </w:r>
    </w:p>
    <w:p>
      <w:pPr>
        <w:pStyle w:val="null3"/>
        <w:outlineLvl w:val="3"/>
      </w:pPr>
      <w:r>
        <w:rPr>
          <w:sz w:val="24"/>
          <w:b/>
        </w:rPr>
        <w:t>3.3.2服务地点</w:t>
      </w:r>
    </w:p>
    <w:p>
      <w:pPr>
        <w:pStyle w:val="null3"/>
      </w:pPr>
      <w:r>
        <w:rPr/>
        <w:t>采购包1：</w:t>
      </w:r>
    </w:p>
    <w:p>
      <w:pPr>
        <w:pStyle w:val="null3"/>
      </w:pPr>
      <w:r>
        <w:rPr/>
        <w:t>陕西省财政厅指定地点</w:t>
      </w:r>
    </w:p>
    <w:p>
      <w:pPr>
        <w:pStyle w:val="null3"/>
        <w:outlineLvl w:val="3"/>
      </w:pPr>
      <w:r>
        <w:rPr>
          <w:sz w:val="24"/>
          <w:b/>
        </w:rPr>
        <w:t>3.3.3考核（验收）标准和方法</w:t>
      </w:r>
    </w:p>
    <w:p>
      <w:pPr>
        <w:pStyle w:val="null3"/>
      </w:pPr>
      <w:r>
        <w:rPr/>
        <w:t>采购包1：</w:t>
      </w:r>
    </w:p>
    <w:p>
      <w:pPr>
        <w:pStyle w:val="null3"/>
      </w:pPr>
      <w:r>
        <w:rPr/>
        <w:t>项目验收按照陕西省财政厅项目验收的有关规定执行，项目验收的具体组织工作由项目甲方承担。 本项目的验收应符合陕西省财政厅相关验收管理办法的要求，同时应遵循下列标准： （1）乙方应在项目验收前将项目服务过程中各阶段产生的所有相关文档整理好装订提交，提供运行稳定可靠的系统及其安装程序并提交相关文档。 （2）对整个项目的验收包括检查应用系统是否实现了甲方在标书中所要求的功能，是否与乙方提出的解决方案中既定目标功能完全一致。 （3）本项目的最终验收由甲方组织用户单位、乙方共同进行。乙方于服务周期完成前一个月内向甲方和用户单位提出验收申请，并于服务完成后一个月内完成验收工作。</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（一）首期款：签订合同后30个日历日内，乙方书面提出支付申请函及与支付金额等额的增值税普通发票，甲方确认后启动首期款支付流程，支付合同总金额的30%。 </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（二）第二期款：本项目运维9个月后，乙方书面提出支付申请函及与支付金额等额的增值税普通发票，甲方确认后启动尾款支付流程，支付合同总金额的40%。</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（三）尾款：本项目经甲方验收通过后30个日历日内，乙方书面提出支付申请函及与支付金额等额的增值税普通发票，甲方确认后启动尾款支付流程，支付合同总金额的30%。</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按合同相关条款执行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中小企业声明函 残疾人福利性单位声明函 供应商应提交的相关资格证明材料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主体资格身份</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提供自2023年10月1日至今已缴纳的至少一个月的纳税证明或完税证明，纳税证明或完税证明上应有代收机构或税务机关的公章或业务专用章，依法免税的服务商应提供相关文件证明；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提供供应商2023年10月1日至今已缴存的任意一个月的社会保障资金缴存单据或社保机构开具的社会保险参保缴费情况证明；依法不需要缴纳社会保障资金的应提供相关文件证明；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信用查询(采购人或采购代理机构开标当天查询,供应商无须提供截图)</w:t>
            </w:r>
          </w:p>
        </w:tc>
        <w:tc>
          <w:tcPr>
            <w:tcW w:type="dxa" w:w="3322"/>
          </w:tcPr>
          <w:p>
            <w:pPr>
              <w:pStyle w:val="null3"/>
            </w:pPr>
            <w:r>
              <w:rPr/>
              <w:t>供应商不得为“信用中国”网站 （www.creditchina.gov.cn）中列入失信被执行人和重大税收违法案件当事人名单的供应商，不得为中国政府采购网 （www.ccgp.gov.cn）政府采购严重违法失信行为记录名单中被财政部门禁止参加政府采购活动的供应商；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本项目不接受联合体磋商，投标单位负责人为同一人或者存在控股、管理关系的不同单位，不得参加同一招标项目投标；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（2）响应文件格式：应符合磋商文件要求； （3）报价唯一：只能有一个有效报价，不得提交选择性报价，且报价不超过采购预算；</w:t>
            </w:r>
          </w:p>
        </w:tc>
        <w:tc>
          <w:tcPr>
            <w:tcW w:type="dxa" w:w="1661"/>
          </w:tcPr>
          <w:p>
            <w:pPr>
              <w:pStyle w:val="null3"/>
            </w:pPr>
            <w:r>
              <w:rPr/>
              <w:t>响应文件封面 服务内容及服务邀请应答表 商务应答表 标的清单</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中小企业声明函 残疾人福利性单位声明函 商务应答表 陕西省政府采购供应商拒绝政府采购领域商业贿赂承诺书 标的清单 供应商应提交的相关资格证明材料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（1）项目实施时间满足磋商文件要求 （2）实施地点满足磋商文件要求 （3）磋商有效期：满足磋商文件中的规定。</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供应商针对本项目具体内容及特点。分析到位、理解全面、透彻得5分；需求分析基本合理得3分；有理解及分析，但针对性较差得1分。未提供不得分或无关内容不得分。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维保服务方案</w:t>
            </w:r>
          </w:p>
        </w:tc>
        <w:tc>
          <w:tcPr>
            <w:tcW w:type="dxa" w:w="2492"/>
          </w:tcPr>
          <w:p>
            <w:pPr>
              <w:pStyle w:val="null3"/>
            </w:pPr>
            <w:r>
              <w:rPr/>
              <w:t>供应商针对本项目提供维保实施方案，包括但不限于项目总体实施方案、过程控制等。方案完整、合理、可行性强、完全满足项目建设要求的计20分； 方案基本完整、合理、有一定的可行性、能满足项目基本要求的计15分； 方案不够完整、合理、可行性一般，但基本能满足项目要求的计10分； 有方案但不完整，有缺项，可行性一般，较难满足项目建设要求的计3分； 方案不完整，内容有缺项，可行性较差，不能满足项目建设需求的计1分； 未提供实施方案或维保服务方案完全脱离项目实际的不得分。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管理体系</w:t>
            </w:r>
          </w:p>
        </w:tc>
        <w:tc>
          <w:tcPr>
            <w:tcW w:type="dxa" w:w="2492"/>
          </w:tcPr>
          <w:p>
            <w:pPr>
              <w:pStyle w:val="null3"/>
            </w:pPr>
            <w:r>
              <w:rPr/>
              <w:t>供应商针对本项目建有完善的维保管理体系，提供强大的管理工具与手段，能够确保服务器运行安全可靠、稳定，性能充分发挥。管理体系能够确保服务器运行安全可靠、稳定，性能充分发挥，得10分；管理体系能够基本确保服务器软硬件正常运行，得7分；管理体系不完善，得2分；未提供或内容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安全措施</w:t>
            </w:r>
          </w:p>
        </w:tc>
        <w:tc>
          <w:tcPr>
            <w:tcW w:type="dxa" w:w="2492"/>
          </w:tcPr>
          <w:p>
            <w:pPr>
              <w:pStyle w:val="null3"/>
            </w:pPr>
            <w:r>
              <w:rPr/>
              <w:t>供应商的运行维护工作必须遵循并优化现有的安全体系，必须在现有安全体制下提出确保设备系统安全可靠的安全策略、措施和步骤。安全措施能够确保设备系统安全可靠，步骤完善，得10分；安全措施能够基本确保设备系统安全，得7分；安全措施不完善，得2分；未提供或内容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优化方案</w:t>
            </w:r>
          </w:p>
        </w:tc>
        <w:tc>
          <w:tcPr>
            <w:tcW w:type="dxa" w:w="2492"/>
          </w:tcPr>
          <w:p>
            <w:pPr>
              <w:pStyle w:val="null3"/>
            </w:pPr>
            <w:r>
              <w:rPr/>
              <w:t>供应商的服务工作在满足现有应用情况下，从可持续发展升级性、用户体验度和功能扩充等方面，提出合理有效的优化方案。方案完整、切合实际情况得5分；方案不完善得2分；未提供或内容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供应商针对本项目人员配备满足项目实际需求，设有项目负责人及技术负责人，项目团队专业，有明确的组织形式、人员结构配置合理、职责任务明确、时间安排及分工合理，能够确保项目顺利实施。人员配备齐全，技术团队专业，完全满足项目需求，得5分；人员配备较为齐全，但技术团队专业性较差，基本满足项目需求，得3分；人员配备不齐全，技术团队专业性较差，不能满足项目需求，得1分；未提供或内容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应急保障方案</w:t>
            </w:r>
          </w:p>
        </w:tc>
        <w:tc>
          <w:tcPr>
            <w:tcW w:type="dxa" w:w="2492"/>
          </w:tcPr>
          <w:p>
            <w:pPr>
              <w:pStyle w:val="null3"/>
            </w:pPr>
            <w:r>
              <w:rPr/>
              <w:t>供应商针对本项目具有出现突发情况的应急保障方案，内容包括但不限于响应时间、定期巡查、应急解决方案、服务监督管理机制等。保障方案完整性好、切实可行，条理清晰得12分；保障方案较完整性较好、可行度一般，得8分；有保障方案但不完善，可行性一般，得4分；保障方案可行性较差，得2分。未提供或内容完全脱离项目实际的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供应商提供针对维保服务、日常维护等内容的具体实施措施及服务响应时间承诺函等。内容完善合理得5分；服务承诺内容不完善得2分；未提供不得分。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针对项目的顺利实施，提供具体、可行的合理化建议。内容具体、建议合理得5分；表达较为明确、建议较为合理得2分。未提供或内容完全脱离项目实际的不得分。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本地化服务</w:t>
            </w:r>
          </w:p>
        </w:tc>
        <w:tc>
          <w:tcPr>
            <w:tcW w:type="dxa" w:w="2492"/>
          </w:tcPr>
          <w:p>
            <w:pPr>
              <w:pStyle w:val="null3"/>
            </w:pPr>
            <w:r>
              <w:rPr/>
              <w:t>供应商在项目实施所在地具有相应的技术支持及售后服务能力，能够有效保障本地化技术服务及服务协调的及时性，得2分；不满足不得分。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供应商针对本项目有详尽可行的售后服务方案，包括但不限于售后服务内容、响应时间、服务承诺等。方案内容详尽，措施合理，可行性强，得5分；方案较为完善，措施较为合理，具有一定可行性，得3分；方案内容不全面，可行性较差，得2分；未提供或内容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提供2021年10月1日至今（以合同签订日期为准）同类项目业绩合同，每份计2分，满分6分。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业绩评审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价格分统一采用低价优先法计算，即满足磋商文件要求且价格最低的报价为磋商基准价，其价格分为满分。其他响应单位的价格分统一按照下列公式计算：磋商报价得分=（评标基准价/磋商报价）×价格权值×100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报价表</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详见附件：陕西省政府采购供应商拒绝政府采购领域商业贿赂承诺书</w:t>
      </w:r>
    </w:p>
    <w:p>
      <w:pPr>
        <w:pStyle w:val="null3"/>
        <w:ind w:firstLine="960"/>
      </w:pPr>
      <w:r>
        <w:rPr/>
        <w:t>详见附件：业绩评审</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