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版本号：241129001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文物保护项目专项资金预算初审和绩效评价(二次)</w:t>
      </w:r>
    </w:p>
    <w:p>
      <w:pPr>
        <w:pStyle w:val="null3"/>
        <w:jc w:val="center"/>
        <w:outlineLvl w:val="2"/>
      </w:pPr>
      <w:r>
        <w:rPr>
          <w:sz w:val="28"/>
          <w:b/>
        </w:rPr>
        <w:t>采购项目编号：</w:t>
      </w:r>
      <w:r>
        <w:rPr>
          <w:sz w:val="28"/>
          <w:b/>
        </w:rPr>
        <w:t>ZJZBSX-241110-10745-2</w:t>
      </w:r>
      <w:r>
        <w:br/>
      </w:r>
      <w:r>
        <w:br/>
      </w:r>
      <w:r>
        <w:br/>
      </w:r>
    </w:p>
    <w:p>
      <w:pPr>
        <w:pStyle w:val="null3"/>
        <w:jc w:val="center"/>
        <w:outlineLvl w:val="2"/>
      </w:pPr>
      <w:r>
        <w:rPr>
          <w:sz w:val="28"/>
          <w:b/>
        </w:rPr>
        <w:t>陕西省文物局机关</w:t>
      </w:r>
    </w:p>
    <w:p>
      <w:pPr>
        <w:pStyle w:val="null3"/>
        <w:jc w:val="center"/>
        <w:outlineLvl w:val="2"/>
      </w:pPr>
      <w:r>
        <w:rPr>
          <w:sz w:val="28"/>
          <w:b/>
        </w:rPr>
        <w:t>陕西中经招标有限公司</w:t>
      </w:r>
      <w:r>
        <w:rPr>
          <w:sz w:val="28"/>
          <w:b/>
        </w:rPr>
        <w:t>共同编制</w:t>
      </w:r>
    </w:p>
    <w:p>
      <w:pPr>
        <w:pStyle w:val="null3"/>
        <w:jc w:val="center"/>
        <w:outlineLvl w:val="2"/>
      </w:pPr>
      <w:r>
        <w:rPr>
          <w:sz w:val="28"/>
          <w:b/>
        </w:rPr>
        <w:t>2024年11月29日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陕西中经招标有限公司</w:t>
      </w:r>
      <w:r>
        <w:rPr/>
        <w:t>（以下简称“代理机构”）受</w:t>
      </w:r>
      <w:r>
        <w:rPr/>
        <w:t>陕西省文物局机关</w:t>
      </w:r>
      <w:r>
        <w:rPr/>
        <w:t>委托，拟对</w:t>
      </w:r>
      <w:r>
        <w:rPr/>
        <w:t>文物保护项目专项资金预算初审和绩效评价(二次)</w:t>
      </w:r>
      <w:r>
        <w:rPr/>
        <w:t>采用竞争性磋商采购方式进行采购，兹邀请供应商参加本项目的竞争性磋商。</w:t>
      </w:r>
    </w:p>
    <w:p>
      <w:pPr>
        <w:pStyle w:val="null3"/>
        <w:outlineLvl w:val="2"/>
      </w:pPr>
      <w:r>
        <w:rPr>
          <w:sz w:val="28"/>
          <w:b/>
        </w:rPr>
        <w:t>一、项目编号：</w:t>
      </w:r>
      <w:r>
        <w:rPr>
          <w:sz w:val="28"/>
          <w:b/>
        </w:rPr>
        <w:t>ZJZBSX-241110-10745-2</w:t>
      </w:r>
    </w:p>
    <w:p>
      <w:pPr>
        <w:pStyle w:val="null3"/>
        <w:outlineLvl w:val="2"/>
      </w:pPr>
      <w:r>
        <w:rPr>
          <w:sz w:val="28"/>
          <w:b/>
        </w:rPr>
        <w:t>二、项目名称：</w:t>
      </w:r>
      <w:r>
        <w:rPr>
          <w:sz w:val="28"/>
          <w:b/>
        </w:rPr>
        <w:t>文物保护项目专项资金预算初审和绩效评价(二次)</w:t>
      </w:r>
    </w:p>
    <w:p>
      <w:pPr>
        <w:pStyle w:val="null3"/>
        <w:outlineLvl w:val="2"/>
      </w:pPr>
      <w:r>
        <w:rPr>
          <w:sz w:val="28"/>
          <w:b/>
        </w:rPr>
        <w:t>三、磋商项目简介</w:t>
      </w:r>
    </w:p>
    <w:p>
      <w:pPr>
        <w:pStyle w:val="null3"/>
        <w:ind w:firstLine="480"/>
      </w:pPr>
      <w:r>
        <w:rPr/>
        <w:t>陕西省文物局文物保护项目专项资金预算初审和绩效评价，本次为1包采购</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采购包1（文物保护项目资金预算初审）：属于专门面向中小企业采购。</w:t>
      </w:r>
    </w:p>
    <w:p>
      <w:pPr>
        <w:pStyle w:val="null3"/>
        <w:ind w:firstLine="480"/>
      </w:pPr>
      <w:r>
        <w:rPr/>
        <w:t>（三）本项目的特定资格要求：</w:t>
      </w:r>
    </w:p>
    <w:p>
      <w:pPr>
        <w:pStyle w:val="null3"/>
      </w:pPr>
      <w:r>
        <w:rPr/>
        <w:t>采购包1：</w:t>
      </w:r>
    </w:p>
    <w:p>
      <w:pPr>
        <w:pStyle w:val="null3"/>
      </w:pPr>
      <w:r>
        <w:rPr/>
        <w:t>1、资格审查共10项：（1）主体资格 ：供应商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 （2）授权委托 ：供应商应授权合法的人员参加投标全过程，其中法定代表人/负责人直接投标，须提交法定代表人/负责人身份证明书和身份证；法定代表人/负责人授权代表参加投标的，须出具法定代表人/负责人授权书及授权代表身份证；竞争性磋商文件中凡是需要法定代表人签字或盖章之处，非法人单位的负责人均参照执行。供应商需在项目电子化交易系统中按要求上传相应证明文件并进行电子签章。 （3）财务状况报告 ：提供2023年度经审计的财务报告（包含审计报告和审计报告中所涉及的财务报表和报表附注），或提供2023年度供应商完整的全套财务报表（应当包括资产负债表、利润表、现金流量表、所有者权益变动表、附注），或提2024年5月1日以来银行出具的资信证明，或提供财政部门认可的政府采购专业担保机构出具的响应担保函，或供应商注册时间至投标文件提交截止日不足一年的，也可提供在工商管理部门备案的公司章程（以上五种形式的资料提供任何一种即可）。供应商需在项目电子化交易系统中按要求上传相应证明文件并进行电子签章。 （4）社会保障资金缴纳证明 ：提供2023年11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供应商需在项目电子化交易系统中按要求上传相应证明文件并进行电子签章。 （5）税收缴纳证明：提供2023年11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供应商需在项目电子化交易系统中按要求上传相应证明文件并进行电子签章。 （6）书面声明：参加本次政府采购活动前3年内在经营活动中没有重大违纪，以及未被列入失信被执行人、重大税收违法案件当事人名单、政府采购严重违法失信行为记录名单的书面声明；供应商需在项目电子化交易系统中按要求上传相应证明文件并进行电子签章。 （7）承诺函：提供具有履行合同所必需的设备和专业技术能力的承诺；供应商需在项目电子化交易系统中按要求上传相应证明文件并进行电子签章。 （8）与招标人存在利害关系可能影响招标公正性的单位，不得参加投标。单位负责人为同一人或者存在控股、管理关系的不同单位，不得参加同一标段投标，否则，相关投标均无效。 （9）中小企业证明：本包段为专门面向中小企业采购，具体要求：承接服务的供应商应为中型、小型、微型企业或监狱企业或残疾人福利性单位。承接服务的供应商为中型、小型、微型企业的，投标人提供《中小企业声明函》原件，且中小企业的划分标准所属行业为其他未列明行业；承接服务的供应商为监狱企业的，投标人应提供承接服务的供应商为监狱企业的证明文件原件（监狱企业视同小型、微型企业）；承接服务的供应商为残疾人福利性单位的，投标人应提供承接服务的供应商为残疾人福利性单位的《残疾人福利性单位声明函》原件（残疾人福利性单位视同小型、微型企业）。 （10）特定资质：具备文物保护工程勘察设计乙级以上（含乙级）资质。供应商需在项目电子化交易系统中按要求上传相应证明文件并进行电子签章。</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陕西省文物局机关</w:t>
      </w:r>
    </w:p>
    <w:p>
      <w:pPr>
        <w:pStyle w:val="null3"/>
      </w:pPr>
      <w:r>
        <w:rPr/>
        <w:t xml:space="preserve"> 地址： </w:t>
      </w:r>
      <w:r>
        <w:rPr/>
        <w:t>西安市雁塔区雁塔西路193号</w:t>
      </w:r>
    </w:p>
    <w:p>
      <w:pPr>
        <w:pStyle w:val="null3"/>
      </w:pPr>
      <w:r>
        <w:rPr/>
        <w:t xml:space="preserve"> 邮编： </w:t>
      </w:r>
      <w:r>
        <w:rPr/>
        <w:t>710000</w:t>
      </w:r>
    </w:p>
    <w:p>
      <w:pPr>
        <w:pStyle w:val="null3"/>
      </w:pPr>
      <w:r>
        <w:rPr/>
        <w:t xml:space="preserve"> 联系人： </w:t>
      </w:r>
      <w:r>
        <w:rPr/>
        <w:t>李锋</w:t>
      </w:r>
    </w:p>
    <w:p>
      <w:pPr>
        <w:pStyle w:val="null3"/>
      </w:pPr>
      <w:r>
        <w:rPr/>
        <w:t xml:space="preserve"> 联系电话： </w:t>
      </w:r>
      <w:r>
        <w:rPr/>
        <w:t>029-85360125</w:t>
      </w:r>
    </w:p>
    <w:p>
      <w:pPr>
        <w:pStyle w:val="null3"/>
        <w:outlineLvl w:val="3"/>
      </w:pPr>
      <w:r>
        <w:rPr>
          <w:sz w:val="24"/>
          <w:b/>
        </w:rPr>
        <w:t>代理机构：</w:t>
      </w:r>
      <w:r>
        <w:rPr>
          <w:sz w:val="24"/>
          <w:b/>
        </w:rPr>
        <w:t>陕西中经招标有限公司</w:t>
      </w:r>
    </w:p>
    <w:p>
      <w:pPr>
        <w:pStyle w:val="null3"/>
      </w:pPr>
      <w:r>
        <w:rPr/>
        <w:t xml:space="preserve"> 地址： </w:t>
      </w:r>
      <w:r>
        <w:rPr/>
        <w:t>陕西省西安市碑林区长安北路8B高速经纬大厦16层</w:t>
      </w:r>
    </w:p>
    <w:p>
      <w:pPr>
        <w:pStyle w:val="null3"/>
      </w:pPr>
      <w:r>
        <w:rPr/>
        <w:t xml:space="preserve"> 邮编： </w:t>
      </w:r>
      <w:r>
        <w:rPr/>
        <w:t>710000</w:t>
      </w:r>
    </w:p>
    <w:p>
      <w:pPr>
        <w:pStyle w:val="null3"/>
      </w:pPr>
      <w:r>
        <w:rPr/>
        <w:t xml:space="preserve"> 联系人： </w:t>
      </w:r>
      <w:r>
        <w:rPr/>
        <w:t>张锦、盖莲花、郭燕妮</w:t>
      </w:r>
    </w:p>
    <w:p>
      <w:pPr>
        <w:pStyle w:val="null3"/>
      </w:pPr>
      <w:r>
        <w:rPr/>
        <w:t xml:space="preserve"> 联系电话： </w:t>
      </w:r>
      <w:r>
        <w:rPr/>
        <w:t>029-87888601-8014</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采购包1：350,000.00元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采购包1保证金金额：7,000.00元</w:t>
            </w:r>
          </w:p>
          <w:p>
            <w:pPr>
              <w:pStyle w:val="null3"/>
            </w:pPr>
            <w:r>
              <w:rPr/>
              <w:t>缴交渠道：电子保函,转账、支票、汇票等（需通过实体账户、户名及开户行信息）</w:t>
            </w:r>
          </w:p>
          <w:p>
            <w:pPr>
              <w:pStyle w:val="null3"/>
            </w:pPr>
            <w:r>
              <w:rPr/>
              <w:t>开户名称：陕西中经招标有限公司</w:t>
            </w:r>
          </w:p>
          <w:p>
            <w:pPr>
              <w:pStyle w:val="null3"/>
            </w:pPr>
            <w:r>
              <w:rPr/>
              <w:t>开户银行：中国工商银行股份有限公司大雁塔支行</w:t>
            </w:r>
          </w:p>
          <w:p>
            <w:pPr>
              <w:pStyle w:val="null3"/>
            </w:pPr>
            <w:r>
              <w:rPr/>
              <w:t>银行账号：3700022319200103385</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代理服务费收费标准：按计价格[2002]1980号文件及发改办【2003】857号文件规定标准支付。具体以代理机构出具的发票为准。</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陕西省文物局机关</w:t>
      </w:r>
      <w:r>
        <w:rPr/>
        <w:t>和</w:t>
      </w:r>
      <w:r>
        <w:rPr/>
        <w:t>陕西中经招标有限公司</w:t>
      </w:r>
      <w:r>
        <w:rPr/>
        <w:t>享有。对磋商文件中供应商参加本次政府采购活动应当具备的条件，磋商项目技术、服务、商务及其他要求，评审细则及标准由</w:t>
      </w:r>
      <w:r>
        <w:rPr/>
        <w:t>陕西省文物局机关</w:t>
      </w:r>
      <w:r>
        <w:rPr/>
        <w:t>负责解释。除上述磋商文件内容，其他内容由</w:t>
      </w:r>
      <w:r>
        <w:rPr/>
        <w:t>陕西中经招标有限公司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陕西省文物局机关</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陕西中经招标有限公司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1 、交付的服务必须等同或优于本项目采购文件“服务内容及要求”所述的标准。若乙方在其响应文件中承诺的技术标准优于本项目采购文件“服务内容及要求”所述标准的，按响应的承诺执行。 2 、中标（成交）供应商完成并交付的工作成果需经采购人验收合格，则视为接受。如果在验收时采购人表明不接受中标（成交）供应商提交的工作成果并明示不接受的原因，中标供应商应当采取合理之措施进行修改，以达到合同规定的要求。</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陕西中经招标有限公司</w:t>
      </w:r>
      <w:r>
        <w:rPr/>
        <w:t xml:space="preserve"> 负责答复；供应商对除采购需求外的采购文件的询问、质疑由</w:t>
      </w:r>
      <w:r>
        <w:rPr/>
        <w:t>陕西中经招标有限公司</w:t>
      </w:r>
      <w:r>
        <w:rPr/>
        <w:t xml:space="preserve"> 负责答复；供应商对采购过程、采购结果的询问、质疑由 </w:t>
      </w:r>
      <w:r>
        <w:rPr/>
        <w:t>陕西中经招标有限公司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联系人：张锦</w:t>
      </w:r>
    </w:p>
    <w:p>
      <w:pPr>
        <w:pStyle w:val="null3"/>
      </w:pPr>
      <w:r>
        <w:rPr/>
        <w:t>联系电话：029-87888601-8003</w:t>
      </w:r>
    </w:p>
    <w:p>
      <w:pPr>
        <w:pStyle w:val="null3"/>
      </w:pPr>
      <w:r>
        <w:rPr/>
        <w:t>地址：陕西省西安市碑林区长安北路8B高速经纬大厦16层</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陕西省文物局文物保护项目专项资金预算初审和绩效评价，分为两个包段，本次为1包采购。</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350,000.00</w:t>
      </w:r>
    </w:p>
    <w:p>
      <w:pPr>
        <w:pStyle w:val="null3"/>
      </w:pPr>
      <w:r>
        <w:rPr/>
        <w:t>采购包最高限价（元）: 350,000.00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文物保护项目资金预算初审</w:t>
            </w:r>
          </w:p>
        </w:tc>
        <w:tc>
          <w:tcPr>
            <w:tcW w:type="dxa" w:w="831"/>
          </w:tcPr>
          <w:p>
            <w:pPr>
              <w:pStyle w:val="null3"/>
              <w:jc w:val="right"/>
            </w:pPr>
            <w:r>
              <w:rPr/>
              <w:t>1.00</w:t>
            </w:r>
          </w:p>
        </w:tc>
        <w:tc>
          <w:tcPr>
            <w:tcW w:type="dxa" w:w="831"/>
          </w:tcPr>
          <w:p>
            <w:pPr>
              <w:pStyle w:val="null3"/>
              <w:jc w:val="right"/>
            </w:pPr>
            <w:r>
              <w:rPr/>
              <w:t>350,000.00</w:t>
            </w:r>
          </w:p>
        </w:tc>
        <w:tc>
          <w:tcPr>
            <w:tcW w:type="dxa" w:w="831"/>
          </w:tcPr>
          <w:p>
            <w:pPr>
              <w:pStyle w:val="null3"/>
            </w:pPr>
            <w:r>
              <w:rPr/>
              <w:t>项目</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标的名称：文物保护项目资金预算初审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0"/>
                <w:b/>
              </w:rPr>
              <w:t>一、服务内容</w:t>
            </w:r>
          </w:p>
          <w:p>
            <w:pPr>
              <w:pStyle w:val="null3"/>
              <w:ind w:firstLine="400"/>
              <w:jc w:val="both"/>
            </w:pPr>
            <w:r>
              <w:rPr>
                <w:rFonts w:ascii="宋体" w:hAnsi="宋体" w:cs="宋体" w:eastAsia="宋体"/>
                <w:sz w:val="20"/>
              </w:rPr>
              <w:t>完成陕西省文物局提供的文保项目预算初审及绩效目标审核。国专省专合计约</w:t>
            </w:r>
            <w:r>
              <w:rPr>
                <w:rFonts w:ascii="calibri, sans-serif" w:hAnsi="calibri, sans-serif" w:cs="calibri, sans-serif" w:eastAsia="calibri, sans-serif"/>
                <w:sz w:val="20"/>
              </w:rPr>
              <w:t>150</w:t>
            </w:r>
            <w:r>
              <w:rPr>
                <w:rFonts w:ascii="宋体" w:hAnsi="宋体" w:cs="宋体" w:eastAsia="宋体"/>
                <w:sz w:val="20"/>
              </w:rPr>
              <w:t>项，主要审核内容包含：</w:t>
            </w:r>
            <w:r>
              <w:rPr>
                <w:rFonts w:ascii="calibri, sans-serif" w:hAnsi="calibri, sans-serif" w:cs="calibri, sans-serif" w:eastAsia="calibri, sans-serif"/>
                <w:sz w:val="20"/>
              </w:rPr>
              <w:t>1</w:t>
            </w:r>
            <w:r>
              <w:rPr>
                <w:rFonts w:ascii="宋体" w:hAnsi="宋体" w:cs="宋体" w:eastAsia="宋体"/>
                <w:sz w:val="20"/>
              </w:rPr>
              <w:t>、对文保项目专项资金项目的概预算是否符合项目文物法律法规、相应批复内容及相关资金管理办法的要求；</w:t>
            </w:r>
            <w:r>
              <w:rPr>
                <w:rFonts w:ascii="calibri, sans-serif" w:hAnsi="calibri, sans-serif" w:cs="calibri, sans-serif" w:eastAsia="calibri, sans-serif"/>
                <w:sz w:val="20"/>
              </w:rPr>
              <w:t>2</w:t>
            </w:r>
            <w:r>
              <w:rPr>
                <w:rFonts w:ascii="宋体" w:hAnsi="宋体" w:cs="宋体" w:eastAsia="宋体"/>
                <w:sz w:val="20"/>
              </w:rPr>
              <w:t>、对项目概预算中的预算定额和取费及材料价格等重点环节进行审核。</w:t>
            </w:r>
          </w:p>
          <w:p>
            <w:pPr>
              <w:pStyle w:val="null3"/>
              <w:jc w:val="both"/>
            </w:pPr>
            <w:r>
              <w:rPr>
                <w:rFonts w:ascii="宋体" w:hAnsi="宋体" w:cs="宋体" w:eastAsia="宋体"/>
                <w:sz w:val="20"/>
                <w:b/>
              </w:rPr>
              <w:t>二、技术要求</w:t>
            </w:r>
          </w:p>
          <w:p>
            <w:pPr>
              <w:pStyle w:val="null3"/>
              <w:jc w:val="both"/>
            </w:pPr>
            <w:r>
              <w:rPr>
                <w:rFonts w:ascii="宋体" w:hAnsi="宋体" w:cs="宋体" w:eastAsia="宋体"/>
                <w:sz w:val="20"/>
              </w:rPr>
              <w:t>（一）成果文件要求</w:t>
            </w:r>
          </w:p>
          <w:p>
            <w:pPr>
              <w:pStyle w:val="null3"/>
              <w:jc w:val="both"/>
            </w:pPr>
            <w:r>
              <w:rPr>
                <w:rFonts w:ascii="宋体" w:hAnsi="宋体" w:cs="宋体" w:eastAsia="宋体"/>
                <w:sz w:val="21"/>
              </w:rPr>
              <w:t xml:space="preserve">  出具书面意见书，包括电子版</w:t>
            </w:r>
            <w:r>
              <w:rPr>
                <w:rFonts w:ascii="&quot;calibri&quot;, sans-serif" w:hAnsi="&quot;calibri&quot;, sans-serif" w:cs="&quot;calibri&quot;, sans-serif" w:eastAsia="&quot;calibri&quot;, sans-serif"/>
                <w:sz w:val="21"/>
              </w:rPr>
              <w:t>1</w:t>
            </w:r>
            <w:r>
              <w:rPr>
                <w:rFonts w:ascii="宋体" w:hAnsi="宋体" w:cs="宋体" w:eastAsia="宋体"/>
                <w:sz w:val="21"/>
              </w:rPr>
              <w:t>套、纸质成果</w:t>
            </w:r>
            <w:r>
              <w:rPr>
                <w:rFonts w:ascii="&quot;calibri&quot;, sans-serif" w:hAnsi="&quot;calibri&quot;, sans-serif" w:cs="&quot;calibri&quot;, sans-serif" w:eastAsia="&quot;calibri&quot;, sans-serif"/>
                <w:sz w:val="21"/>
              </w:rPr>
              <w:t>2</w:t>
            </w:r>
            <w:r>
              <w:rPr>
                <w:rFonts w:ascii="宋体" w:hAnsi="宋体" w:cs="宋体" w:eastAsia="宋体"/>
                <w:sz w:val="21"/>
              </w:rPr>
              <w:t>套。出具的项目评审意见，能客观反映审核中发现的问题及问题产生的原因，指出下一步改进的方向和建议。并确保事实清楚、依据充分、真实完整、数据准确、分析透彻、逻辑清晰、客观公正、结论科学。</w:t>
            </w:r>
          </w:p>
        </w:tc>
      </w:tr>
    </w:tbl>
    <w:p>
      <w:pPr>
        <w:pStyle w:val="null3"/>
        <w:outlineLvl w:val="2"/>
      </w:pPr>
      <w:r>
        <w:rPr>
          <w:sz w:val="28"/>
          <w:b/>
        </w:rPr>
        <w:t>3.2.3人员配置要求</w:t>
      </w:r>
    </w:p>
    <w:p>
      <w:pPr>
        <w:pStyle w:val="null3"/>
      </w:pPr>
      <w:r>
        <w:rPr/>
        <w:t>采购包1：</w:t>
      </w:r>
    </w:p>
    <w:p>
      <w:pPr>
        <w:pStyle w:val="null3"/>
      </w:pPr>
      <w:r>
        <w:rPr/>
        <w:t>按项目服务要求配置人员，确保项目顺利实施。</w:t>
      </w:r>
    </w:p>
    <w:p>
      <w:pPr>
        <w:pStyle w:val="null3"/>
        <w:outlineLvl w:val="2"/>
      </w:pPr>
      <w:r>
        <w:rPr>
          <w:sz w:val="28"/>
          <w:b/>
        </w:rPr>
        <w:t>3.2.4设施设备要求</w:t>
      </w:r>
    </w:p>
    <w:p>
      <w:pPr>
        <w:pStyle w:val="null3"/>
      </w:pPr>
      <w:r>
        <w:rPr/>
        <w:t>采购包1：</w:t>
      </w:r>
    </w:p>
    <w:p>
      <w:pPr>
        <w:pStyle w:val="null3"/>
      </w:pPr>
      <w:r>
        <w:rPr/>
        <w:t>按项目服务要求配置，确保项目顺利实施。</w:t>
      </w:r>
    </w:p>
    <w:p>
      <w:pPr>
        <w:pStyle w:val="null3"/>
        <w:outlineLvl w:val="2"/>
      </w:pPr>
      <w:r>
        <w:rPr>
          <w:sz w:val="28"/>
          <w:b/>
        </w:rPr>
        <w:t>3.2.5其他要求</w:t>
      </w:r>
    </w:p>
    <w:p>
      <w:pPr>
        <w:pStyle w:val="null3"/>
      </w:pPr>
      <w:r>
        <w:rPr/>
        <w:t>采购包1：</w:t>
      </w:r>
    </w:p>
    <w:p>
      <w:pPr>
        <w:pStyle w:val="null3"/>
      </w:pPr>
      <w:r>
        <w:rPr/>
        <w:t>按服务要求及合同条款执行。</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合同签订之日起至2025年6月30日</w:t>
      </w:r>
    </w:p>
    <w:p>
      <w:pPr>
        <w:pStyle w:val="null3"/>
        <w:outlineLvl w:val="3"/>
      </w:pPr>
      <w:r>
        <w:rPr>
          <w:sz w:val="24"/>
          <w:b/>
        </w:rPr>
        <w:t>3.3.2服务地点</w:t>
      </w:r>
    </w:p>
    <w:p>
      <w:pPr>
        <w:pStyle w:val="null3"/>
      </w:pPr>
      <w:r>
        <w:rPr/>
        <w:t>采购包1：</w:t>
      </w:r>
    </w:p>
    <w:p>
      <w:pPr>
        <w:pStyle w:val="null3"/>
      </w:pPr>
      <w:r>
        <w:rPr/>
        <w:t>雁塔西路193号</w:t>
      </w:r>
    </w:p>
    <w:p>
      <w:pPr>
        <w:pStyle w:val="null3"/>
        <w:outlineLvl w:val="3"/>
      </w:pPr>
      <w:r>
        <w:rPr>
          <w:sz w:val="24"/>
          <w:b/>
        </w:rPr>
        <w:t>3.3.3考核（验收）标准和方法</w:t>
      </w:r>
    </w:p>
    <w:p>
      <w:pPr>
        <w:pStyle w:val="null3"/>
      </w:pPr>
      <w:r>
        <w:rPr/>
        <w:t>采购包1：</w:t>
      </w:r>
    </w:p>
    <w:p>
      <w:pPr>
        <w:pStyle w:val="null3"/>
      </w:pPr>
      <w:r>
        <w:rPr/>
        <w:t>1 、交付的服务必须等同或优于本项目采购文件“服务内容及要求”所述的标准。若乙方在其响应文件中承诺的技术标准优于本项目采购文件“服务内容及要求”所述标准的，按响应的承诺执行。 2 、中标（成交）供应商完成并交付的工作成果需经采购人验收合格，则视为接受。如果在验收时采购人表明不接受中标（成交）供应商提交的工作成果并明示不接受的原因，中标供应商应当采取合理之措施进行修改，以达到合同规定的要求。</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w:t>
      </w:r>
      <w:r>
        <w:rPr/>
        <w:t xml:space="preserve"> ，达到付款条件起 </w:t>
      </w:r>
      <w:r>
        <w:rPr/>
        <w:t>15</w:t>
      </w:r>
      <w:r>
        <w:rPr/>
        <w:t xml:space="preserve"> 日内，支付合同总金额的 </w:t>
      </w:r>
      <w:r>
        <w:rPr/>
        <w:t>40.00</w:t>
      </w:r>
      <w:r>
        <w:rPr/>
        <w:t>%。</w:t>
      </w:r>
    </w:p>
    <w:p>
      <w:pPr>
        <w:pStyle w:val="null3"/>
      </w:pPr>
      <w:r>
        <w:rPr/>
        <w:t>采购包1：</w:t>
      </w:r>
      <w:r>
        <w:rPr/>
        <w:t xml:space="preserve"> 付款条件说明： </w:t>
      </w:r>
      <w:r>
        <w:rPr/>
        <w:t>项目实施完成经采购人验收合格后</w:t>
      </w:r>
      <w:r>
        <w:rPr/>
        <w:t xml:space="preserve"> ，达到付款条件起 </w:t>
      </w:r>
      <w:r>
        <w:rPr/>
        <w:t>15</w:t>
      </w:r>
      <w:r>
        <w:rPr/>
        <w:t xml:space="preserve"> 日内，支付合同总金额的 </w:t>
      </w:r>
      <w:r>
        <w:rPr/>
        <w:t>60.00</w:t>
      </w:r>
      <w:r>
        <w:rPr/>
        <w:t>%。</w:t>
      </w:r>
    </w:p>
    <w:p>
      <w:pPr>
        <w:pStyle w:val="null3"/>
        <w:outlineLvl w:val="3"/>
      </w:pPr>
      <w:r>
        <w:rPr>
          <w:sz w:val="24"/>
          <w:b/>
        </w:rPr>
        <w:t>3.3.6违约责任及解决争议的方法</w:t>
      </w:r>
    </w:p>
    <w:p>
      <w:pPr>
        <w:pStyle w:val="null3"/>
      </w:pPr>
      <w:r>
        <w:rPr/>
        <w:t>采购包1：</w:t>
      </w:r>
    </w:p>
    <w:p>
      <w:pPr>
        <w:pStyle w:val="null3"/>
      </w:pPr>
      <w:r>
        <w:rPr/>
        <w:t>（1）按《中华人民共和国民法典》中的相关条款执行。（2）如有纠纷，双方友好协商解决，协商不成时可诉讼到采购人所在地人民法院解决</w:t>
      </w:r>
    </w:p>
    <w:p>
      <w:pPr>
        <w:pStyle w:val="null3"/>
        <w:outlineLvl w:val="2"/>
      </w:pPr>
      <w:r>
        <w:rPr>
          <w:sz w:val="28"/>
          <w:b/>
        </w:rPr>
        <w:t>3.4其他要求</w:t>
      </w:r>
    </w:p>
    <w:p>
      <w:pPr>
        <w:pStyle w:val="null3"/>
      </w:pPr>
      <w:r>
        <w:rPr/>
        <w:t>双方均应保护对方的知识产权，未经对方同意，任何一方均不得对对方的资料及文件擅自修改、复制或向第三人转让或用于本合同项目外的项目。如发生以上情况，泄密方承担一切由此引起的后果并承担赔偿责任。</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1.资格证明资料-1包</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资格审查共10项</w:t>
            </w:r>
          </w:p>
        </w:tc>
        <w:tc>
          <w:tcPr>
            <w:tcW w:type="dxa" w:w="3322"/>
          </w:tcPr>
          <w:p>
            <w:pPr>
              <w:pStyle w:val="null3"/>
            </w:pPr>
            <w:r>
              <w:rPr/>
              <w:t>（1）主体资格 ：供应商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 （2）授权委托 ：供应商应授权合法的人员参加投标全过程，其中法定代表人/负责人直接投标，须提交法定代表人/负责人身份证明书和身份证；法定代表人/负责人授权代表参加投标的，须出具法定代表人/负责人授权书及授权代表身份证；竞争性磋商文件中凡是需要法定代表人签字或盖章之处，非法人单位的负责人均参照执行。供应商需在项目电子化交易系统中按要求上传相应证明文件并进行电子签章。 （3）财务状况报告 ：提供2023年度经审计的财务报告（包含审计报告和审计报告中所涉及的财务报表和报表附注），或提供2023年度供应商完整的全套财务报表（应当包括资产负债表、利润表、现金流量表、所有者权益变动表、附注），或提2024年5月1日以来银行出具的资信证明，或提供财政部门认可的政府采购专业担保机构出具的响应担保函，或供应商注册时间至投标文件提交截止日不足一年的，也可提供在工商管理部门备案的公司章程（以上五种形式的资料提供任何一种即可）。供应商需在项目电子化交易系统中按要求上传相应证明文件并进行电子签章。 （4）社会保障资金缴纳证明 ：提供2023年11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供应商需在项目电子化交易系统中按要求上传相应证明文件并进行电子签章。 （5）税收缴纳证明：提供2023年11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供应商需在项目电子化交易系统中按要求上传相应证明文件并进行电子签章。 （6）书面声明：参加本次政府采购活动前3年内在经营活动中没有重大违纪，以及未被列入失信被执行人、重大税收违法案件当事人名单、政府采购严重违法失信行为记录名单的书面声明；供应商需在项目电子化交易系统中按要求上传相应证明文件并进行电子签章。 （7）承诺函：提供具有履行合同所必需的设备和专业技术能力的承诺；供应商需在项目电子化交易系统中按要求上传相应证明文件并进行电子签章。 （8）与招标人存在利害关系可能影响招标公正性的单位，不得参加投标。单位负责人为同一人或者存在控股、管理关系的不同单位，不得参加同一标段投标，否则，相关投标均无效。 （9）中小企业证明：本包段为专门面向中小企业采购，具体要求：承接服务的供应商应为中型、小型、微型企业或监狱企业或残疾人福利性单位。承接服务的供应商为中型、小型、微型企业的，投标人提供《中小企业声明函》原件，且中小企业的划分标准所属行业为其他未列明行业；承接服务的供应商为监狱企业的，投标人应提供承接服务的供应商为监狱企业的证明文件原件（监狱企业视同小型、微型企业）；承接服务的供应商为残疾人福利性单位的，投标人应提供承接服务的供应商为残疾人福利性单位的《残疾人福利性单位声明函》原件（残疾人福利性单位视同小型、微型企业）。 （10）特定资质：具备文物保护工程勘察设计乙级以上（含乙级）资质。供应商需在项目电子化交易系统中按要求上传相应证明文件并进行电子签章。</w:t>
            </w:r>
          </w:p>
        </w:tc>
        <w:tc>
          <w:tcPr>
            <w:tcW w:type="dxa" w:w="1661"/>
          </w:tcPr>
          <w:p>
            <w:pPr>
              <w:pStyle w:val="null3"/>
            </w:pPr>
            <w:r>
              <w:rPr/>
              <w:t>1.资格证明资料-1包</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2.拒绝政府采购领域商业贿赂承诺书 标的清单 报价表</w:t>
            </w:r>
          </w:p>
        </w:tc>
      </w:tr>
      <w:tr>
        <w:tc>
          <w:tcPr>
            <w:tcW w:type="dxa" w:w="831"/>
          </w:tcPr>
          <w:p>
            <w:pPr>
              <w:pStyle w:val="null3"/>
            </w:pPr>
            <w:r>
              <w:rPr/>
              <w:t>2</w:t>
            </w:r>
          </w:p>
        </w:tc>
        <w:tc>
          <w:tcPr>
            <w:tcW w:type="dxa" w:w="2492"/>
          </w:tcPr>
          <w:p>
            <w:pPr>
              <w:pStyle w:val="null3"/>
            </w:pPr>
            <w:r>
              <w:rPr/>
              <w:t>供应商名称字章</w:t>
            </w:r>
          </w:p>
        </w:tc>
        <w:tc>
          <w:tcPr>
            <w:tcW w:type="dxa" w:w="3322"/>
          </w:tcPr>
          <w:p>
            <w:pPr>
              <w:pStyle w:val="null3"/>
            </w:pPr>
            <w:r>
              <w:rPr/>
              <w:t>供应商名称字章是否一致</w:t>
            </w:r>
          </w:p>
        </w:tc>
        <w:tc>
          <w:tcPr>
            <w:tcW w:type="dxa" w:w="1661"/>
          </w:tcPr>
          <w:p>
            <w:pPr>
              <w:pStyle w:val="null3"/>
            </w:pPr>
            <w:r>
              <w:rPr/>
              <w:t>响应文件封面 响应函</w:t>
            </w:r>
          </w:p>
        </w:tc>
      </w:tr>
      <w:tr>
        <w:tc>
          <w:tcPr>
            <w:tcW w:type="dxa" w:w="831"/>
          </w:tcPr>
          <w:p>
            <w:pPr>
              <w:pStyle w:val="null3"/>
            </w:pPr>
            <w:r>
              <w:rPr/>
              <w:t>3</w:t>
            </w:r>
          </w:p>
        </w:tc>
        <w:tc>
          <w:tcPr>
            <w:tcW w:type="dxa" w:w="2492"/>
          </w:tcPr>
          <w:p>
            <w:pPr>
              <w:pStyle w:val="null3"/>
            </w:pPr>
            <w:r>
              <w:rPr/>
              <w:t>磋商响应文件的签字盖章</w:t>
            </w:r>
          </w:p>
        </w:tc>
        <w:tc>
          <w:tcPr>
            <w:tcW w:type="dxa" w:w="3322"/>
          </w:tcPr>
          <w:p>
            <w:pPr>
              <w:pStyle w:val="null3"/>
            </w:pPr>
            <w:r>
              <w:rPr/>
              <w:t>磋商响应文件的签字盖章是否按照磋商文件要求进行的</w:t>
            </w:r>
          </w:p>
        </w:tc>
        <w:tc>
          <w:tcPr>
            <w:tcW w:type="dxa" w:w="1661"/>
          </w:tcPr>
          <w:p>
            <w:pPr>
              <w:pStyle w:val="null3"/>
            </w:pPr>
            <w:r>
              <w:rPr/>
              <w:t>响应文件封面 响应函</w:t>
            </w:r>
          </w:p>
        </w:tc>
      </w:tr>
      <w:tr>
        <w:tc>
          <w:tcPr>
            <w:tcW w:type="dxa" w:w="831"/>
          </w:tcPr>
          <w:p>
            <w:pPr>
              <w:pStyle w:val="null3"/>
            </w:pPr>
            <w:r>
              <w:rPr/>
              <w:t>4</w:t>
            </w:r>
          </w:p>
        </w:tc>
        <w:tc>
          <w:tcPr>
            <w:tcW w:type="dxa" w:w="2492"/>
          </w:tcPr>
          <w:p>
            <w:pPr>
              <w:pStyle w:val="null3"/>
            </w:pPr>
            <w:r>
              <w:rPr/>
              <w:t>磋商有效期</w:t>
            </w:r>
          </w:p>
        </w:tc>
        <w:tc>
          <w:tcPr>
            <w:tcW w:type="dxa" w:w="3322"/>
          </w:tcPr>
          <w:p>
            <w:pPr>
              <w:pStyle w:val="null3"/>
            </w:pPr>
            <w:r>
              <w:rPr/>
              <w:t>磋商有效期是否满足磋商最低要求90天</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磋商报价有效性</w:t>
            </w:r>
          </w:p>
        </w:tc>
        <w:tc>
          <w:tcPr>
            <w:tcW w:type="dxa" w:w="3322"/>
          </w:tcPr>
          <w:p>
            <w:pPr>
              <w:pStyle w:val="null3"/>
            </w:pPr>
            <w:r>
              <w:rPr/>
              <w:t>磋商报价是否唯一有效或磋商报价是否未超过采购预算</w:t>
            </w:r>
          </w:p>
        </w:tc>
        <w:tc>
          <w:tcPr>
            <w:tcW w:type="dxa" w:w="1661"/>
          </w:tcPr>
          <w:p>
            <w:pPr>
              <w:pStyle w:val="null3"/>
            </w:pPr>
            <w:r>
              <w:rPr/>
              <w:t>标的清单 报价表 3.分项报价表</w:t>
            </w:r>
          </w:p>
        </w:tc>
      </w:tr>
      <w:tr>
        <w:tc>
          <w:tcPr>
            <w:tcW w:type="dxa" w:w="831"/>
          </w:tcPr>
          <w:p>
            <w:pPr>
              <w:pStyle w:val="null3"/>
            </w:pPr>
            <w:r>
              <w:rPr/>
              <w:t>6</w:t>
            </w:r>
          </w:p>
        </w:tc>
        <w:tc>
          <w:tcPr>
            <w:tcW w:type="dxa" w:w="2492"/>
          </w:tcPr>
          <w:p>
            <w:pPr>
              <w:pStyle w:val="null3"/>
            </w:pPr>
            <w:r>
              <w:rPr/>
              <w:t>服务期、付款方式</w:t>
            </w:r>
          </w:p>
        </w:tc>
        <w:tc>
          <w:tcPr>
            <w:tcW w:type="dxa" w:w="3322"/>
          </w:tcPr>
          <w:p>
            <w:pPr>
              <w:pStyle w:val="null3"/>
            </w:pPr>
            <w:r>
              <w:rPr/>
              <w:t>服务期、付款方式是否响应磋商文件要求</w:t>
            </w:r>
          </w:p>
        </w:tc>
        <w:tc>
          <w:tcPr>
            <w:tcW w:type="dxa" w:w="1661"/>
          </w:tcPr>
          <w:p>
            <w:pPr>
              <w:pStyle w:val="null3"/>
            </w:pPr>
            <w:r>
              <w:rPr/>
              <w:t>5.商务应答表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详细评审80.0000分</w:t>
            </w:r>
          </w:p>
          <w:p>
            <w:pPr>
              <w:pStyle w:val="null3"/>
            </w:pPr>
            <w:r>
              <w:rPr/>
              <w:t>报价得分20.0000分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项目理解</w:t>
            </w:r>
          </w:p>
        </w:tc>
        <w:tc>
          <w:tcPr>
            <w:tcW w:type="dxa" w:w="2492"/>
          </w:tcPr>
          <w:p>
            <w:pPr>
              <w:pStyle w:val="null3"/>
            </w:pPr>
            <w:r>
              <w:rPr/>
              <w:t>根据本项目服务内容结合项目具体情况提供项目理解及需求分析，至少包含：①项目需求和实施特点的理解②文物项目相关法律法规理解③项目前期准备工作等进行评审。描述准确，需求分析透彻，完全包含以上3项且符合项目实际情况，每一项内容描述准确、透彻、全面得9分，每缺少一项扣3分，每有一项缺陷（缺陷是指不适用项目实际情况、凭空编造、存在逻辑漏洞、科学原理错误、不可能实现的夸大情形以及涉及的规范、标准与本项目要求不一致等）扣1分，扣完为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1.项目理解</w:t>
            </w:r>
          </w:p>
        </w:tc>
      </w:tr>
      <w:tr>
        <w:tc>
          <w:tcPr>
            <w:tcW w:type="dxa" w:w="831"/>
            <w:vMerge/>
          </w:tcPr>
          <w:p/>
        </w:tc>
        <w:tc>
          <w:tcPr>
            <w:tcW w:type="dxa" w:w="1661"/>
          </w:tcPr>
          <w:p>
            <w:pPr>
              <w:pStyle w:val="null3"/>
            </w:pPr>
            <w:r>
              <w:rPr/>
              <w:t>工作方案</w:t>
            </w:r>
          </w:p>
        </w:tc>
        <w:tc>
          <w:tcPr>
            <w:tcW w:type="dxa" w:w="2492"/>
          </w:tcPr>
          <w:p>
            <w:pPr>
              <w:pStyle w:val="null3"/>
            </w:pPr>
            <w:r>
              <w:rPr/>
              <w:t>本项目审核内容共2项，供应商根据第三章服务内容要求逐项提供工作方案，工作方案至少包含①审核思路②审核组织③实施方案等。方案内容完整，完全包含以上3项且符合项目实际情况，每项工作方案内容描述准确、透彻、全面得9分，每缺少一项工作方案扣3分，每有一项工作方案内容缺陷（缺陷是指不适用项目实际情况、凭空编造、存在逻辑漏洞、科学原理错误、不可能实现的夸大情形以及涉及的规范、标准与本项目要求不一致等）扣1分。2项审核内容，每项满分9分，共18分。</w:t>
            </w:r>
          </w:p>
        </w:tc>
        <w:tc>
          <w:tcPr>
            <w:tcW w:type="dxa" w:w="831"/>
          </w:tcPr>
          <w:p>
            <w:pPr>
              <w:pStyle w:val="null3"/>
              <w:jc w:val="right"/>
            </w:pPr>
            <w:r>
              <w:rPr/>
              <w:t>18.0000</w:t>
            </w:r>
          </w:p>
        </w:tc>
        <w:tc>
          <w:tcPr>
            <w:tcW w:type="dxa" w:w="831"/>
          </w:tcPr>
          <w:p>
            <w:pPr>
              <w:pStyle w:val="null3"/>
            </w:pPr>
            <w:r>
              <w:rPr/>
              <w:t>主观</w:t>
            </w:r>
          </w:p>
        </w:tc>
        <w:tc>
          <w:tcPr>
            <w:tcW w:type="dxa" w:w="1661"/>
          </w:tcPr>
          <w:p>
            <w:pPr>
              <w:pStyle w:val="null3"/>
            </w:pPr>
            <w:r>
              <w:rPr/>
              <w:t>4.服务内容响应表</w:t>
            </w:r>
          </w:p>
          <w:p>
            <w:pPr>
              <w:pStyle w:val="null3"/>
            </w:pPr>
            <w:r>
              <w:rPr/>
              <w:t>2.工作方案</w:t>
            </w:r>
          </w:p>
        </w:tc>
      </w:tr>
      <w:tr>
        <w:tc>
          <w:tcPr>
            <w:tcW w:type="dxa" w:w="831"/>
            <w:vMerge/>
          </w:tcPr>
          <w:p/>
        </w:tc>
        <w:tc>
          <w:tcPr>
            <w:tcW w:type="dxa" w:w="1661"/>
          </w:tcPr>
          <w:p>
            <w:pPr>
              <w:pStyle w:val="null3"/>
            </w:pPr>
            <w:r>
              <w:rPr/>
              <w:t>评审意见书出具</w:t>
            </w:r>
          </w:p>
        </w:tc>
        <w:tc>
          <w:tcPr>
            <w:tcW w:type="dxa" w:w="2492"/>
          </w:tcPr>
          <w:p>
            <w:pPr>
              <w:pStyle w:val="null3"/>
            </w:pPr>
            <w:r>
              <w:rPr/>
              <w:t>根据本项目服务内容及要求结合项目具体情况提供采购项目对应的评审意见书出具思路。评审依据①大纲思路清晰②内容完整详细③架构规范，根据以上评审依据响应程度每项计0-3分，共9分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3.评审意见书出具</w:t>
            </w:r>
          </w:p>
        </w:tc>
      </w:tr>
      <w:tr>
        <w:tc>
          <w:tcPr>
            <w:tcW w:type="dxa" w:w="831"/>
            <w:vMerge/>
          </w:tcPr>
          <w:p/>
        </w:tc>
        <w:tc>
          <w:tcPr>
            <w:tcW w:type="dxa" w:w="1661"/>
          </w:tcPr>
          <w:p>
            <w:pPr>
              <w:pStyle w:val="null3"/>
            </w:pPr>
            <w:r>
              <w:rPr/>
              <w:t>重点难点分析</w:t>
            </w:r>
          </w:p>
        </w:tc>
        <w:tc>
          <w:tcPr>
            <w:tcW w:type="dxa" w:w="2492"/>
          </w:tcPr>
          <w:p>
            <w:pPr>
              <w:pStyle w:val="null3"/>
            </w:pPr>
            <w:r>
              <w:rPr/>
              <w:t>根据供应商针对本项目提供的重点难点分析（包含但不限于①重点、难点问题罗列及原因②重点、难点问题应对措施等进行评审：重点难点分析完整，完全包含以上2项且满足实际工作需求，每一项内容描述详细内容全面得6分，每缺少一项扣3分，每有一项缺陷（缺陷是指不适用项目实际情况、凭空编造、存在逻辑漏洞、科学原理错误、不可能实现的夸大情形以及涉及的规范、标准与本项目要求不一致等）扣1分，扣完为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4.重点难点分析</w:t>
            </w:r>
          </w:p>
        </w:tc>
      </w:tr>
      <w:tr>
        <w:tc>
          <w:tcPr>
            <w:tcW w:type="dxa" w:w="831"/>
            <w:vMerge/>
          </w:tcPr>
          <w:p/>
        </w:tc>
        <w:tc>
          <w:tcPr>
            <w:tcW w:type="dxa" w:w="1661"/>
          </w:tcPr>
          <w:p>
            <w:pPr>
              <w:pStyle w:val="null3"/>
            </w:pPr>
            <w:r>
              <w:rPr/>
              <w:t>项目组织方式、工作机制，工作流程方案</w:t>
            </w:r>
          </w:p>
        </w:tc>
        <w:tc>
          <w:tcPr>
            <w:tcW w:type="dxa" w:w="2492"/>
          </w:tcPr>
          <w:p>
            <w:pPr>
              <w:pStyle w:val="null3"/>
            </w:pPr>
            <w:r>
              <w:rPr/>
              <w:t>根据项目服务内容及要求提供①组织方式②工作机制③工作流程等进行评审。方案完整，完全包含以上3项且满足实际工作需求，每一项内容描述详细内容全面得6分，每缺少一项扣2分，每有一项缺陷（缺陷是指不适用项目实际情况、凭空编造、存在逻辑漏洞、科学原理错误、不可能实现的夸大情形以及涉及的规范、标准与本项目要求不一致等）扣1分，扣完为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5.项目组织方式、工作机制，工作流程方案</w:t>
            </w:r>
          </w:p>
        </w:tc>
      </w:tr>
      <w:tr>
        <w:tc>
          <w:tcPr>
            <w:tcW w:type="dxa" w:w="831"/>
            <w:vMerge/>
          </w:tcPr>
          <w:p/>
        </w:tc>
        <w:tc>
          <w:tcPr>
            <w:tcW w:type="dxa" w:w="1661"/>
          </w:tcPr>
          <w:p>
            <w:pPr>
              <w:pStyle w:val="null3"/>
            </w:pPr>
            <w:r>
              <w:rPr/>
              <w:t>团队人员</w:t>
            </w:r>
          </w:p>
        </w:tc>
        <w:tc>
          <w:tcPr>
            <w:tcW w:type="dxa" w:w="2492"/>
          </w:tcPr>
          <w:p>
            <w:pPr>
              <w:pStyle w:val="null3"/>
            </w:pPr>
            <w:r>
              <w:rPr/>
              <w:t>供应商根据项目交付情况合理配置项目团队。 1、项目团队人员4人及以上得3分，项目团队人员2-3人得2分，项目团队人员2人以下不得分； 2、项目团队人员每有一位工作经验5年及以上计2分，最多得4分；项目团队人员每有一位工作经验3-4年以上不足5年计1分，最多得2分；2年以下工作经验不得分。满分6分； 3、项目团队人员中有预算初审相关专业证书的，每有一个证书得1分，满分3分。（以上人员均须为供应商本单位人员，提供身份证、人员证书、毕业证书与供应商劳动关系（劳动合同或社保缴纳证明）等证明材料并加盖供应商公章，未提供不得分。）</w:t>
            </w:r>
          </w:p>
        </w:tc>
        <w:tc>
          <w:tcPr>
            <w:tcW w:type="dxa" w:w="831"/>
          </w:tcPr>
          <w:p>
            <w:pPr>
              <w:pStyle w:val="null3"/>
              <w:jc w:val="right"/>
            </w:pPr>
            <w:r>
              <w:rPr/>
              <w:t>12.0000</w:t>
            </w:r>
          </w:p>
        </w:tc>
        <w:tc>
          <w:tcPr>
            <w:tcW w:type="dxa" w:w="831"/>
          </w:tcPr>
          <w:p>
            <w:pPr>
              <w:pStyle w:val="null3"/>
            </w:pPr>
            <w:r>
              <w:rPr/>
              <w:t>客观</w:t>
            </w:r>
          </w:p>
        </w:tc>
        <w:tc>
          <w:tcPr>
            <w:tcW w:type="dxa" w:w="1661"/>
          </w:tcPr>
          <w:p>
            <w:pPr>
              <w:pStyle w:val="null3"/>
            </w:pPr>
            <w:r>
              <w:rPr/>
              <w:t>6.团队人员</w:t>
            </w:r>
          </w:p>
        </w:tc>
      </w:tr>
      <w:tr>
        <w:tc>
          <w:tcPr>
            <w:tcW w:type="dxa" w:w="831"/>
            <w:vMerge/>
          </w:tcPr>
          <w:p/>
        </w:tc>
        <w:tc>
          <w:tcPr>
            <w:tcW w:type="dxa" w:w="1661"/>
          </w:tcPr>
          <w:p>
            <w:pPr>
              <w:pStyle w:val="null3"/>
            </w:pPr>
            <w:r>
              <w:rPr/>
              <w:t>综合实力</w:t>
            </w:r>
          </w:p>
        </w:tc>
        <w:tc>
          <w:tcPr>
            <w:tcW w:type="dxa" w:w="2492"/>
          </w:tcPr>
          <w:p>
            <w:pPr>
              <w:pStyle w:val="null3"/>
            </w:pPr>
            <w:r>
              <w:rPr/>
              <w:t>1、供应商具备完善的质量管理体系、环境管理体系、职业健康安全管理体系，需提供有效的证书扫描件，每个证书1分，满分3分；未提供不得分。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7.综合实力</w:t>
            </w:r>
          </w:p>
        </w:tc>
      </w:tr>
      <w:tr>
        <w:tc>
          <w:tcPr>
            <w:tcW w:type="dxa" w:w="831"/>
            <w:vMerge/>
          </w:tcPr>
          <w:p/>
        </w:tc>
        <w:tc>
          <w:tcPr>
            <w:tcW w:type="dxa" w:w="1661"/>
          </w:tcPr>
          <w:p>
            <w:pPr>
              <w:pStyle w:val="null3"/>
            </w:pPr>
            <w:r>
              <w:rPr/>
              <w:t>服务承诺及合理化建议</w:t>
            </w:r>
          </w:p>
        </w:tc>
        <w:tc>
          <w:tcPr>
            <w:tcW w:type="dxa" w:w="2492"/>
          </w:tcPr>
          <w:p>
            <w:pPr>
              <w:pStyle w:val="null3"/>
            </w:pPr>
            <w:r>
              <w:rPr/>
              <w:t>供应商根据项目服务内容提供：①服务承诺②合理化建议等方面。方案完全包含以上2项内容且满足实际工作需求，每一项内容描述详细内容全面得4分，每缺少一项扣2分，每有一项缺陷（缺陷是指不适用项目实际情况、凭空编造、存在逻辑漏洞、科学原理错误、不可能实现的夸大情形以及涉及的规范、标准与本项目要求不一致等）扣1分，扣完为止。未提供不计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8.服务承诺及合理化建议</w:t>
            </w:r>
          </w:p>
        </w:tc>
      </w:tr>
      <w:tr>
        <w:tc>
          <w:tcPr>
            <w:tcW w:type="dxa" w:w="831"/>
            <w:vMerge/>
          </w:tcPr>
          <w:p/>
        </w:tc>
        <w:tc>
          <w:tcPr>
            <w:tcW w:type="dxa" w:w="1661"/>
          </w:tcPr>
          <w:p>
            <w:pPr>
              <w:pStyle w:val="null3"/>
            </w:pPr>
            <w:r>
              <w:rPr/>
              <w:t>安全管理及保密方案</w:t>
            </w:r>
          </w:p>
        </w:tc>
        <w:tc>
          <w:tcPr>
            <w:tcW w:type="dxa" w:w="2492"/>
          </w:tcPr>
          <w:p>
            <w:pPr>
              <w:pStyle w:val="null3"/>
            </w:pPr>
            <w:r>
              <w:rPr/>
              <w:t>供应商根据项目服务内容提供安全管理及保密方案，包含但不限于①保密方案②安全管理方案；方案完全包含以上2项具体内容、方式且满足实际工作需求，每一项内容描述详细内容全面得4分，每缺少一项扣2分，每有一项缺陷（缺陷是指不适用项目实际情况、凭空编造、存在逻辑漏洞、科学原理错误、不可能实现的夸大情形以及涉及的规范、标准与本项目要求不一致等）扣1分，扣完为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9.安全管理及保密方案</w:t>
            </w:r>
          </w:p>
        </w:tc>
      </w:tr>
      <w:tr>
        <w:tc>
          <w:tcPr>
            <w:tcW w:type="dxa" w:w="831"/>
            <w:vMerge/>
          </w:tcPr>
          <w:p/>
        </w:tc>
        <w:tc>
          <w:tcPr>
            <w:tcW w:type="dxa" w:w="1661"/>
          </w:tcPr>
          <w:p>
            <w:pPr>
              <w:pStyle w:val="null3"/>
            </w:pPr>
            <w:r>
              <w:rPr/>
              <w:t>业绩</w:t>
            </w:r>
          </w:p>
        </w:tc>
        <w:tc>
          <w:tcPr>
            <w:tcW w:type="dxa" w:w="2492"/>
          </w:tcPr>
          <w:p>
            <w:pPr>
              <w:pStyle w:val="null3"/>
            </w:pPr>
            <w:r>
              <w:rPr/>
              <w:t>提供2021年1月1日至磋商截止时间前类似项目的业绩证明材料（以合同签订日期为准）每提供一份有效业绩证明材料计1.5分，最高得9分。未提供业绩证明材料或业绩证明材料不符合要求不计分。注：业绩证明材料复印件至少包括完整合同），否则不予认定。</w:t>
            </w:r>
          </w:p>
        </w:tc>
        <w:tc>
          <w:tcPr>
            <w:tcW w:type="dxa" w:w="831"/>
          </w:tcPr>
          <w:p>
            <w:pPr>
              <w:pStyle w:val="null3"/>
              <w:jc w:val="right"/>
            </w:pPr>
            <w:r>
              <w:rPr/>
              <w:t>9.0000</w:t>
            </w:r>
          </w:p>
        </w:tc>
        <w:tc>
          <w:tcPr>
            <w:tcW w:type="dxa" w:w="831"/>
          </w:tcPr>
          <w:p>
            <w:pPr>
              <w:pStyle w:val="null3"/>
            </w:pPr>
            <w:r>
              <w:rPr/>
              <w:t>客观</w:t>
            </w:r>
          </w:p>
        </w:tc>
        <w:tc>
          <w:tcPr>
            <w:tcW w:type="dxa" w:w="1661"/>
          </w:tcPr>
          <w:p>
            <w:pPr>
              <w:pStyle w:val="null3"/>
            </w:pPr>
            <w:r>
              <w:rPr/>
              <w:t>10.业绩</w:t>
            </w:r>
          </w:p>
        </w:tc>
      </w:tr>
      <w:tr>
        <w:tc>
          <w:tcPr>
            <w:tcW w:type="dxa" w:w="831"/>
          </w:tcPr>
          <w:p>
            <w:pPr>
              <w:pStyle w:val="null3"/>
            </w:pPr>
            <w:r>
              <w:rPr/>
              <w:t>价格分</w:t>
            </w:r>
          </w:p>
        </w:tc>
        <w:tc>
          <w:tcPr>
            <w:tcW w:type="dxa" w:w="1661"/>
          </w:tcPr>
          <w:p>
            <w:pPr>
              <w:pStyle w:val="null3"/>
            </w:pPr>
            <w:r>
              <w:rPr/>
              <w:t>投标价格得分</w:t>
            </w:r>
          </w:p>
        </w:tc>
        <w:tc>
          <w:tcPr>
            <w:tcW w:type="dxa" w:w="2492"/>
          </w:tcPr>
          <w:p>
            <w:pPr>
              <w:pStyle w:val="null3"/>
            </w:pPr>
            <w:r>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详见附件：1.资格证明资料-1包</w:t>
      </w:r>
    </w:p>
    <w:p>
      <w:pPr>
        <w:pStyle w:val="null3"/>
        <w:ind w:firstLine="960"/>
      </w:pPr>
      <w:r>
        <w:rPr/>
        <w:t>详见附件：2.拒绝政府采购领域商业贿赂承诺书</w:t>
      </w:r>
    </w:p>
    <w:p>
      <w:pPr>
        <w:pStyle w:val="null3"/>
        <w:ind w:firstLine="960"/>
      </w:pPr>
      <w:r>
        <w:rPr/>
        <w:t>详见附件：3.分项报价表</w:t>
      </w:r>
    </w:p>
    <w:p>
      <w:pPr>
        <w:pStyle w:val="null3"/>
        <w:ind w:firstLine="960"/>
      </w:pPr>
      <w:r>
        <w:rPr/>
        <w:t>详见附件：4.服务内容响应表</w:t>
      </w:r>
    </w:p>
    <w:p>
      <w:pPr>
        <w:pStyle w:val="null3"/>
        <w:ind w:firstLine="960"/>
      </w:pPr>
      <w:r>
        <w:rPr/>
        <w:t>详见附件：5.商务应答表</w:t>
      </w:r>
    </w:p>
    <w:p>
      <w:pPr>
        <w:pStyle w:val="null3"/>
        <w:ind w:firstLine="960"/>
      </w:pPr>
      <w:r>
        <w:rPr/>
        <w:t>详见附件：1.项目理解</w:t>
      </w:r>
    </w:p>
    <w:p>
      <w:pPr>
        <w:pStyle w:val="null3"/>
        <w:ind w:firstLine="960"/>
      </w:pPr>
      <w:r>
        <w:rPr/>
        <w:t>详见附件：2.工作方案</w:t>
      </w:r>
    </w:p>
    <w:p>
      <w:pPr>
        <w:pStyle w:val="null3"/>
        <w:ind w:firstLine="960"/>
      </w:pPr>
      <w:r>
        <w:rPr/>
        <w:t>详见附件：3.评审意见书出具</w:t>
      </w:r>
    </w:p>
    <w:p>
      <w:pPr>
        <w:pStyle w:val="null3"/>
        <w:ind w:firstLine="960"/>
      </w:pPr>
      <w:r>
        <w:rPr/>
        <w:t>详见附件：4.重点难点分析</w:t>
      </w:r>
    </w:p>
    <w:p>
      <w:pPr>
        <w:pStyle w:val="null3"/>
        <w:ind w:firstLine="960"/>
      </w:pPr>
      <w:r>
        <w:rPr/>
        <w:t>详见附件：5.项目组织方式、工作机制，工作流程方案</w:t>
      </w:r>
    </w:p>
    <w:p>
      <w:pPr>
        <w:pStyle w:val="null3"/>
        <w:ind w:firstLine="960"/>
      </w:pPr>
      <w:r>
        <w:rPr/>
        <w:t>详见附件：6.团队人员</w:t>
      </w:r>
    </w:p>
    <w:p>
      <w:pPr>
        <w:pStyle w:val="null3"/>
        <w:ind w:firstLine="960"/>
      </w:pPr>
      <w:r>
        <w:rPr/>
        <w:t>详见附件：7.综合实力</w:t>
      </w:r>
    </w:p>
    <w:p>
      <w:pPr>
        <w:pStyle w:val="null3"/>
        <w:ind w:firstLine="960"/>
      </w:pPr>
      <w:r>
        <w:rPr/>
        <w:t>详见附件：8.服务承诺及合理化建议</w:t>
      </w:r>
    </w:p>
    <w:p>
      <w:pPr>
        <w:pStyle w:val="null3"/>
        <w:ind w:firstLine="960"/>
      </w:pPr>
      <w:r>
        <w:rPr/>
        <w:t>详见附件：9.安全管理及保密方案</w:t>
      </w:r>
    </w:p>
    <w:p>
      <w:pPr>
        <w:pStyle w:val="null3"/>
        <w:ind w:firstLine="960"/>
      </w:pPr>
      <w:r>
        <w:rPr/>
        <w:t>详见附件：10.业绩</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详见附件：合同范本.docx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