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CD58B">
      <w:pPr>
        <w:jc w:val="center"/>
        <w:rPr>
          <w:rFonts w:hint="eastAsia" w:ascii="宋体" w:hAnsi="宋体"/>
          <w:sz w:val="28"/>
          <w:szCs w:val="28"/>
        </w:rPr>
      </w:pPr>
      <w:r>
        <w:rPr>
          <w:rFonts w:hint="eastAsia" w:ascii="宋体" w:hAnsi="宋体"/>
          <w:b/>
          <w:sz w:val="28"/>
          <w:szCs w:val="28"/>
        </w:rPr>
        <w:t>合同范本（仅供参考）</w:t>
      </w:r>
    </w:p>
    <w:p w14:paraId="377B7A0A">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（以下简称甲方）</w:t>
      </w:r>
      <w:r>
        <w:rPr>
          <w:rFonts w:hint="eastAsia" w:ascii="宋体" w:hAnsi="宋体" w:eastAsia="宋体" w:cs="宋体"/>
          <w:sz w:val="24"/>
          <w:u w:val="single"/>
        </w:rPr>
        <w:t xml:space="preserve">         </w:t>
      </w:r>
      <w:r>
        <w:rPr>
          <w:rFonts w:hint="eastAsia" w:ascii="宋体" w:hAnsi="宋体" w:eastAsia="宋体" w:cs="宋体"/>
          <w:sz w:val="24"/>
        </w:rPr>
        <w:t>采购，在</w:t>
      </w:r>
      <w:r>
        <w:rPr>
          <w:rFonts w:hint="eastAsia" w:ascii="宋体" w:hAnsi="宋体" w:eastAsia="宋体" w:cs="宋体"/>
          <w:sz w:val="24"/>
          <w:u w:val="single"/>
        </w:rPr>
        <w:t>陕西省财政厅政府采购管理处</w:t>
      </w:r>
      <w:r>
        <w:rPr>
          <w:rFonts w:hint="eastAsia" w:ascii="宋体" w:hAnsi="宋体" w:eastAsia="宋体" w:cs="宋体"/>
          <w:sz w:val="24"/>
        </w:rPr>
        <w:t>的监督管理下，由</w:t>
      </w:r>
      <w:r>
        <w:rPr>
          <w:rFonts w:hint="eastAsia" w:ascii="宋体" w:hAnsi="宋体" w:eastAsia="宋体" w:cs="宋体"/>
          <w:sz w:val="24"/>
          <w:u w:val="single"/>
        </w:rPr>
        <w:t>陕西开源招标有限公司</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(以下简称乙方）为该项目中标人。依据《中华人民共和国民法典》和《中华人民共和国政府采购法》，经甲、乙双方共同协商，按下述条款和条件签署本合同。</w:t>
      </w:r>
    </w:p>
    <w:p w14:paraId="481DE981">
      <w:pPr>
        <w:spacing w:line="360" w:lineRule="auto"/>
        <w:jc w:val="left"/>
        <w:rPr>
          <w:rFonts w:hint="eastAsia" w:ascii="宋体" w:hAnsi="宋体" w:eastAsia="宋体" w:cs="宋体"/>
          <w:b/>
          <w:sz w:val="24"/>
        </w:rPr>
      </w:pPr>
      <w:r>
        <w:rPr>
          <w:rFonts w:hint="eastAsia" w:ascii="宋体" w:hAnsi="宋体" w:eastAsia="宋体" w:cs="宋体"/>
          <w:b/>
          <w:sz w:val="24"/>
        </w:rPr>
        <w:t>一、合同内容</w:t>
      </w:r>
    </w:p>
    <w:p w14:paraId="72093445">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乙方负责按照合同确定的产品名称、规格型号、数量、产地、配置内容及技术标准组织供货（具体采购项目见附件1），按时运到甲方指定的交货地点；负责设备到货后的安装及调试；确保所有产品各项指标达到要求；负责操作和管理人员的培训工作，保证甲方能够正常操作和维护，同时乙方根据产品的使用特性做好售后服务。 </w:t>
      </w:r>
    </w:p>
    <w:p w14:paraId="5E74CAF8">
      <w:pPr>
        <w:spacing w:line="360" w:lineRule="auto"/>
        <w:jc w:val="left"/>
        <w:rPr>
          <w:rFonts w:hint="eastAsia" w:ascii="宋体" w:hAnsi="宋体" w:eastAsia="宋体" w:cs="宋体"/>
          <w:b/>
          <w:sz w:val="24"/>
        </w:rPr>
      </w:pPr>
      <w:r>
        <w:rPr>
          <w:rFonts w:hint="eastAsia" w:ascii="宋体" w:hAnsi="宋体" w:eastAsia="宋体" w:cs="宋体"/>
          <w:b/>
          <w:sz w:val="24"/>
        </w:rPr>
        <w:t>二、合同价格</w:t>
      </w:r>
    </w:p>
    <w:p w14:paraId="67CC8C9B">
      <w:pPr>
        <w:spacing w:line="360" w:lineRule="auto"/>
        <w:ind w:left="480" w:leftChars="200"/>
        <w:jc w:val="left"/>
        <w:rPr>
          <w:rFonts w:hint="eastAsia" w:ascii="宋体" w:hAnsi="宋体" w:eastAsia="宋体" w:cs="宋体"/>
          <w:sz w:val="24"/>
        </w:rPr>
      </w:pPr>
      <w:r>
        <w:rPr>
          <w:rFonts w:hint="eastAsia" w:ascii="宋体" w:hAnsi="宋体" w:eastAsia="宋体" w:cs="宋体"/>
          <w:sz w:val="24"/>
        </w:rPr>
        <w:t>合同总价：</w:t>
      </w:r>
      <w:r>
        <w:rPr>
          <w:rFonts w:hint="eastAsia" w:ascii="宋体" w:hAnsi="宋体" w:eastAsia="宋体" w:cs="宋体"/>
          <w:sz w:val="24"/>
          <w:u w:val="single"/>
        </w:rPr>
        <w:t xml:space="preserve">人民币       元整（¥         元） </w:t>
      </w:r>
    </w:p>
    <w:p w14:paraId="2B0DF651">
      <w:pPr>
        <w:spacing w:line="360" w:lineRule="auto"/>
        <w:jc w:val="left"/>
        <w:rPr>
          <w:rFonts w:hint="eastAsia" w:ascii="宋体" w:hAnsi="宋体" w:eastAsia="宋体" w:cs="宋体"/>
          <w:sz w:val="24"/>
        </w:rPr>
      </w:pPr>
      <w:r>
        <w:rPr>
          <w:rFonts w:hint="eastAsia" w:ascii="宋体" w:hAnsi="宋体" w:eastAsia="宋体" w:cs="宋体"/>
          <w:sz w:val="24"/>
        </w:rPr>
        <w:t>说明：</w:t>
      </w:r>
    </w:p>
    <w:p w14:paraId="7288B382">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（一）合同总价包含设备费、设备到达</w:t>
      </w:r>
      <w:r>
        <w:rPr>
          <w:rFonts w:hint="eastAsia" w:ascii="宋体" w:hAnsi="宋体" w:eastAsia="宋体" w:cs="宋体"/>
          <w:sz w:val="24"/>
          <w:u w:val="single"/>
        </w:rPr>
        <w:t xml:space="preserve">         </w:t>
      </w:r>
      <w:r>
        <w:rPr>
          <w:rFonts w:hint="eastAsia" w:ascii="宋体" w:hAnsi="宋体" w:eastAsia="宋体" w:cs="宋体"/>
          <w:sz w:val="24"/>
        </w:rPr>
        <w:t xml:space="preserve"> 交货地点的运杂费（含保险）、设备安装调试费、设备强制计量检测费及应缴纳的全部税款等费用。</w:t>
      </w:r>
    </w:p>
    <w:p w14:paraId="3ACB14BB">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（二）合同总价一次包死，不受市场价格变化的影响，并作为结算的唯一依据。</w:t>
      </w:r>
    </w:p>
    <w:p w14:paraId="368D7AB1">
      <w:pPr>
        <w:spacing w:line="360" w:lineRule="auto"/>
        <w:jc w:val="left"/>
        <w:rPr>
          <w:rFonts w:hint="eastAsia" w:ascii="宋体" w:hAnsi="宋体" w:eastAsia="宋体" w:cs="宋体"/>
          <w:b/>
          <w:sz w:val="24"/>
        </w:rPr>
      </w:pPr>
      <w:r>
        <w:rPr>
          <w:rFonts w:hint="eastAsia" w:ascii="宋体" w:hAnsi="宋体" w:eastAsia="宋体" w:cs="宋体"/>
          <w:b/>
          <w:sz w:val="24"/>
        </w:rPr>
        <w:t>三、合同款项支付</w:t>
      </w:r>
    </w:p>
    <w:p w14:paraId="6FE49BEA">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结算单位:采购人结算，在付款前必须开具等额发票给采购人。</w:t>
      </w:r>
    </w:p>
    <w:p w14:paraId="02CAEAFB">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w:t>
      </w:r>
    </w:p>
    <w:p w14:paraId="21EF3142">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(1)供应商供货服务完成并经采购人验收合格后，在采购人付款前提供全额发票，采购人应在收到发票后15 个日历日内一次性支付总价款。</w:t>
      </w:r>
    </w:p>
    <w:p w14:paraId="3CB1FBA9">
      <w:pPr>
        <w:pStyle w:val="1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人在每次付款前，供应商必须先提供等额的增值税普通发票。在供应商提供后，方可办理付款手续(税票办理具体问题与学校财务部门咨询或协商)。若供应商不能按学校财务部门要求出具发票采购人有权不予付款，由此造成的一切损失由供应商自行承担。如因发票问题使得甲方蒙受损失(包括罚款、处理费用、声誉影响等)的供应商应当承担全部责任，并赔偿损失。</w:t>
      </w:r>
    </w:p>
    <w:p w14:paraId="7933470C">
      <w:pPr>
        <w:spacing w:line="360" w:lineRule="auto"/>
        <w:jc w:val="left"/>
        <w:rPr>
          <w:rFonts w:hint="eastAsia" w:ascii="宋体" w:hAnsi="宋体"/>
          <w:b/>
          <w:sz w:val="24"/>
        </w:rPr>
      </w:pPr>
      <w:r>
        <w:rPr>
          <w:rFonts w:hint="eastAsia" w:ascii="宋体" w:hAnsi="宋体"/>
          <w:b/>
          <w:sz w:val="24"/>
        </w:rPr>
        <w:t>四、履约保证金</w:t>
      </w:r>
    </w:p>
    <w:p w14:paraId="134D949C">
      <w:pPr>
        <w:spacing w:line="500" w:lineRule="exact"/>
        <w:ind w:firstLine="480" w:firstLineChars="200"/>
        <w:jc w:val="left"/>
        <w:rPr>
          <w:rFonts w:hint="eastAsia" w:ascii="宋体" w:hAnsi="宋体" w:cs="Courier New"/>
          <w:color w:val="auto"/>
          <w:sz w:val="24"/>
          <w:highlight w:val="none"/>
        </w:rPr>
      </w:pPr>
      <w:r>
        <w:rPr>
          <w:rFonts w:hint="eastAsia" w:ascii="宋体" w:hAnsi="宋体" w:cs="Courier New"/>
          <w:color w:val="auto"/>
          <w:sz w:val="24"/>
          <w:highlight w:val="none"/>
        </w:rPr>
        <w:t>（一）是否</w:t>
      </w:r>
      <w:r>
        <w:rPr>
          <w:rFonts w:hint="eastAsia" w:hAnsi="宋体"/>
          <w:color w:val="auto"/>
          <w:sz w:val="24"/>
          <w:highlight w:val="none"/>
        </w:rPr>
        <w:t>要求提供履约保证金：</w:t>
      </w:r>
      <w:r>
        <w:rPr>
          <w:rFonts w:hAnsi="宋体"/>
          <w:color w:val="auto"/>
          <w:sz w:val="24"/>
          <w:highlight w:val="none"/>
        </w:rPr>
        <w:fldChar w:fldCharType="begin"/>
      </w:r>
      <w:r>
        <w:rPr>
          <w:rFonts w:hAnsi="宋体"/>
          <w:color w:val="auto"/>
          <w:sz w:val="24"/>
          <w:highlight w:val="none"/>
        </w:rPr>
        <w:instrText xml:space="preserve"> </w:instrText>
      </w:r>
      <w:r>
        <w:rPr>
          <w:rFonts w:hint="eastAsia" w:hAnsi="宋体"/>
          <w:color w:val="auto"/>
          <w:sz w:val="24"/>
          <w:highlight w:val="none"/>
        </w:rPr>
        <w:instrText xml:space="preserve">eq \o\ac(□,√)</w:instrText>
      </w:r>
      <w:r>
        <w:rPr>
          <w:rFonts w:hAnsi="宋体"/>
          <w:color w:val="auto"/>
          <w:sz w:val="24"/>
          <w:highlight w:val="none"/>
        </w:rPr>
        <w:fldChar w:fldCharType="end"/>
      </w:r>
      <w:r>
        <w:rPr>
          <w:rFonts w:hint="eastAsia" w:hAnsi="宋体"/>
          <w:color w:val="auto"/>
          <w:sz w:val="24"/>
          <w:highlight w:val="none"/>
        </w:rPr>
        <w:t>是□否</w:t>
      </w:r>
    </w:p>
    <w:p w14:paraId="4100BEDB">
      <w:pPr>
        <w:spacing w:line="500" w:lineRule="exact"/>
        <w:ind w:firstLine="480" w:firstLineChars="200"/>
        <w:jc w:val="left"/>
        <w:rPr>
          <w:rFonts w:hint="eastAsia" w:ascii="宋体" w:hAnsi="宋体" w:cs="Courier New"/>
          <w:color w:val="auto"/>
          <w:sz w:val="24"/>
          <w:highlight w:val="none"/>
        </w:rPr>
      </w:pPr>
      <w:r>
        <w:rPr>
          <w:rFonts w:hint="eastAsia" w:ascii="宋体" w:hAnsi="宋体" w:cs="Courier New"/>
          <w:color w:val="auto"/>
          <w:sz w:val="24"/>
          <w:highlight w:val="none"/>
        </w:rPr>
        <w:t>（二）本项目履约保证金为合同金额的5%。</w:t>
      </w:r>
    </w:p>
    <w:p w14:paraId="2FDA58A0">
      <w:pP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说明：1、乙方与甲方签订合同前须按中标金额的5%作为履约保证金缴纳至甲方账户，在履约期满后，经甲方确认乙方履行了合同约定的义务，无违约情形，一次性予以无息退还。</w:t>
      </w:r>
    </w:p>
    <w:p w14:paraId="4DBC8532">
      <w:pP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2、履约保证金缴纳形式：中标供应商应当以银行转账</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支票、汇票、本票、保函（保险）等非现金形式缴纳。</w:t>
      </w:r>
    </w:p>
    <w:p w14:paraId="3E8AF4A2">
      <w:pPr>
        <w:spacing w:line="360" w:lineRule="auto"/>
        <w:jc w:val="left"/>
        <w:rPr>
          <w:rFonts w:hint="eastAsia" w:ascii="宋体" w:hAnsi="宋体" w:eastAsia="宋体" w:cs="宋体"/>
          <w:b/>
          <w:sz w:val="24"/>
        </w:rPr>
      </w:pPr>
      <w:r>
        <w:rPr>
          <w:rFonts w:hint="eastAsia" w:ascii="宋体" w:hAnsi="宋体" w:eastAsia="宋体" w:cs="宋体"/>
          <w:b/>
          <w:sz w:val="24"/>
        </w:rPr>
        <w:t>五、交货条件</w:t>
      </w:r>
    </w:p>
    <w:p w14:paraId="7E0515B3">
      <w:pPr>
        <w:pStyle w:val="11"/>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（一）交货期：</w:t>
      </w:r>
      <w:r>
        <w:rPr>
          <w:rFonts w:hint="eastAsia" w:ascii="宋体" w:hAnsi="宋体" w:eastAsia="宋体" w:cs="宋体"/>
          <w:color w:val="auto"/>
          <w:sz w:val="24"/>
          <w:szCs w:val="24"/>
          <w:highlight w:val="none"/>
          <w:lang w:eastAsia="zh-CN"/>
        </w:rPr>
        <w:t>合同签订后</w:t>
      </w:r>
      <w:r>
        <w:rPr>
          <w:rFonts w:hint="eastAsia" w:ascii="宋体" w:hAnsi="宋体" w:eastAsia="宋体" w:cs="宋体"/>
          <w:color w:val="auto"/>
          <w:sz w:val="24"/>
          <w:szCs w:val="24"/>
          <w:highlight w:val="none"/>
          <w:lang w:val="en-US" w:eastAsia="zh-CN"/>
        </w:rPr>
        <w:t>30个日历日内完成供货。</w:t>
      </w:r>
      <w:bookmarkStart w:id="0" w:name="_GoBack"/>
      <w:bookmarkEnd w:id="0"/>
    </w:p>
    <w:p w14:paraId="5ADF6A68">
      <w:pPr>
        <w:pStyle w:val="5"/>
        <w:spacing w:line="360" w:lineRule="auto"/>
        <w:ind w:firstLine="480" w:firstLineChars="200"/>
        <w:jc w:val="left"/>
        <w:rPr>
          <w:rFonts w:hint="eastAsia" w:hAnsi="宋体" w:eastAsia="宋体" w:cs="宋体"/>
          <w:color w:val="auto"/>
          <w:sz w:val="24"/>
          <w:highlight w:val="none"/>
        </w:rPr>
      </w:pPr>
      <w:r>
        <w:rPr>
          <w:rFonts w:hint="eastAsia" w:hAnsi="宋体" w:eastAsia="宋体" w:cs="宋体"/>
          <w:color w:val="auto"/>
          <w:sz w:val="24"/>
          <w:highlight w:val="none"/>
        </w:rPr>
        <w:t>（二）交货地点：陕西职业技术学院指定地点</w:t>
      </w:r>
    </w:p>
    <w:p w14:paraId="0CE6F67E">
      <w:pPr>
        <w:pStyle w:val="5"/>
        <w:spacing w:line="360" w:lineRule="auto"/>
        <w:ind w:firstLine="480" w:firstLineChars="200"/>
        <w:jc w:val="left"/>
        <w:rPr>
          <w:rFonts w:hint="eastAsia" w:hAnsi="宋体" w:eastAsia="宋体" w:cs="宋体"/>
          <w:color w:val="auto"/>
          <w:sz w:val="24"/>
          <w:highlight w:val="none"/>
        </w:rPr>
      </w:pPr>
      <w:r>
        <w:rPr>
          <w:rFonts w:hint="eastAsia" w:hAnsi="宋体" w:eastAsia="宋体" w:cs="宋体"/>
          <w:color w:val="auto"/>
          <w:sz w:val="24"/>
          <w:highlight w:val="none"/>
        </w:rPr>
        <w:t>（三）质保期：</w:t>
      </w:r>
      <w:r>
        <w:rPr>
          <w:rFonts w:hint="eastAsia" w:hAnsi="宋体" w:eastAsia="宋体" w:cs="宋体"/>
          <w:color w:val="auto"/>
          <w:sz w:val="24"/>
          <w:highlight w:val="none"/>
          <w:lang w:eastAsia="zh-CN"/>
        </w:rPr>
        <w:t>硬件质保二年，软件质保五年，质保期内提供免费维修、升级等服务；五年内如果软件有升级，免费升级，不收取任何费用；学生桌椅</w:t>
      </w:r>
      <w:r>
        <w:rPr>
          <w:rFonts w:hint="eastAsia" w:hAnsi="宋体" w:eastAsia="宋体" w:cs="宋体"/>
          <w:color w:val="auto"/>
          <w:sz w:val="24"/>
          <w:highlight w:val="none"/>
        </w:rPr>
        <w:t>质保两年（除人为损坏）。</w:t>
      </w:r>
    </w:p>
    <w:p w14:paraId="3EBDAA5B">
      <w:pPr>
        <w:spacing w:line="360" w:lineRule="auto"/>
        <w:jc w:val="left"/>
        <w:rPr>
          <w:rFonts w:hint="eastAsia" w:ascii="宋体" w:hAnsi="宋体" w:eastAsia="宋体" w:cs="宋体"/>
          <w:b/>
          <w:sz w:val="24"/>
        </w:rPr>
      </w:pPr>
      <w:r>
        <w:rPr>
          <w:rFonts w:hint="eastAsia" w:ascii="宋体" w:hAnsi="宋体" w:eastAsia="宋体" w:cs="宋体"/>
          <w:b/>
          <w:sz w:val="24"/>
        </w:rPr>
        <w:t>六、包装运输</w:t>
      </w:r>
    </w:p>
    <w:p w14:paraId="79903D8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BAFF3A9">
      <w:pPr>
        <w:spacing w:line="360" w:lineRule="auto"/>
        <w:jc w:val="left"/>
        <w:rPr>
          <w:rFonts w:hint="eastAsia" w:ascii="宋体" w:hAnsi="宋体" w:eastAsia="宋体" w:cs="宋体"/>
          <w:b/>
          <w:sz w:val="24"/>
        </w:rPr>
      </w:pPr>
      <w:r>
        <w:rPr>
          <w:rFonts w:hint="eastAsia" w:ascii="宋体" w:hAnsi="宋体" w:eastAsia="宋体" w:cs="宋体"/>
          <w:b/>
          <w:sz w:val="24"/>
        </w:rPr>
        <w:t>七、质量保证</w:t>
      </w:r>
    </w:p>
    <w:p w14:paraId="13E9345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（一）乙方提供给甲方的产品必须是设计科学、技术成熟、工艺优良，是用优质材料制造的、先进的、原厂生产的未曾使用过的、全新的合格产品。</w:t>
      </w:r>
    </w:p>
    <w:p w14:paraId="6180864E">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（二）设计技术专利、外形专利、应用软件专利等均应符合我国有关法律及行业标准，凡因以上问题与第三方发生的任何纠纷均与甲方无关。</w:t>
      </w:r>
    </w:p>
    <w:p w14:paraId="0FD00BB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（三）安全可靠。在正常使用下不应对操作者造成任何人身伤害，如因产品质量或标示不明确而对操作者造成损失的，甲方将保留依法索赔的权利。</w:t>
      </w:r>
    </w:p>
    <w:p w14:paraId="105637F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（四）有强制性安全标准的产品，乙方应提供该产品的制造许可证证明。</w:t>
      </w:r>
    </w:p>
    <w:p w14:paraId="3AF65D9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（五）属于国家计量检测强检的产品，供货时提供本省法定计量检测机构出具的检测证书。</w:t>
      </w:r>
    </w:p>
    <w:p w14:paraId="710177C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24B1C762">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（七）</w:t>
      </w:r>
      <w:r>
        <w:rPr>
          <w:rFonts w:hint="eastAsia" w:ascii="宋体" w:hAnsi="宋体" w:eastAsia="宋体" w:cs="宋体"/>
          <w:bCs/>
          <w:sz w:val="24"/>
        </w:rPr>
        <w:t>乙方所提供设备质保期为_____。设备质保期按设备安装验收合格办理入库之日算起。</w:t>
      </w:r>
      <w:r>
        <w:rPr>
          <w:rFonts w:hint="eastAsia" w:ascii="宋体" w:hAnsi="宋体" w:eastAsia="宋体" w:cs="宋体"/>
          <w:sz w:val="24"/>
        </w:rPr>
        <w:t>质保期满后如需更换零部件，只收取零部件成本费，终身免费维护保养。</w:t>
      </w:r>
    </w:p>
    <w:p w14:paraId="0EC30BC4">
      <w:pPr>
        <w:spacing w:line="360" w:lineRule="auto"/>
        <w:jc w:val="left"/>
        <w:rPr>
          <w:rFonts w:hint="eastAsia" w:ascii="宋体" w:hAnsi="宋体" w:eastAsia="宋体" w:cs="宋体"/>
          <w:b/>
          <w:sz w:val="24"/>
        </w:rPr>
      </w:pPr>
      <w:r>
        <w:rPr>
          <w:rFonts w:hint="eastAsia" w:ascii="宋体" w:hAnsi="宋体" w:eastAsia="宋体" w:cs="宋体"/>
          <w:b/>
          <w:sz w:val="24"/>
        </w:rPr>
        <w:t>八、技术规格及标准。（详见附件2）</w:t>
      </w:r>
    </w:p>
    <w:p w14:paraId="6D1A84BB">
      <w:pPr>
        <w:spacing w:line="360" w:lineRule="auto"/>
        <w:jc w:val="left"/>
        <w:rPr>
          <w:rFonts w:hint="eastAsia" w:ascii="宋体" w:hAnsi="宋体" w:eastAsia="宋体" w:cs="宋体"/>
          <w:b/>
          <w:sz w:val="24"/>
        </w:rPr>
      </w:pPr>
      <w:r>
        <w:rPr>
          <w:rFonts w:hint="eastAsia" w:ascii="宋体" w:hAnsi="宋体" w:eastAsia="宋体" w:cs="宋体"/>
          <w:b/>
          <w:sz w:val="24"/>
        </w:rPr>
        <w:t>九、配置清单。（详见附件3）</w:t>
      </w:r>
    </w:p>
    <w:p w14:paraId="06D79798">
      <w:pPr>
        <w:spacing w:line="360" w:lineRule="auto"/>
        <w:jc w:val="left"/>
        <w:rPr>
          <w:rFonts w:hint="eastAsia" w:ascii="宋体" w:hAnsi="宋体" w:eastAsia="宋体" w:cs="宋体"/>
          <w:b/>
          <w:sz w:val="24"/>
        </w:rPr>
      </w:pPr>
      <w:r>
        <w:rPr>
          <w:rFonts w:hint="eastAsia" w:ascii="宋体" w:hAnsi="宋体" w:eastAsia="宋体" w:cs="宋体"/>
          <w:b/>
          <w:sz w:val="24"/>
        </w:rPr>
        <w:t>十、技术服务</w:t>
      </w:r>
    </w:p>
    <w:p w14:paraId="78E6B3D8">
      <w:pPr>
        <w:spacing w:line="360" w:lineRule="auto"/>
        <w:ind w:firstLine="482" w:firstLineChars="200"/>
        <w:jc w:val="left"/>
        <w:rPr>
          <w:rFonts w:hint="eastAsia" w:ascii="宋体" w:hAnsi="宋体" w:eastAsia="宋体" w:cs="宋体"/>
          <w:b/>
          <w:sz w:val="24"/>
        </w:rPr>
      </w:pPr>
      <w:r>
        <w:rPr>
          <w:rFonts w:hint="eastAsia" w:ascii="宋体" w:hAnsi="宋体" w:eastAsia="宋体" w:cs="宋体"/>
          <w:b/>
          <w:sz w:val="24"/>
        </w:rPr>
        <w:t>（一）技术资料：</w:t>
      </w:r>
      <w:r>
        <w:rPr>
          <w:rFonts w:hint="eastAsia" w:ascii="宋体" w:hAnsi="宋体" w:eastAsia="宋体" w:cs="宋体"/>
          <w:sz w:val="24"/>
          <w:u w:val="single"/>
        </w:rPr>
        <w:t xml:space="preserve">       </w:t>
      </w:r>
    </w:p>
    <w:p w14:paraId="25CCB190">
      <w:pPr>
        <w:spacing w:line="360" w:lineRule="auto"/>
        <w:ind w:firstLine="482" w:firstLineChars="200"/>
        <w:jc w:val="left"/>
        <w:rPr>
          <w:rFonts w:hint="eastAsia" w:ascii="宋体" w:hAnsi="宋体" w:eastAsia="宋体" w:cs="宋体"/>
          <w:sz w:val="24"/>
        </w:rPr>
      </w:pPr>
      <w:r>
        <w:rPr>
          <w:rFonts w:hint="eastAsia" w:ascii="宋体" w:hAnsi="宋体" w:eastAsia="宋体" w:cs="宋体"/>
          <w:b/>
          <w:sz w:val="24"/>
        </w:rPr>
        <w:t>（二）人员培训：</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2F4A3274">
      <w:pPr>
        <w:spacing w:line="360" w:lineRule="auto"/>
        <w:ind w:firstLine="482" w:firstLineChars="200"/>
        <w:jc w:val="left"/>
        <w:rPr>
          <w:rFonts w:hint="eastAsia" w:ascii="宋体" w:hAnsi="宋体" w:eastAsia="宋体" w:cs="宋体"/>
          <w:b/>
          <w:sz w:val="24"/>
        </w:rPr>
      </w:pPr>
      <w:r>
        <w:rPr>
          <w:rFonts w:hint="eastAsia" w:ascii="宋体" w:hAnsi="宋体" w:eastAsia="宋体" w:cs="宋体"/>
          <w:b/>
          <w:sz w:val="24"/>
        </w:rPr>
        <w:t>（三）服务承诺：</w:t>
      </w:r>
      <w:r>
        <w:rPr>
          <w:rFonts w:hint="eastAsia" w:ascii="宋体" w:hAnsi="宋体" w:eastAsia="宋体" w:cs="宋体"/>
          <w:sz w:val="24"/>
          <w:u w:val="single"/>
        </w:rPr>
        <w:t xml:space="preserve">       </w:t>
      </w:r>
    </w:p>
    <w:p w14:paraId="360B04B1">
      <w:pPr>
        <w:spacing w:line="360" w:lineRule="auto"/>
        <w:jc w:val="left"/>
        <w:rPr>
          <w:rFonts w:hint="eastAsia" w:ascii="宋体" w:hAnsi="宋体" w:eastAsia="宋体" w:cs="宋体"/>
          <w:b/>
          <w:sz w:val="24"/>
        </w:rPr>
      </w:pPr>
      <w:r>
        <w:rPr>
          <w:rFonts w:hint="eastAsia" w:ascii="宋体" w:hAnsi="宋体" w:eastAsia="宋体" w:cs="宋体"/>
          <w:b/>
          <w:sz w:val="24"/>
        </w:rPr>
        <w:t>十一、违约责任</w:t>
      </w:r>
    </w:p>
    <w:p w14:paraId="10A04A9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（一）按《中华人民共和国民法典》中的相关条款执行。</w:t>
      </w:r>
    </w:p>
    <w:p w14:paraId="3050695A">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（二）未按合同要求的提供产品或设备质量不能满足技术要求，采购人有权终止合同，甚至对供方违约行为进行追究。</w:t>
      </w:r>
    </w:p>
    <w:p w14:paraId="73376DF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（三）如有纠纷，双方友好协商解决，协商不成时可诉讼到甲方所在地人民法院解决。</w:t>
      </w:r>
    </w:p>
    <w:p w14:paraId="11B9F2B4">
      <w:pPr>
        <w:spacing w:line="360" w:lineRule="auto"/>
        <w:jc w:val="left"/>
        <w:rPr>
          <w:rFonts w:hint="eastAsia" w:ascii="宋体" w:hAnsi="宋体" w:eastAsia="宋体" w:cs="宋体"/>
          <w:b/>
          <w:sz w:val="24"/>
        </w:rPr>
      </w:pPr>
      <w:r>
        <w:rPr>
          <w:rFonts w:hint="eastAsia" w:ascii="宋体" w:hAnsi="宋体" w:eastAsia="宋体" w:cs="宋体"/>
          <w:b/>
          <w:sz w:val="24"/>
        </w:rPr>
        <w:t>十二、验收</w:t>
      </w:r>
    </w:p>
    <w:p w14:paraId="4C788052">
      <w:pPr>
        <w:spacing w:line="360" w:lineRule="auto"/>
        <w:ind w:firstLine="480" w:firstLineChars="200"/>
        <w:jc w:val="left"/>
        <w:rPr>
          <w:rFonts w:hint="eastAsia" w:ascii="宋体" w:hAnsi="宋体" w:eastAsia="宋体" w:cs="宋体"/>
          <w:b/>
          <w:sz w:val="24"/>
        </w:rPr>
      </w:pPr>
      <w:r>
        <w:rPr>
          <w:rFonts w:hint="eastAsia" w:ascii="宋体" w:hAnsi="宋体"/>
          <w:color w:val="000000"/>
          <w:sz w:val="24"/>
        </w:rPr>
        <w:t>由采购人负责组织验收或者邀请有关专家、质检机构、采购代理机构共同进行验收,验收费用由成交供应商支付；验收合格须交接项目实施的全部资料。验收须以合同、招标</w:t>
      </w:r>
      <w:r>
        <w:rPr>
          <w:rFonts w:hint="eastAsia" w:ascii="宋体" w:hAnsi="宋体"/>
          <w:bCs/>
          <w:color w:val="000000"/>
          <w:sz w:val="24"/>
        </w:rPr>
        <w:t>文件、投标文件</w:t>
      </w:r>
      <w:r>
        <w:rPr>
          <w:rFonts w:hint="eastAsia" w:ascii="宋体" w:hAnsi="宋体"/>
          <w:color w:val="000000"/>
          <w:sz w:val="24"/>
        </w:rPr>
        <w:t>、澄清、及国家相应的标准、规范等为依据。</w:t>
      </w:r>
    </w:p>
    <w:p w14:paraId="07FC8A26">
      <w:pPr>
        <w:spacing w:line="360" w:lineRule="auto"/>
        <w:jc w:val="left"/>
        <w:rPr>
          <w:rFonts w:hint="eastAsia" w:ascii="宋体" w:hAnsi="宋体" w:eastAsia="宋体" w:cs="宋体"/>
          <w:b/>
          <w:sz w:val="24"/>
        </w:rPr>
      </w:pPr>
      <w:r>
        <w:rPr>
          <w:rFonts w:hint="eastAsia" w:ascii="宋体" w:hAnsi="宋体" w:eastAsia="宋体" w:cs="宋体"/>
          <w:b/>
          <w:sz w:val="24"/>
        </w:rPr>
        <w:t>十三、其他事项</w:t>
      </w:r>
    </w:p>
    <w:p w14:paraId="72357B2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（一）陕西省财政厅政府采购管理处在合同的履行期间以及履行期后，可以随时检查项目的执行情况，对采购标准、采购内容进行调查核实，并对发现的问题进行处理。</w:t>
      </w:r>
    </w:p>
    <w:p w14:paraId="3A9361FD">
      <w:pPr>
        <w:spacing w:line="360" w:lineRule="auto"/>
        <w:ind w:left="120" w:leftChars="50" w:firstLine="360" w:firstLineChars="150"/>
        <w:jc w:val="left"/>
        <w:rPr>
          <w:rFonts w:hint="eastAsia" w:ascii="宋体" w:hAnsi="宋体" w:eastAsia="宋体" w:cs="宋体"/>
          <w:sz w:val="24"/>
        </w:rPr>
      </w:pPr>
      <w:r>
        <w:rPr>
          <w:rFonts w:hint="eastAsia" w:ascii="宋体" w:hAnsi="宋体" w:eastAsia="宋体" w:cs="宋体"/>
          <w:sz w:val="24"/>
        </w:rPr>
        <w:t>（二）本合同一式六份，甲方四份，乙方一份，采购代理机构一份，甲乙双方签字盖章后生效。</w:t>
      </w:r>
    </w:p>
    <w:p w14:paraId="59BC9F7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bCs/>
          <w:sz w:val="24"/>
        </w:rPr>
        <w:t>招标文件、投标文件也是合同的组成部分，合同中未约定的以招标文件、投标文件为准。</w:t>
      </w:r>
    </w:p>
    <w:p w14:paraId="7F932FAA">
      <w:pPr>
        <w:spacing w:line="360" w:lineRule="auto"/>
        <w:ind w:firstLine="600" w:firstLineChars="250"/>
        <w:jc w:val="left"/>
        <w:rPr>
          <w:rFonts w:hint="eastAsia" w:ascii="宋体" w:hAnsi="宋体" w:eastAsia="宋体" w:cs="宋体"/>
          <w:sz w:val="24"/>
        </w:rPr>
      </w:pPr>
      <w:r>
        <w:rPr>
          <w:rFonts w:hint="eastAsia" w:ascii="宋体" w:hAnsi="宋体" w:eastAsia="宋体" w:cs="宋体"/>
          <w:sz w:val="24"/>
        </w:rPr>
        <w:t xml:space="preserve">合同签订地点：   </w:t>
      </w:r>
    </w:p>
    <w:p w14:paraId="686A324A">
      <w:pPr>
        <w:spacing w:line="360" w:lineRule="auto"/>
        <w:ind w:firstLine="600" w:firstLineChars="250"/>
        <w:jc w:val="left"/>
        <w:rPr>
          <w:rFonts w:hint="eastAsia" w:ascii="宋体" w:hAnsi="宋体" w:eastAsia="宋体" w:cs="宋体"/>
          <w:sz w:val="24"/>
        </w:rPr>
      </w:pPr>
      <w:r>
        <w:rPr>
          <w:rFonts w:hint="eastAsia" w:ascii="宋体" w:hAnsi="宋体" w:eastAsia="宋体" w:cs="宋体"/>
          <w:sz w:val="24"/>
        </w:rPr>
        <w:t>合同签订时间：    年   月    日</w:t>
      </w:r>
    </w:p>
    <w:p w14:paraId="1E01B096">
      <w:pPr>
        <w:spacing w:line="360" w:lineRule="auto"/>
        <w:jc w:val="left"/>
        <w:rPr>
          <w:rFonts w:hint="eastAsia" w:ascii="宋体" w:hAnsi="宋体" w:eastAsia="宋体" w:cs="宋体"/>
          <w:sz w:val="24"/>
        </w:rPr>
      </w:pPr>
    </w:p>
    <w:p w14:paraId="457B0395">
      <w:pPr>
        <w:spacing w:line="360" w:lineRule="auto"/>
        <w:jc w:val="left"/>
        <w:rPr>
          <w:rFonts w:hint="eastAsia" w:ascii="宋体" w:hAnsi="宋体" w:eastAsia="宋体" w:cs="宋体"/>
          <w:sz w:val="24"/>
        </w:rPr>
      </w:pPr>
      <w:r>
        <w:rPr>
          <w:rFonts w:hint="eastAsia" w:ascii="宋体" w:hAnsi="宋体" w:eastAsia="宋体" w:cs="宋体"/>
          <w:sz w:val="24"/>
        </w:rPr>
        <w:t>甲    方                           乙    方</w:t>
      </w:r>
    </w:p>
    <w:p w14:paraId="3A8AE8D4">
      <w:pPr>
        <w:spacing w:line="360" w:lineRule="auto"/>
        <w:jc w:val="left"/>
        <w:rPr>
          <w:rFonts w:hint="eastAsia" w:ascii="宋体" w:hAnsi="宋体" w:eastAsia="宋体" w:cs="宋体"/>
          <w:sz w:val="24"/>
        </w:rPr>
      </w:pPr>
      <w:r>
        <w:rPr>
          <w:rFonts w:hint="eastAsia" w:ascii="宋体" w:hAnsi="宋体" w:eastAsia="宋体" w:cs="宋体"/>
          <w:sz w:val="24"/>
        </w:rPr>
        <w:t xml:space="preserve">单位名称：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单位名称： </w:t>
      </w:r>
    </w:p>
    <w:p w14:paraId="4CBB40BE">
      <w:pPr>
        <w:spacing w:line="360" w:lineRule="auto"/>
        <w:jc w:val="left"/>
        <w:rPr>
          <w:rFonts w:hint="eastAsia"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地    址：</w:t>
      </w:r>
    </w:p>
    <w:p w14:paraId="6348D2D9">
      <w:pPr>
        <w:spacing w:line="360" w:lineRule="auto"/>
        <w:jc w:val="left"/>
        <w:rPr>
          <w:rFonts w:hint="eastAsia" w:ascii="宋体" w:hAnsi="宋体" w:eastAsia="宋体" w:cs="宋体"/>
          <w:sz w:val="24"/>
        </w:rPr>
      </w:pPr>
    </w:p>
    <w:p w14:paraId="52CADBD7">
      <w:pPr>
        <w:spacing w:line="360" w:lineRule="auto"/>
        <w:jc w:val="left"/>
        <w:rPr>
          <w:rFonts w:hint="eastAsia" w:ascii="宋体" w:hAnsi="宋体" w:eastAsia="宋体" w:cs="宋体"/>
          <w:sz w:val="24"/>
        </w:rPr>
      </w:pPr>
      <w:r>
        <w:rPr>
          <w:rFonts w:hint="eastAsia" w:ascii="宋体" w:hAnsi="宋体" w:eastAsia="宋体" w:cs="宋体"/>
          <w:sz w:val="24"/>
        </w:rPr>
        <w:t xml:space="preserve">法人代表：                         法人代表： </w:t>
      </w:r>
    </w:p>
    <w:p w14:paraId="2732848E">
      <w:pPr>
        <w:spacing w:line="360" w:lineRule="auto"/>
        <w:jc w:val="left"/>
        <w:rPr>
          <w:rFonts w:hint="eastAsia" w:ascii="宋体" w:hAnsi="宋体" w:eastAsia="宋体" w:cs="宋体"/>
          <w:sz w:val="24"/>
        </w:rPr>
      </w:pPr>
    </w:p>
    <w:p w14:paraId="10C5EDE9">
      <w:pPr>
        <w:spacing w:line="360" w:lineRule="auto"/>
        <w:jc w:val="left"/>
        <w:rPr>
          <w:rFonts w:hint="eastAsia" w:ascii="宋体" w:hAnsi="宋体" w:eastAsia="宋体" w:cs="宋体"/>
          <w:sz w:val="24"/>
        </w:rPr>
      </w:pPr>
      <w:r>
        <w:rPr>
          <w:rFonts w:hint="eastAsia" w:ascii="宋体" w:hAnsi="宋体" w:eastAsia="宋体" w:cs="宋体"/>
          <w:sz w:val="24"/>
        </w:rPr>
        <w:t xml:space="preserve">联系电话：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联系电话： </w:t>
      </w:r>
    </w:p>
    <w:p w14:paraId="41851EE0">
      <w:pPr>
        <w:spacing w:line="360" w:lineRule="auto"/>
        <w:jc w:val="left"/>
        <w:rPr>
          <w:rFonts w:hint="eastAsia" w:ascii="宋体" w:hAnsi="宋体" w:eastAsia="宋体" w:cs="宋体"/>
          <w:sz w:val="24"/>
        </w:rPr>
      </w:pPr>
      <w:r>
        <w:rPr>
          <w:rFonts w:hint="eastAsia" w:ascii="宋体" w:hAnsi="宋体" w:eastAsia="宋体" w:cs="宋体"/>
          <w:sz w:val="24"/>
        </w:rPr>
        <w:t xml:space="preserve">开 户 行：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开 户 行： </w:t>
      </w:r>
    </w:p>
    <w:p w14:paraId="6413B7A9">
      <w:pPr>
        <w:spacing w:line="360" w:lineRule="auto"/>
        <w:jc w:val="left"/>
        <w:rPr>
          <w:rFonts w:hint="eastAsia"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账    号：</w:t>
      </w:r>
      <w:r>
        <w:rPr>
          <w:rFonts w:hint="eastAsia" w:ascii="宋体" w:hAnsi="宋体" w:eastAsia="宋体" w:cs="宋体"/>
          <w:b/>
          <w:bCs/>
          <w:sz w:val="24"/>
        </w:rPr>
        <w:br w:type="page"/>
      </w:r>
      <w:r>
        <w:rPr>
          <w:rFonts w:hint="eastAsia" w:ascii="宋体" w:hAnsi="宋体" w:eastAsia="宋体" w:cs="宋体"/>
          <w:b/>
          <w:bCs/>
          <w:sz w:val="24"/>
        </w:rPr>
        <w:t>附件1 采购内容</w:t>
      </w:r>
    </w:p>
    <w:tbl>
      <w:tblPr>
        <w:tblStyle w:val="7"/>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621C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30946206">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序号</w:t>
            </w:r>
          </w:p>
        </w:tc>
        <w:tc>
          <w:tcPr>
            <w:tcW w:w="1227" w:type="dxa"/>
            <w:vAlign w:val="center"/>
          </w:tcPr>
          <w:p w14:paraId="46777CF9">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产品名称</w:t>
            </w:r>
          </w:p>
        </w:tc>
        <w:tc>
          <w:tcPr>
            <w:tcW w:w="850" w:type="dxa"/>
            <w:vAlign w:val="center"/>
          </w:tcPr>
          <w:p w14:paraId="214739D5">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型号</w:t>
            </w:r>
          </w:p>
        </w:tc>
        <w:tc>
          <w:tcPr>
            <w:tcW w:w="849" w:type="dxa"/>
            <w:vAlign w:val="center"/>
          </w:tcPr>
          <w:p w14:paraId="3E1C6602">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产地</w:t>
            </w:r>
          </w:p>
        </w:tc>
        <w:tc>
          <w:tcPr>
            <w:tcW w:w="1133" w:type="dxa"/>
            <w:vAlign w:val="center"/>
          </w:tcPr>
          <w:p w14:paraId="79A518FA">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生产     厂家</w:t>
            </w:r>
          </w:p>
        </w:tc>
        <w:tc>
          <w:tcPr>
            <w:tcW w:w="803" w:type="dxa"/>
            <w:vAlign w:val="center"/>
          </w:tcPr>
          <w:p w14:paraId="5818FDFC">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单位</w:t>
            </w:r>
          </w:p>
        </w:tc>
        <w:tc>
          <w:tcPr>
            <w:tcW w:w="802" w:type="dxa"/>
            <w:vAlign w:val="center"/>
          </w:tcPr>
          <w:p w14:paraId="6A9FDC21">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数量</w:t>
            </w:r>
          </w:p>
        </w:tc>
        <w:tc>
          <w:tcPr>
            <w:tcW w:w="1243" w:type="dxa"/>
            <w:vAlign w:val="center"/>
          </w:tcPr>
          <w:p w14:paraId="0DB73E33">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单价</w:t>
            </w:r>
          </w:p>
          <w:p w14:paraId="4CEF365D">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（元）</w:t>
            </w:r>
          </w:p>
        </w:tc>
        <w:tc>
          <w:tcPr>
            <w:tcW w:w="1148" w:type="dxa"/>
            <w:vAlign w:val="center"/>
          </w:tcPr>
          <w:p w14:paraId="52000550">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合计</w:t>
            </w:r>
          </w:p>
          <w:p w14:paraId="339D26C4">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（元）</w:t>
            </w:r>
          </w:p>
        </w:tc>
        <w:tc>
          <w:tcPr>
            <w:tcW w:w="819" w:type="dxa"/>
            <w:vAlign w:val="center"/>
          </w:tcPr>
          <w:p w14:paraId="72DC771E">
            <w:pPr>
              <w:tabs>
                <w:tab w:val="left" w:pos="810"/>
              </w:tabs>
              <w:spacing w:line="400" w:lineRule="exact"/>
              <w:jc w:val="center"/>
              <w:rPr>
                <w:rFonts w:hint="eastAsia" w:ascii="宋体" w:hAnsi="宋体" w:eastAsia="宋体" w:cs="宋体"/>
                <w:bCs/>
                <w:sz w:val="24"/>
              </w:rPr>
            </w:pPr>
            <w:r>
              <w:rPr>
                <w:rFonts w:hint="eastAsia" w:ascii="宋体" w:hAnsi="宋体" w:eastAsia="宋体" w:cs="宋体"/>
                <w:bCs/>
                <w:sz w:val="24"/>
              </w:rPr>
              <w:t>备注</w:t>
            </w:r>
          </w:p>
        </w:tc>
      </w:tr>
      <w:tr w14:paraId="2B1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D9CF72A">
            <w:pPr>
              <w:spacing w:line="400" w:lineRule="exact"/>
              <w:jc w:val="center"/>
              <w:rPr>
                <w:rFonts w:hint="eastAsia" w:ascii="宋体" w:hAnsi="宋体" w:eastAsia="宋体" w:cs="宋体"/>
                <w:bCs/>
                <w:sz w:val="24"/>
              </w:rPr>
            </w:pPr>
          </w:p>
        </w:tc>
        <w:tc>
          <w:tcPr>
            <w:tcW w:w="1227" w:type="dxa"/>
            <w:vAlign w:val="center"/>
          </w:tcPr>
          <w:p w14:paraId="59BFC38E">
            <w:pPr>
              <w:spacing w:line="400" w:lineRule="exact"/>
              <w:jc w:val="center"/>
              <w:rPr>
                <w:rFonts w:hint="eastAsia" w:ascii="宋体" w:hAnsi="宋体" w:eastAsia="宋体" w:cs="宋体"/>
                <w:bCs/>
                <w:sz w:val="24"/>
              </w:rPr>
            </w:pPr>
          </w:p>
        </w:tc>
        <w:tc>
          <w:tcPr>
            <w:tcW w:w="850" w:type="dxa"/>
            <w:vAlign w:val="center"/>
          </w:tcPr>
          <w:p w14:paraId="0437B4D6">
            <w:pPr>
              <w:spacing w:line="400" w:lineRule="exact"/>
              <w:jc w:val="center"/>
              <w:rPr>
                <w:rFonts w:hint="eastAsia" w:ascii="宋体" w:hAnsi="宋体" w:eastAsia="宋体" w:cs="宋体"/>
                <w:bCs/>
                <w:sz w:val="24"/>
              </w:rPr>
            </w:pPr>
          </w:p>
        </w:tc>
        <w:tc>
          <w:tcPr>
            <w:tcW w:w="849" w:type="dxa"/>
            <w:vAlign w:val="center"/>
          </w:tcPr>
          <w:p w14:paraId="3C0A39D7">
            <w:pPr>
              <w:spacing w:line="400" w:lineRule="exact"/>
              <w:jc w:val="center"/>
              <w:rPr>
                <w:rFonts w:hint="eastAsia" w:ascii="宋体" w:hAnsi="宋体" w:eastAsia="宋体" w:cs="宋体"/>
                <w:bCs/>
                <w:sz w:val="24"/>
              </w:rPr>
            </w:pPr>
          </w:p>
        </w:tc>
        <w:tc>
          <w:tcPr>
            <w:tcW w:w="1133" w:type="dxa"/>
            <w:vAlign w:val="center"/>
          </w:tcPr>
          <w:p w14:paraId="69059282">
            <w:pPr>
              <w:spacing w:line="400" w:lineRule="exact"/>
              <w:jc w:val="center"/>
              <w:rPr>
                <w:rFonts w:hint="eastAsia" w:ascii="宋体" w:hAnsi="宋体" w:eastAsia="宋体" w:cs="宋体"/>
                <w:bCs/>
                <w:sz w:val="24"/>
              </w:rPr>
            </w:pPr>
          </w:p>
        </w:tc>
        <w:tc>
          <w:tcPr>
            <w:tcW w:w="803" w:type="dxa"/>
            <w:vAlign w:val="center"/>
          </w:tcPr>
          <w:p w14:paraId="10C55318">
            <w:pPr>
              <w:spacing w:line="400" w:lineRule="exact"/>
              <w:jc w:val="center"/>
              <w:rPr>
                <w:rFonts w:hint="eastAsia" w:ascii="宋体" w:hAnsi="宋体" w:eastAsia="宋体" w:cs="宋体"/>
                <w:bCs/>
                <w:sz w:val="24"/>
              </w:rPr>
            </w:pPr>
          </w:p>
        </w:tc>
        <w:tc>
          <w:tcPr>
            <w:tcW w:w="802" w:type="dxa"/>
            <w:vAlign w:val="center"/>
          </w:tcPr>
          <w:p w14:paraId="77EAF783">
            <w:pPr>
              <w:spacing w:line="400" w:lineRule="exact"/>
              <w:jc w:val="center"/>
              <w:rPr>
                <w:rFonts w:hint="eastAsia" w:ascii="宋体" w:hAnsi="宋体" w:eastAsia="宋体" w:cs="宋体"/>
                <w:bCs/>
                <w:sz w:val="24"/>
              </w:rPr>
            </w:pPr>
          </w:p>
        </w:tc>
        <w:tc>
          <w:tcPr>
            <w:tcW w:w="1243" w:type="dxa"/>
            <w:vAlign w:val="center"/>
          </w:tcPr>
          <w:p w14:paraId="345D6647">
            <w:pPr>
              <w:spacing w:line="400" w:lineRule="exact"/>
              <w:jc w:val="center"/>
              <w:rPr>
                <w:rFonts w:hint="eastAsia" w:ascii="宋体" w:hAnsi="宋体" w:eastAsia="宋体" w:cs="宋体"/>
                <w:bCs/>
                <w:sz w:val="24"/>
              </w:rPr>
            </w:pPr>
          </w:p>
        </w:tc>
        <w:tc>
          <w:tcPr>
            <w:tcW w:w="1148" w:type="dxa"/>
            <w:vAlign w:val="center"/>
          </w:tcPr>
          <w:p w14:paraId="4A389F91">
            <w:pPr>
              <w:spacing w:line="400" w:lineRule="exact"/>
              <w:jc w:val="center"/>
              <w:rPr>
                <w:rFonts w:hint="eastAsia" w:ascii="宋体" w:hAnsi="宋体" w:eastAsia="宋体" w:cs="宋体"/>
                <w:bCs/>
                <w:sz w:val="24"/>
              </w:rPr>
            </w:pPr>
          </w:p>
        </w:tc>
        <w:tc>
          <w:tcPr>
            <w:tcW w:w="819" w:type="dxa"/>
            <w:vAlign w:val="center"/>
          </w:tcPr>
          <w:p w14:paraId="367CBDE6">
            <w:pPr>
              <w:spacing w:line="400" w:lineRule="exact"/>
              <w:jc w:val="center"/>
              <w:rPr>
                <w:rFonts w:hint="eastAsia" w:ascii="宋体" w:hAnsi="宋体" w:eastAsia="宋体" w:cs="宋体"/>
                <w:bCs/>
                <w:sz w:val="24"/>
              </w:rPr>
            </w:pPr>
          </w:p>
        </w:tc>
      </w:tr>
      <w:tr w14:paraId="0A19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04574BA">
            <w:pPr>
              <w:spacing w:line="400" w:lineRule="exact"/>
              <w:jc w:val="center"/>
              <w:rPr>
                <w:rFonts w:hint="eastAsia" w:ascii="宋体" w:hAnsi="宋体" w:eastAsia="宋体" w:cs="宋体"/>
                <w:bCs/>
                <w:sz w:val="24"/>
              </w:rPr>
            </w:pPr>
          </w:p>
        </w:tc>
        <w:tc>
          <w:tcPr>
            <w:tcW w:w="1227" w:type="dxa"/>
            <w:vAlign w:val="center"/>
          </w:tcPr>
          <w:p w14:paraId="4756C652">
            <w:pPr>
              <w:spacing w:line="400" w:lineRule="exact"/>
              <w:jc w:val="center"/>
              <w:rPr>
                <w:rFonts w:hint="eastAsia" w:ascii="宋体" w:hAnsi="宋体" w:eastAsia="宋体" w:cs="宋体"/>
                <w:bCs/>
                <w:sz w:val="24"/>
              </w:rPr>
            </w:pPr>
          </w:p>
        </w:tc>
        <w:tc>
          <w:tcPr>
            <w:tcW w:w="850" w:type="dxa"/>
            <w:vAlign w:val="center"/>
          </w:tcPr>
          <w:p w14:paraId="06CAD8FB">
            <w:pPr>
              <w:spacing w:line="400" w:lineRule="exact"/>
              <w:jc w:val="center"/>
              <w:rPr>
                <w:rFonts w:hint="eastAsia" w:ascii="宋体" w:hAnsi="宋体" w:eastAsia="宋体" w:cs="宋体"/>
                <w:bCs/>
                <w:sz w:val="24"/>
              </w:rPr>
            </w:pPr>
          </w:p>
        </w:tc>
        <w:tc>
          <w:tcPr>
            <w:tcW w:w="849" w:type="dxa"/>
            <w:vAlign w:val="center"/>
          </w:tcPr>
          <w:p w14:paraId="198402DB">
            <w:pPr>
              <w:spacing w:line="400" w:lineRule="exact"/>
              <w:jc w:val="center"/>
              <w:rPr>
                <w:rFonts w:hint="eastAsia" w:ascii="宋体" w:hAnsi="宋体" w:eastAsia="宋体" w:cs="宋体"/>
                <w:bCs/>
                <w:sz w:val="24"/>
              </w:rPr>
            </w:pPr>
          </w:p>
        </w:tc>
        <w:tc>
          <w:tcPr>
            <w:tcW w:w="1133" w:type="dxa"/>
            <w:vAlign w:val="center"/>
          </w:tcPr>
          <w:p w14:paraId="2DDBF328">
            <w:pPr>
              <w:spacing w:line="400" w:lineRule="exact"/>
              <w:jc w:val="center"/>
              <w:rPr>
                <w:rFonts w:hint="eastAsia" w:ascii="宋体" w:hAnsi="宋体" w:eastAsia="宋体" w:cs="宋体"/>
                <w:bCs/>
                <w:sz w:val="24"/>
              </w:rPr>
            </w:pPr>
          </w:p>
        </w:tc>
        <w:tc>
          <w:tcPr>
            <w:tcW w:w="803" w:type="dxa"/>
            <w:vAlign w:val="center"/>
          </w:tcPr>
          <w:p w14:paraId="11860FAB">
            <w:pPr>
              <w:spacing w:line="400" w:lineRule="exact"/>
              <w:jc w:val="center"/>
              <w:rPr>
                <w:rFonts w:hint="eastAsia" w:ascii="宋体" w:hAnsi="宋体" w:eastAsia="宋体" w:cs="宋体"/>
                <w:bCs/>
                <w:sz w:val="24"/>
              </w:rPr>
            </w:pPr>
          </w:p>
        </w:tc>
        <w:tc>
          <w:tcPr>
            <w:tcW w:w="802" w:type="dxa"/>
            <w:vAlign w:val="center"/>
          </w:tcPr>
          <w:p w14:paraId="2069BE04">
            <w:pPr>
              <w:spacing w:line="400" w:lineRule="exact"/>
              <w:jc w:val="center"/>
              <w:rPr>
                <w:rFonts w:hint="eastAsia" w:ascii="宋体" w:hAnsi="宋体" w:eastAsia="宋体" w:cs="宋体"/>
                <w:bCs/>
                <w:sz w:val="24"/>
              </w:rPr>
            </w:pPr>
          </w:p>
        </w:tc>
        <w:tc>
          <w:tcPr>
            <w:tcW w:w="1243" w:type="dxa"/>
            <w:vAlign w:val="center"/>
          </w:tcPr>
          <w:p w14:paraId="769B1DCF">
            <w:pPr>
              <w:spacing w:line="400" w:lineRule="exact"/>
              <w:jc w:val="center"/>
              <w:rPr>
                <w:rFonts w:hint="eastAsia" w:ascii="宋体" w:hAnsi="宋体" w:eastAsia="宋体" w:cs="宋体"/>
                <w:bCs/>
                <w:sz w:val="24"/>
              </w:rPr>
            </w:pPr>
          </w:p>
        </w:tc>
        <w:tc>
          <w:tcPr>
            <w:tcW w:w="1148" w:type="dxa"/>
            <w:vAlign w:val="center"/>
          </w:tcPr>
          <w:p w14:paraId="1B199611">
            <w:pPr>
              <w:spacing w:line="400" w:lineRule="exact"/>
              <w:jc w:val="center"/>
              <w:rPr>
                <w:rFonts w:hint="eastAsia" w:ascii="宋体" w:hAnsi="宋体" w:eastAsia="宋体" w:cs="宋体"/>
                <w:bCs/>
                <w:sz w:val="24"/>
              </w:rPr>
            </w:pPr>
          </w:p>
        </w:tc>
        <w:tc>
          <w:tcPr>
            <w:tcW w:w="819" w:type="dxa"/>
            <w:vAlign w:val="center"/>
          </w:tcPr>
          <w:p w14:paraId="6A4781D0">
            <w:pPr>
              <w:spacing w:line="400" w:lineRule="exact"/>
              <w:jc w:val="center"/>
              <w:rPr>
                <w:rFonts w:hint="eastAsia" w:ascii="宋体" w:hAnsi="宋体" w:eastAsia="宋体" w:cs="宋体"/>
                <w:bCs/>
                <w:sz w:val="24"/>
              </w:rPr>
            </w:pPr>
          </w:p>
        </w:tc>
      </w:tr>
      <w:tr w14:paraId="6A9F3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A297A58">
            <w:pPr>
              <w:spacing w:line="400" w:lineRule="exact"/>
              <w:jc w:val="center"/>
              <w:rPr>
                <w:rFonts w:hint="eastAsia" w:ascii="宋体" w:hAnsi="宋体" w:eastAsia="宋体" w:cs="宋体"/>
                <w:bCs/>
                <w:sz w:val="24"/>
              </w:rPr>
            </w:pPr>
          </w:p>
        </w:tc>
        <w:tc>
          <w:tcPr>
            <w:tcW w:w="1227" w:type="dxa"/>
            <w:vAlign w:val="center"/>
          </w:tcPr>
          <w:p w14:paraId="2735E293">
            <w:pPr>
              <w:spacing w:line="400" w:lineRule="exact"/>
              <w:jc w:val="center"/>
              <w:rPr>
                <w:rFonts w:hint="eastAsia" w:ascii="宋体" w:hAnsi="宋体" w:eastAsia="宋体" w:cs="宋体"/>
                <w:bCs/>
                <w:sz w:val="24"/>
              </w:rPr>
            </w:pPr>
          </w:p>
        </w:tc>
        <w:tc>
          <w:tcPr>
            <w:tcW w:w="850" w:type="dxa"/>
            <w:vAlign w:val="center"/>
          </w:tcPr>
          <w:p w14:paraId="15C5F5D5">
            <w:pPr>
              <w:spacing w:line="400" w:lineRule="exact"/>
              <w:jc w:val="center"/>
              <w:rPr>
                <w:rFonts w:hint="eastAsia" w:ascii="宋体" w:hAnsi="宋体" w:eastAsia="宋体" w:cs="宋体"/>
                <w:bCs/>
                <w:sz w:val="24"/>
              </w:rPr>
            </w:pPr>
          </w:p>
        </w:tc>
        <w:tc>
          <w:tcPr>
            <w:tcW w:w="849" w:type="dxa"/>
            <w:vAlign w:val="center"/>
          </w:tcPr>
          <w:p w14:paraId="4587B257">
            <w:pPr>
              <w:spacing w:line="400" w:lineRule="exact"/>
              <w:jc w:val="center"/>
              <w:rPr>
                <w:rFonts w:hint="eastAsia" w:ascii="宋体" w:hAnsi="宋体" w:eastAsia="宋体" w:cs="宋体"/>
                <w:bCs/>
                <w:sz w:val="24"/>
              </w:rPr>
            </w:pPr>
          </w:p>
        </w:tc>
        <w:tc>
          <w:tcPr>
            <w:tcW w:w="1133" w:type="dxa"/>
            <w:vAlign w:val="center"/>
          </w:tcPr>
          <w:p w14:paraId="15E6C2D0">
            <w:pPr>
              <w:spacing w:line="400" w:lineRule="exact"/>
              <w:jc w:val="center"/>
              <w:rPr>
                <w:rFonts w:hint="eastAsia" w:ascii="宋体" w:hAnsi="宋体" w:eastAsia="宋体" w:cs="宋体"/>
                <w:bCs/>
                <w:sz w:val="24"/>
              </w:rPr>
            </w:pPr>
          </w:p>
        </w:tc>
        <w:tc>
          <w:tcPr>
            <w:tcW w:w="803" w:type="dxa"/>
            <w:vAlign w:val="center"/>
          </w:tcPr>
          <w:p w14:paraId="0043BBEC">
            <w:pPr>
              <w:spacing w:line="400" w:lineRule="exact"/>
              <w:jc w:val="center"/>
              <w:rPr>
                <w:rFonts w:hint="eastAsia" w:ascii="宋体" w:hAnsi="宋体" w:eastAsia="宋体" w:cs="宋体"/>
                <w:bCs/>
                <w:sz w:val="24"/>
              </w:rPr>
            </w:pPr>
          </w:p>
        </w:tc>
        <w:tc>
          <w:tcPr>
            <w:tcW w:w="802" w:type="dxa"/>
            <w:vAlign w:val="center"/>
          </w:tcPr>
          <w:p w14:paraId="2B96BE05">
            <w:pPr>
              <w:spacing w:line="400" w:lineRule="exact"/>
              <w:jc w:val="center"/>
              <w:rPr>
                <w:rFonts w:hint="eastAsia" w:ascii="宋体" w:hAnsi="宋体" w:eastAsia="宋体" w:cs="宋体"/>
                <w:bCs/>
                <w:sz w:val="24"/>
              </w:rPr>
            </w:pPr>
          </w:p>
        </w:tc>
        <w:tc>
          <w:tcPr>
            <w:tcW w:w="1243" w:type="dxa"/>
            <w:vAlign w:val="center"/>
          </w:tcPr>
          <w:p w14:paraId="20C1ECD3">
            <w:pPr>
              <w:spacing w:line="400" w:lineRule="exact"/>
              <w:jc w:val="center"/>
              <w:rPr>
                <w:rFonts w:hint="eastAsia" w:ascii="宋体" w:hAnsi="宋体" w:eastAsia="宋体" w:cs="宋体"/>
                <w:bCs/>
                <w:sz w:val="24"/>
              </w:rPr>
            </w:pPr>
          </w:p>
        </w:tc>
        <w:tc>
          <w:tcPr>
            <w:tcW w:w="1148" w:type="dxa"/>
            <w:vAlign w:val="center"/>
          </w:tcPr>
          <w:p w14:paraId="561410CC">
            <w:pPr>
              <w:spacing w:line="400" w:lineRule="exact"/>
              <w:jc w:val="center"/>
              <w:rPr>
                <w:rFonts w:hint="eastAsia" w:ascii="宋体" w:hAnsi="宋体" w:eastAsia="宋体" w:cs="宋体"/>
                <w:bCs/>
                <w:sz w:val="24"/>
              </w:rPr>
            </w:pPr>
          </w:p>
        </w:tc>
        <w:tc>
          <w:tcPr>
            <w:tcW w:w="819" w:type="dxa"/>
            <w:vAlign w:val="center"/>
          </w:tcPr>
          <w:p w14:paraId="742BE027">
            <w:pPr>
              <w:spacing w:line="400" w:lineRule="exact"/>
              <w:jc w:val="center"/>
              <w:rPr>
                <w:rFonts w:hint="eastAsia" w:ascii="宋体" w:hAnsi="宋体" w:eastAsia="宋体" w:cs="宋体"/>
                <w:bCs/>
                <w:sz w:val="24"/>
              </w:rPr>
            </w:pPr>
          </w:p>
        </w:tc>
      </w:tr>
      <w:tr w14:paraId="0A9AB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2908CC7">
            <w:pPr>
              <w:spacing w:line="400" w:lineRule="exact"/>
              <w:jc w:val="center"/>
              <w:rPr>
                <w:rFonts w:hint="eastAsia" w:ascii="宋体" w:hAnsi="宋体" w:eastAsia="宋体" w:cs="宋体"/>
                <w:bCs/>
                <w:sz w:val="24"/>
              </w:rPr>
            </w:pPr>
          </w:p>
        </w:tc>
        <w:tc>
          <w:tcPr>
            <w:tcW w:w="1227" w:type="dxa"/>
            <w:vAlign w:val="center"/>
          </w:tcPr>
          <w:p w14:paraId="5405ABD6">
            <w:pPr>
              <w:spacing w:line="400" w:lineRule="exact"/>
              <w:jc w:val="center"/>
              <w:rPr>
                <w:rFonts w:hint="eastAsia" w:ascii="宋体" w:hAnsi="宋体" w:eastAsia="宋体" w:cs="宋体"/>
                <w:bCs/>
                <w:sz w:val="24"/>
              </w:rPr>
            </w:pPr>
          </w:p>
        </w:tc>
        <w:tc>
          <w:tcPr>
            <w:tcW w:w="850" w:type="dxa"/>
            <w:vAlign w:val="center"/>
          </w:tcPr>
          <w:p w14:paraId="0F61195B">
            <w:pPr>
              <w:spacing w:line="400" w:lineRule="exact"/>
              <w:jc w:val="center"/>
              <w:rPr>
                <w:rFonts w:hint="eastAsia" w:ascii="宋体" w:hAnsi="宋体" w:eastAsia="宋体" w:cs="宋体"/>
                <w:bCs/>
                <w:sz w:val="24"/>
              </w:rPr>
            </w:pPr>
          </w:p>
        </w:tc>
        <w:tc>
          <w:tcPr>
            <w:tcW w:w="849" w:type="dxa"/>
            <w:vAlign w:val="center"/>
          </w:tcPr>
          <w:p w14:paraId="25CC4B8C">
            <w:pPr>
              <w:spacing w:line="400" w:lineRule="exact"/>
              <w:jc w:val="center"/>
              <w:rPr>
                <w:rFonts w:hint="eastAsia" w:ascii="宋体" w:hAnsi="宋体" w:eastAsia="宋体" w:cs="宋体"/>
                <w:bCs/>
                <w:sz w:val="24"/>
              </w:rPr>
            </w:pPr>
          </w:p>
        </w:tc>
        <w:tc>
          <w:tcPr>
            <w:tcW w:w="1133" w:type="dxa"/>
            <w:vAlign w:val="center"/>
          </w:tcPr>
          <w:p w14:paraId="51F6AE29">
            <w:pPr>
              <w:spacing w:line="400" w:lineRule="exact"/>
              <w:jc w:val="center"/>
              <w:rPr>
                <w:rFonts w:hint="eastAsia" w:ascii="宋体" w:hAnsi="宋体" w:eastAsia="宋体" w:cs="宋体"/>
                <w:bCs/>
                <w:sz w:val="24"/>
              </w:rPr>
            </w:pPr>
          </w:p>
        </w:tc>
        <w:tc>
          <w:tcPr>
            <w:tcW w:w="803" w:type="dxa"/>
            <w:vAlign w:val="center"/>
          </w:tcPr>
          <w:p w14:paraId="739022EA">
            <w:pPr>
              <w:spacing w:line="400" w:lineRule="exact"/>
              <w:jc w:val="center"/>
              <w:rPr>
                <w:rFonts w:hint="eastAsia" w:ascii="宋体" w:hAnsi="宋体" w:eastAsia="宋体" w:cs="宋体"/>
                <w:bCs/>
                <w:sz w:val="24"/>
              </w:rPr>
            </w:pPr>
          </w:p>
        </w:tc>
        <w:tc>
          <w:tcPr>
            <w:tcW w:w="802" w:type="dxa"/>
            <w:vAlign w:val="center"/>
          </w:tcPr>
          <w:p w14:paraId="07BEB3FF">
            <w:pPr>
              <w:spacing w:line="400" w:lineRule="exact"/>
              <w:jc w:val="center"/>
              <w:rPr>
                <w:rFonts w:hint="eastAsia" w:ascii="宋体" w:hAnsi="宋体" w:eastAsia="宋体" w:cs="宋体"/>
                <w:bCs/>
                <w:sz w:val="24"/>
              </w:rPr>
            </w:pPr>
          </w:p>
        </w:tc>
        <w:tc>
          <w:tcPr>
            <w:tcW w:w="1243" w:type="dxa"/>
            <w:vAlign w:val="center"/>
          </w:tcPr>
          <w:p w14:paraId="0A468AAC">
            <w:pPr>
              <w:spacing w:line="400" w:lineRule="exact"/>
              <w:jc w:val="center"/>
              <w:rPr>
                <w:rFonts w:hint="eastAsia" w:ascii="宋体" w:hAnsi="宋体" w:eastAsia="宋体" w:cs="宋体"/>
                <w:bCs/>
                <w:sz w:val="24"/>
              </w:rPr>
            </w:pPr>
          </w:p>
        </w:tc>
        <w:tc>
          <w:tcPr>
            <w:tcW w:w="1148" w:type="dxa"/>
            <w:vAlign w:val="center"/>
          </w:tcPr>
          <w:p w14:paraId="2DD79E26">
            <w:pPr>
              <w:spacing w:line="400" w:lineRule="exact"/>
              <w:jc w:val="center"/>
              <w:rPr>
                <w:rFonts w:hint="eastAsia" w:ascii="宋体" w:hAnsi="宋体" w:eastAsia="宋体" w:cs="宋体"/>
                <w:bCs/>
                <w:sz w:val="24"/>
              </w:rPr>
            </w:pPr>
          </w:p>
        </w:tc>
        <w:tc>
          <w:tcPr>
            <w:tcW w:w="819" w:type="dxa"/>
            <w:vAlign w:val="center"/>
          </w:tcPr>
          <w:p w14:paraId="42B625FD">
            <w:pPr>
              <w:spacing w:line="400" w:lineRule="exact"/>
              <w:jc w:val="center"/>
              <w:rPr>
                <w:rFonts w:hint="eastAsia" w:ascii="宋体" w:hAnsi="宋体" w:eastAsia="宋体" w:cs="宋体"/>
                <w:bCs/>
                <w:sz w:val="24"/>
              </w:rPr>
            </w:pPr>
          </w:p>
        </w:tc>
      </w:tr>
      <w:tr w14:paraId="33D8D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1FDDBB01">
            <w:pPr>
              <w:spacing w:line="400" w:lineRule="exact"/>
              <w:jc w:val="left"/>
              <w:rPr>
                <w:rFonts w:hint="eastAsia" w:ascii="宋体" w:hAnsi="宋体" w:eastAsia="宋体" w:cs="宋体"/>
                <w:sz w:val="24"/>
              </w:rPr>
            </w:pPr>
            <w:r>
              <w:rPr>
                <w:rFonts w:hint="eastAsia" w:ascii="宋体" w:hAnsi="宋体" w:eastAsia="宋体" w:cs="宋体"/>
                <w:bCs/>
                <w:sz w:val="24"/>
              </w:rPr>
              <w:t>总金额：</w:t>
            </w:r>
            <w:r>
              <w:rPr>
                <w:rFonts w:hint="eastAsia" w:ascii="宋体" w:hAnsi="宋体" w:eastAsia="宋体" w:cs="宋体"/>
                <w:sz w:val="24"/>
              </w:rPr>
              <w:t>人民币</w:t>
            </w:r>
            <w:r>
              <w:rPr>
                <w:rFonts w:hint="eastAsia" w:ascii="宋体" w:hAnsi="宋体" w:eastAsia="宋体" w:cs="宋体"/>
                <w:sz w:val="24"/>
                <w:u w:val="single"/>
              </w:rPr>
              <w:t xml:space="preserve">      </w:t>
            </w:r>
            <w:r>
              <w:rPr>
                <w:rFonts w:hint="eastAsia" w:ascii="宋体" w:hAnsi="宋体" w:eastAsia="宋体" w:cs="宋体"/>
                <w:sz w:val="24"/>
              </w:rPr>
              <w:t>元整（¥</w:t>
            </w:r>
            <w:r>
              <w:rPr>
                <w:rFonts w:hint="eastAsia" w:ascii="宋体" w:hAnsi="宋体" w:eastAsia="宋体" w:cs="宋体"/>
                <w:sz w:val="24"/>
                <w:u w:val="single"/>
              </w:rPr>
              <w:t xml:space="preserve">       </w:t>
            </w:r>
            <w:r>
              <w:rPr>
                <w:rFonts w:hint="eastAsia" w:ascii="宋体" w:hAnsi="宋体" w:eastAsia="宋体" w:cs="宋体"/>
                <w:sz w:val="24"/>
              </w:rPr>
              <w:t>元）</w:t>
            </w:r>
          </w:p>
        </w:tc>
      </w:tr>
    </w:tbl>
    <w:p w14:paraId="41BE28B8">
      <w:pPr>
        <w:spacing w:line="360" w:lineRule="auto"/>
        <w:jc w:val="left"/>
        <w:rPr>
          <w:rFonts w:hint="eastAsia" w:ascii="宋体" w:hAnsi="宋体" w:eastAsia="宋体" w:cs="宋体"/>
          <w:b/>
          <w:bCs/>
          <w:sz w:val="24"/>
        </w:rPr>
      </w:pPr>
    </w:p>
    <w:p w14:paraId="0CC729C4">
      <w:pPr>
        <w:spacing w:line="360" w:lineRule="auto"/>
        <w:jc w:val="left"/>
        <w:rPr>
          <w:rFonts w:hint="eastAsia" w:ascii="宋体" w:hAnsi="宋体" w:eastAsia="宋体" w:cs="宋体"/>
          <w:b/>
          <w:bCs/>
          <w:sz w:val="24"/>
        </w:rPr>
      </w:pPr>
      <w:r>
        <w:rPr>
          <w:rFonts w:hint="eastAsia" w:ascii="宋体" w:hAnsi="宋体" w:eastAsia="宋体" w:cs="宋体"/>
          <w:b/>
          <w:bCs/>
          <w:sz w:val="24"/>
        </w:rPr>
        <w:t xml:space="preserve">附件2 </w:t>
      </w:r>
      <w:r>
        <w:rPr>
          <w:rFonts w:hint="eastAsia" w:ascii="宋体" w:hAnsi="宋体" w:eastAsia="宋体" w:cs="宋体"/>
          <w:b/>
          <w:sz w:val="24"/>
        </w:rPr>
        <w:t>技术规格及标准</w:t>
      </w:r>
    </w:p>
    <w:p w14:paraId="78599C45">
      <w:pPr>
        <w:spacing w:line="360" w:lineRule="auto"/>
        <w:rPr>
          <w:rFonts w:hint="eastAsia" w:ascii="宋体" w:hAnsi="宋体" w:eastAsia="宋体" w:cs="宋体"/>
          <w:bCs/>
          <w:sz w:val="24"/>
        </w:rPr>
      </w:pPr>
    </w:p>
    <w:p w14:paraId="2C1AE66F">
      <w:pPr>
        <w:pStyle w:val="6"/>
        <w:tabs>
          <w:tab w:val="center" w:pos="4140"/>
          <w:tab w:val="right" w:pos="8300"/>
          <w:tab w:val="clear" w:pos="4153"/>
          <w:tab w:val="clear" w:pos="8306"/>
        </w:tabs>
        <w:snapToGrid w:val="0"/>
        <w:spacing w:line="360" w:lineRule="auto"/>
        <w:rPr>
          <w:rFonts w:hint="eastAsia" w:ascii="宋体" w:hAnsi="宋体" w:eastAsia="宋体" w:cs="宋体"/>
          <w:b/>
          <w:bCs/>
          <w:sz w:val="24"/>
        </w:rPr>
      </w:pPr>
      <w:r>
        <w:rPr>
          <w:rFonts w:hint="eastAsia" w:ascii="宋体" w:hAnsi="宋体" w:eastAsia="宋体" w:cs="宋体"/>
          <w:b/>
          <w:bCs/>
          <w:sz w:val="24"/>
        </w:rPr>
        <w:t>附件3 配置清单</w:t>
      </w:r>
    </w:p>
    <w:p w14:paraId="5F55B77D"/>
    <w:p w14:paraId="79A494E4">
      <w:pPr>
        <w:snapToGrid w:val="0"/>
        <w:spacing w:line="360" w:lineRule="auto"/>
        <w:rPr>
          <w:rFonts w:hint="eastAsia" w:ascii="黑体" w:hAnsi="黑体" w:eastAsia="黑体"/>
          <w:color w:val="000000"/>
          <w:sz w:val="32"/>
          <w:szCs w:val="32"/>
        </w:rPr>
      </w:pPr>
    </w:p>
    <w:p w14:paraId="05FE82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1306965"/>
    <w:rsid w:val="0D523741"/>
    <w:rsid w:val="10D66437"/>
    <w:rsid w:val="112D098E"/>
    <w:rsid w:val="164010AD"/>
    <w:rsid w:val="16A469CC"/>
    <w:rsid w:val="171B54BE"/>
    <w:rsid w:val="1DCB556C"/>
    <w:rsid w:val="1E0A6237"/>
    <w:rsid w:val="27C15667"/>
    <w:rsid w:val="31E97269"/>
    <w:rsid w:val="35697EBA"/>
    <w:rsid w:val="4D9A686C"/>
    <w:rsid w:val="56AC3ADE"/>
    <w:rsid w:val="58956288"/>
    <w:rsid w:val="639F01D6"/>
    <w:rsid w:val="6D3C31F9"/>
    <w:rsid w:val="6F526BC2"/>
    <w:rsid w:val="71315B65"/>
    <w:rsid w:val="749618C5"/>
    <w:rsid w:val="784571E7"/>
    <w:rsid w:val="7A9F4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5">
    <w:name w:val="Plain Text"/>
    <w:basedOn w:val="1"/>
    <w:qFormat/>
    <w:uiPriority w:val="99"/>
    <w:pPr>
      <w:spacing w:line="324" w:lineRule="auto"/>
    </w:pPr>
    <w:rPr>
      <w:rFonts w:ascii="宋体" w:hAnsi="Courier New"/>
    </w:rPr>
  </w:style>
  <w:style w:type="paragraph" w:styleId="6">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9">
    <w:name w:val="NormalCharacter"/>
    <w:link w:val="10"/>
    <w:autoRedefine/>
    <w:qFormat/>
    <w:uiPriority w:val="0"/>
    <w:rPr>
      <w:rFonts w:ascii="宋体" w:hAnsi="宋体"/>
    </w:rPr>
  </w:style>
  <w:style w:type="paragraph" w:customStyle="1" w:styleId="10">
    <w:name w:val="UserStyle_64"/>
    <w:basedOn w:val="1"/>
    <w:link w:val="9"/>
    <w:autoRedefine/>
    <w:qFormat/>
    <w:uiPriority w:val="0"/>
    <w:pPr>
      <w:spacing w:line="240" w:lineRule="auto"/>
      <w:textAlignment w:val="baseline"/>
    </w:pPr>
    <w:rPr>
      <w:rFonts w:ascii="宋体" w:hAnsi="宋体"/>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2095</Words>
  <Characters>2107</Characters>
  <Lines>0</Lines>
  <Paragraphs>0</Paragraphs>
  <TotalTime>0</TotalTime>
  <ScaleCrop>false</ScaleCrop>
  <LinksUpToDate>false</LinksUpToDate>
  <CharactersWithSpaces>2385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2024-10-15T06:56:42Z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A97DD11FAB6543E2B0CC4804C9365F4A_11</vt:lpwstr>
  </property>
</Properties>
</file>