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EE2B13">
      <w:pPr>
        <w:kinsoku w:val="0"/>
        <w:spacing w:line="360" w:lineRule="auto"/>
        <w:jc w:val="center"/>
        <w:rPr>
          <w:rFonts w:hint="eastAsia" w:cs="宋体" w:asciiTheme="minorEastAsia" w:hAnsiTheme="minorEastAsia" w:eastAsiaTheme="minorEastAsia"/>
          <w:b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b/>
          <w:sz w:val="32"/>
          <w:szCs w:val="32"/>
        </w:rPr>
        <w:t>合同文本</w:t>
      </w:r>
    </w:p>
    <w:p w14:paraId="51262016">
      <w:pPr>
        <w:kinsoku w:val="0"/>
        <w:spacing w:line="360" w:lineRule="auto"/>
        <w:ind w:firstLine="600" w:firstLineChars="25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甲方：西安科技大学</w:t>
      </w:r>
    </w:p>
    <w:p w14:paraId="5350F1EB">
      <w:pPr>
        <w:kinsoku w:val="0"/>
        <w:spacing w:line="360" w:lineRule="auto"/>
        <w:ind w:firstLine="600" w:firstLineChars="25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乙方：            </w:t>
      </w:r>
    </w:p>
    <w:p w14:paraId="36027E66">
      <w:pPr>
        <w:kinsoku w:val="0"/>
        <w:spacing w:line="360" w:lineRule="auto"/>
        <w:ind w:firstLine="600" w:firstLineChars="25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根据《中华人民共和国政府采购法》、《中华人民共和国民法典》等法律法规，甲方通过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竞争性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  <w:lang w:eastAsia="zh-CN"/>
        </w:rPr>
        <w:t>谈判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（公开招标、</w:t>
      </w:r>
      <w:r>
        <w:rPr>
          <w:rFonts w:hint="eastAsia" w:cs="宋体" w:asciiTheme="minorEastAsia" w:hAnsiTheme="minorEastAsia" w:eastAsiaTheme="minorEastAsia"/>
          <w:sz w:val="24"/>
          <w:szCs w:val="24"/>
          <w:lang w:eastAsia="zh-CN"/>
        </w:rPr>
        <w:t>竞争性谈判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、竞争性谈判、单一来源、协议供货等，根据具体采购形式填写），选定乙方为成交单位。甲、乙双方在平等基础上协商一致，达成如下合同条款：</w:t>
      </w:r>
    </w:p>
    <w:p w14:paraId="5FFD87E5">
      <w:pPr>
        <w:kinsoku w:val="0"/>
        <w:spacing w:line="360" w:lineRule="auto"/>
        <w:ind w:firstLine="600" w:firstLineChars="25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一、</w:t>
      </w:r>
      <w:r>
        <w:rPr>
          <w:rFonts w:hint="eastAsia" w:cs="宋体" w:asciiTheme="minorEastAsia" w:hAnsiTheme="minorEastAsia" w:eastAsiaTheme="minorEastAsia"/>
          <w:b/>
          <w:sz w:val="24"/>
          <w:szCs w:val="24"/>
        </w:rPr>
        <w:t>合同内容                                   单位：元</w:t>
      </w:r>
    </w:p>
    <w:tbl>
      <w:tblPr>
        <w:tblStyle w:val="7"/>
        <w:tblW w:w="8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44EC7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 w14:paraId="43DB6F1F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  <w:t>序号</w:t>
            </w:r>
          </w:p>
        </w:tc>
        <w:tc>
          <w:tcPr>
            <w:tcW w:w="1620" w:type="dxa"/>
            <w:vAlign w:val="center"/>
          </w:tcPr>
          <w:p w14:paraId="08CA761A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  <w:t>产品名称</w:t>
            </w:r>
          </w:p>
        </w:tc>
        <w:tc>
          <w:tcPr>
            <w:tcW w:w="1260" w:type="dxa"/>
            <w:vAlign w:val="center"/>
          </w:tcPr>
          <w:p w14:paraId="14C6B748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  <w:t>型号</w:t>
            </w:r>
          </w:p>
        </w:tc>
        <w:tc>
          <w:tcPr>
            <w:tcW w:w="900" w:type="dxa"/>
            <w:vAlign w:val="center"/>
          </w:tcPr>
          <w:p w14:paraId="743E99E1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  <w:t>产地</w:t>
            </w:r>
          </w:p>
        </w:tc>
        <w:tc>
          <w:tcPr>
            <w:tcW w:w="900" w:type="dxa"/>
            <w:vAlign w:val="center"/>
          </w:tcPr>
          <w:p w14:paraId="3DA2A34D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  <w:t>数量</w:t>
            </w:r>
          </w:p>
        </w:tc>
        <w:tc>
          <w:tcPr>
            <w:tcW w:w="900" w:type="dxa"/>
            <w:vAlign w:val="center"/>
          </w:tcPr>
          <w:p w14:paraId="11B60D29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  <w:t>单价</w:t>
            </w:r>
          </w:p>
        </w:tc>
        <w:tc>
          <w:tcPr>
            <w:tcW w:w="894" w:type="dxa"/>
            <w:vAlign w:val="center"/>
          </w:tcPr>
          <w:p w14:paraId="12F3DE65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  <w:t>总价</w:t>
            </w:r>
          </w:p>
        </w:tc>
        <w:tc>
          <w:tcPr>
            <w:tcW w:w="839" w:type="dxa"/>
            <w:vAlign w:val="center"/>
          </w:tcPr>
          <w:p w14:paraId="22F52662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  <w:t>备注</w:t>
            </w:r>
          </w:p>
        </w:tc>
      </w:tr>
      <w:tr w14:paraId="7CD8E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7D555CA1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14:paraId="590F1B4F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4D32D2A2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63E61A9D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0D10C04F">
            <w:pPr>
              <w:tabs>
                <w:tab w:val="left" w:pos="263"/>
              </w:tabs>
              <w:spacing w:line="360" w:lineRule="auto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ab/>
            </w:r>
          </w:p>
        </w:tc>
        <w:tc>
          <w:tcPr>
            <w:tcW w:w="900" w:type="dxa"/>
            <w:vAlign w:val="center"/>
          </w:tcPr>
          <w:p w14:paraId="4F62248D">
            <w:pPr>
              <w:spacing w:line="360" w:lineRule="auto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47B36F3E">
            <w:pPr>
              <w:spacing w:line="360" w:lineRule="auto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14:paraId="4B2881F6">
            <w:pPr>
              <w:spacing w:line="360" w:lineRule="auto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05E30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703AD587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2</w:t>
            </w:r>
          </w:p>
        </w:tc>
        <w:tc>
          <w:tcPr>
            <w:tcW w:w="1620" w:type="dxa"/>
            <w:vAlign w:val="center"/>
          </w:tcPr>
          <w:p w14:paraId="0EFDF7E8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6E915B2F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782F35B0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34666018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3D373181">
            <w:pPr>
              <w:spacing w:line="360" w:lineRule="auto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1BAA9EDF">
            <w:pPr>
              <w:spacing w:line="360" w:lineRule="auto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14:paraId="0548C062">
            <w:pPr>
              <w:spacing w:line="360" w:lineRule="auto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3A4D5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11F863BD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3</w:t>
            </w:r>
          </w:p>
        </w:tc>
        <w:tc>
          <w:tcPr>
            <w:tcW w:w="1620" w:type="dxa"/>
            <w:vAlign w:val="center"/>
          </w:tcPr>
          <w:p w14:paraId="23EAF61B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142D9B01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3D32CEF1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2E3C1CC4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691B52C0">
            <w:pPr>
              <w:spacing w:line="360" w:lineRule="auto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1AE379D0">
            <w:pPr>
              <w:spacing w:line="360" w:lineRule="auto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14:paraId="73581A30">
            <w:pPr>
              <w:spacing w:line="360" w:lineRule="auto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7C384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 w14:paraId="245528BD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 w14:paraId="36AA648A">
            <w:pPr>
              <w:spacing w:line="360" w:lineRule="auto"/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4"/>
                <w:szCs w:val="24"/>
              </w:rPr>
              <w:t>￥：       （大写）</w:t>
            </w:r>
          </w:p>
        </w:tc>
      </w:tr>
    </w:tbl>
    <w:p w14:paraId="310C74DA">
      <w:pPr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乙方负责按以上确定的产品规格、型号及配套内容进行供货，及时运到甲方指定交货地点安装调试，确保所有产品达到最佳运行状态，做好售后服务工作。</w:t>
      </w:r>
    </w:p>
    <w:p w14:paraId="7683503F">
      <w:pPr>
        <w:spacing w:line="360" w:lineRule="auto"/>
        <w:ind w:firstLine="482" w:firstLineChars="200"/>
        <w:rPr>
          <w:rFonts w:hint="eastAsia" w:cs="宋体" w:asciiTheme="minorEastAsia" w:hAnsiTheme="minorEastAsia" w:eastAsiaTheme="minorEastAsia"/>
          <w:b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/>
          <w:sz w:val="24"/>
          <w:szCs w:val="24"/>
        </w:rPr>
        <w:t>二、合同价格</w:t>
      </w:r>
    </w:p>
    <w:p w14:paraId="5C82D018">
      <w:pPr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b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合同总价：人民币大写：</w:t>
      </w:r>
      <w:r>
        <w:rPr>
          <w:rFonts w:hint="eastAsia" w:cs="宋体" w:asciiTheme="minorEastAsia" w:hAnsiTheme="minorEastAsia" w:eastAsiaTheme="minorEastAsia"/>
          <w:b/>
          <w:sz w:val="24"/>
          <w:szCs w:val="24"/>
          <w:u w:val="single"/>
        </w:rPr>
        <w:t xml:space="preserve">           </w:t>
      </w:r>
      <w:r>
        <w:rPr>
          <w:rFonts w:hint="eastAsia" w:cs="宋体" w:asciiTheme="minorEastAsia" w:hAnsiTheme="minorEastAsia" w:eastAsiaTheme="minorEastAsia"/>
          <w:b/>
          <w:sz w:val="24"/>
          <w:szCs w:val="24"/>
        </w:rPr>
        <w:t>元整；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￥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         </w:t>
      </w:r>
      <w:r>
        <w:rPr>
          <w:rFonts w:hint="eastAsia" w:cs="宋体" w:asciiTheme="minorEastAsia" w:hAnsiTheme="minorEastAsia" w:eastAsiaTheme="minorEastAsia"/>
          <w:b/>
          <w:sz w:val="24"/>
          <w:szCs w:val="24"/>
          <w:u w:val="single"/>
        </w:rPr>
        <w:t xml:space="preserve"> 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元。</w:t>
      </w:r>
    </w:p>
    <w:p w14:paraId="31A240AA">
      <w:pPr>
        <w:kinsoku w:val="0"/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合同总价包括：产品的供应费及所发生的运输费、杂费（含保险）、商检费、搬运费、安装调试费等，包括从产品供应地点到交货地点所包含的一切费用。合同总价不可变更，不受市场价变化的影响，不受实际数量变化的影响。</w:t>
      </w:r>
    </w:p>
    <w:p w14:paraId="345AA92D">
      <w:pPr>
        <w:spacing w:line="360" w:lineRule="auto"/>
        <w:ind w:firstLine="482" w:firstLineChars="200"/>
        <w:rPr>
          <w:rFonts w:hint="eastAsia" w:cs="宋体" w:asciiTheme="minorEastAsia" w:hAnsiTheme="minorEastAsia" w:eastAsiaTheme="minorEastAsia"/>
          <w:b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/>
          <w:sz w:val="24"/>
          <w:szCs w:val="24"/>
        </w:rPr>
        <w:t>三、款项支付</w:t>
      </w:r>
    </w:p>
    <w:p w14:paraId="5711A605">
      <w:pPr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sz w:val="24"/>
          <w:szCs w:val="24"/>
        </w:rPr>
      </w:pPr>
      <w:bookmarkStart w:id="0" w:name="_Toc337393755"/>
      <w:r>
        <w:rPr>
          <w:rFonts w:hint="eastAsia" w:cs="宋体" w:asciiTheme="minorEastAsia" w:hAnsiTheme="minorEastAsia" w:eastAsiaTheme="minorEastAsia"/>
          <w:sz w:val="24"/>
          <w:szCs w:val="24"/>
        </w:rPr>
        <w:t>1、</w:t>
      </w:r>
      <w:bookmarkEnd w:id="0"/>
      <w:bookmarkStart w:id="1" w:name="_Toc337393756"/>
      <w:r>
        <w:rPr>
          <w:rFonts w:hint="eastAsia" w:cs="宋体" w:asciiTheme="minorEastAsia" w:hAnsiTheme="minorEastAsia" w:eastAsiaTheme="minorEastAsia"/>
          <w:sz w:val="24"/>
          <w:szCs w:val="24"/>
        </w:rPr>
        <w:t>采购人结算，在付款前必须开具全额增值税发票给采购人。</w:t>
      </w:r>
    </w:p>
    <w:bookmarkEnd w:id="1"/>
    <w:p w14:paraId="290C249C">
      <w:pPr>
        <w:pStyle w:val="4"/>
        <w:spacing w:line="400" w:lineRule="exact"/>
        <w:ind w:firstLine="240" w:firstLineChars="100"/>
        <w:jc w:val="left"/>
        <w:rPr>
          <w:rFonts w:hint="eastAsia" w:cs="宋体" w:asciiTheme="minorEastAsia" w:hAnsiTheme="minorEastAsia" w:eastAsiaTheme="minorEastAsia"/>
          <w:color w:val="auto"/>
          <w:sz w:val="24"/>
          <w:szCs w:val="24"/>
        </w:rPr>
      </w:pPr>
      <w:bookmarkStart w:id="2" w:name="_Toc337393758"/>
      <w:r>
        <w:rPr>
          <w:rFonts w:hint="eastAsia" w:cs="宋体" w:asciiTheme="minorEastAsia" w:hAnsiTheme="minorEastAsia" w:eastAsiaTheme="minorEastAsia"/>
          <w:color w:val="auto"/>
          <w:sz w:val="24"/>
          <w:szCs w:val="24"/>
        </w:rPr>
        <w:t>2、付款方式：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供应商成交后凭成交通知书向采购人缴纳成交金额的5%作为履约保证金，验收合格支付货款后，5%履约保证金无质量问题一次性无息退还</w:t>
      </w:r>
      <w:r>
        <w:rPr>
          <w:rFonts w:hint="eastAsia" w:cs="宋体" w:asciiTheme="minorEastAsia" w:hAnsiTheme="minorEastAsia"/>
          <w:color w:val="auto"/>
          <w:kern w:val="0"/>
          <w:szCs w:val="24"/>
          <w:highlight w:val="none"/>
        </w:rPr>
        <w:t>。（采购人结算，在付款前必须开具全额增值税专用发票给采购人。）合同签订后，达到付款条件起</w:t>
      </w:r>
      <w:r>
        <w:rPr>
          <w:rFonts w:hint="eastAsia" w:cs="宋体" w:asciiTheme="minorEastAsia" w:hAnsiTheme="minorEastAsia"/>
          <w:color w:val="auto"/>
          <w:kern w:val="0"/>
          <w:szCs w:val="24"/>
          <w:highlight w:val="none"/>
          <w:u w:val="single"/>
        </w:rPr>
        <w:t xml:space="preserve"> 7  </w:t>
      </w:r>
      <w:r>
        <w:rPr>
          <w:rFonts w:hint="eastAsia" w:cs="宋体" w:asciiTheme="minorEastAsia" w:hAnsiTheme="minorEastAsia"/>
          <w:color w:val="auto"/>
          <w:kern w:val="0"/>
          <w:szCs w:val="24"/>
          <w:highlight w:val="none"/>
        </w:rPr>
        <w:t>日内，支付合同总金额的</w:t>
      </w:r>
      <w:r>
        <w:rPr>
          <w:rFonts w:hint="eastAsia" w:cs="宋体" w:asciiTheme="minorEastAsia" w:hAnsiTheme="minorEastAsia"/>
          <w:color w:val="auto"/>
          <w:kern w:val="0"/>
          <w:szCs w:val="24"/>
          <w:highlight w:val="none"/>
          <w:u w:val="single"/>
        </w:rPr>
        <w:t xml:space="preserve">  40  </w:t>
      </w:r>
      <w:r>
        <w:rPr>
          <w:rFonts w:hint="eastAsia" w:cs="宋体" w:asciiTheme="minorEastAsia" w:hAnsiTheme="minorEastAsia"/>
          <w:color w:val="auto"/>
          <w:kern w:val="0"/>
          <w:szCs w:val="24"/>
          <w:highlight w:val="none"/>
        </w:rPr>
        <w:t>%。产品安装调试经学校验收合格后，达到付款条件起</w:t>
      </w:r>
      <w:r>
        <w:rPr>
          <w:rFonts w:hint="eastAsia" w:cs="宋体" w:asciiTheme="minorEastAsia" w:hAnsiTheme="minorEastAsia"/>
          <w:color w:val="auto"/>
          <w:kern w:val="0"/>
          <w:szCs w:val="24"/>
          <w:highlight w:val="none"/>
          <w:u w:val="single"/>
        </w:rPr>
        <w:t xml:space="preserve">  7  </w:t>
      </w:r>
      <w:r>
        <w:rPr>
          <w:rFonts w:hint="eastAsia" w:cs="宋体" w:asciiTheme="minorEastAsia" w:hAnsiTheme="minorEastAsia"/>
          <w:color w:val="auto"/>
          <w:kern w:val="0"/>
          <w:szCs w:val="24"/>
          <w:highlight w:val="none"/>
        </w:rPr>
        <w:t>日内，支付合同总金额的</w:t>
      </w:r>
      <w:r>
        <w:rPr>
          <w:rFonts w:hint="eastAsia" w:cs="宋体" w:asciiTheme="minorEastAsia" w:hAnsiTheme="minorEastAsia"/>
          <w:color w:val="auto"/>
          <w:kern w:val="0"/>
          <w:szCs w:val="24"/>
          <w:highlight w:val="none"/>
          <w:u w:val="single"/>
        </w:rPr>
        <w:t xml:space="preserve">  60  </w:t>
      </w:r>
      <w:r>
        <w:rPr>
          <w:rFonts w:hint="eastAsia" w:cs="宋体" w:asciiTheme="minorEastAsia" w:hAnsiTheme="minorEastAsia"/>
          <w:color w:val="auto"/>
          <w:kern w:val="0"/>
          <w:szCs w:val="24"/>
          <w:highlight w:val="none"/>
        </w:rPr>
        <w:t>%。</w:t>
      </w:r>
    </w:p>
    <w:bookmarkEnd w:id="2"/>
    <w:p w14:paraId="6770D603">
      <w:pPr>
        <w:spacing w:line="360" w:lineRule="auto"/>
        <w:ind w:firstLine="482" w:firstLineChars="200"/>
        <w:rPr>
          <w:rFonts w:hint="eastAsia" w:cs="宋体" w:asciiTheme="minorEastAsia" w:hAnsiTheme="minorEastAsia" w:eastAsiaTheme="minorEastAsia"/>
          <w:b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/>
          <w:sz w:val="24"/>
          <w:szCs w:val="24"/>
        </w:rPr>
        <w:t>四、交货条件</w:t>
      </w:r>
    </w:p>
    <w:p w14:paraId="6A54CB00">
      <w:pPr>
        <w:kinsoku w:val="0"/>
        <w:spacing w:line="360" w:lineRule="auto"/>
        <w:ind w:firstLine="600" w:firstLineChars="25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1、交货地点：采购人指定地点。</w:t>
      </w:r>
    </w:p>
    <w:p w14:paraId="2208C784">
      <w:pPr>
        <w:kinsoku w:val="0"/>
        <w:spacing w:line="360" w:lineRule="auto"/>
        <w:ind w:firstLine="600" w:firstLineChars="250"/>
        <w:rPr>
          <w:rFonts w:hint="eastAsia" w:cs="宋体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2、交货日期：</w:t>
      </w:r>
      <w:r>
        <w:rPr>
          <w:rFonts w:hint="eastAsia" w:cs="宋体" w:asciiTheme="minorEastAsia" w:hAnsiTheme="minorEastAsia" w:eastAsiaTheme="minorEastAsia"/>
          <w:sz w:val="24"/>
          <w:szCs w:val="24"/>
          <w:lang w:eastAsia="zh-CN"/>
        </w:rPr>
        <w:t>详见谈判文件</w:t>
      </w:r>
    </w:p>
    <w:p w14:paraId="01AE84AF">
      <w:pPr>
        <w:spacing w:line="360" w:lineRule="auto"/>
        <w:ind w:firstLine="482" w:firstLineChars="200"/>
        <w:rPr>
          <w:rFonts w:hint="eastAsia" w:cs="宋体" w:asciiTheme="minorEastAsia" w:hAnsiTheme="minorEastAsia" w:eastAsiaTheme="minorEastAsia"/>
          <w:b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/>
          <w:sz w:val="24"/>
          <w:szCs w:val="24"/>
        </w:rPr>
        <w:t>五、运输方式</w:t>
      </w:r>
    </w:p>
    <w:p w14:paraId="56889A11">
      <w:pPr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b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根据产品特性，由乙方在保证产品质量的前提下，自行选择运输及包装方式，发生的一切费用全部由乙方承担。</w:t>
      </w:r>
    </w:p>
    <w:p w14:paraId="5F0014EC">
      <w:pPr>
        <w:spacing w:line="360" w:lineRule="auto"/>
        <w:ind w:firstLine="482" w:firstLineChars="200"/>
        <w:rPr>
          <w:rFonts w:hint="eastAsia" w:cs="宋体" w:asciiTheme="minorEastAsia" w:hAnsiTheme="minorEastAsia" w:eastAsiaTheme="minorEastAsia"/>
          <w:b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/>
          <w:sz w:val="24"/>
          <w:szCs w:val="24"/>
        </w:rPr>
        <w:t>六、质量保证</w:t>
      </w:r>
    </w:p>
    <w:p w14:paraId="40901FC5">
      <w:pPr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1、乙方提供的产品必须满足竞争性</w:t>
      </w:r>
      <w:r>
        <w:rPr>
          <w:rFonts w:hint="eastAsia" w:cs="宋体" w:asciiTheme="minorEastAsia" w:hAnsiTheme="minorEastAsia" w:eastAsiaTheme="minorEastAsia"/>
          <w:sz w:val="24"/>
          <w:szCs w:val="24"/>
          <w:lang w:eastAsia="zh-CN"/>
        </w:rPr>
        <w:t>谈判文件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及合同的技术参数要求。</w:t>
      </w:r>
    </w:p>
    <w:p w14:paraId="793941EE">
      <w:pPr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bCs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2、乙方保证货物应是全新、未曾使用过的、优质工艺及材料制造的产品，并保证所供设备的完整性（包括满足产品完整交付的附件、配套件、说明书等）。</w:t>
      </w:r>
    </w:p>
    <w:p w14:paraId="091D80DF">
      <w:pPr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3、乙方保证所提供的产品质量可靠、进货渠道正规、配置合理、技术性能完全满足竞争性</w:t>
      </w:r>
      <w:r>
        <w:rPr>
          <w:rFonts w:hint="eastAsia" w:cs="宋体" w:asciiTheme="minorEastAsia" w:hAnsiTheme="minorEastAsia" w:eastAsiaTheme="minorEastAsia"/>
          <w:sz w:val="24"/>
          <w:szCs w:val="24"/>
          <w:lang w:eastAsia="zh-CN"/>
        </w:rPr>
        <w:t>谈判文件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要求。</w:t>
      </w:r>
    </w:p>
    <w:p w14:paraId="44B0AE2F">
      <w:pPr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4、乙方应随产品提供检验报告等相关材料。</w:t>
      </w:r>
    </w:p>
    <w:p w14:paraId="3324F05E">
      <w:pPr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bCs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5、产品</w: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性能未达到竞争性</w:t>
      </w:r>
      <w:r>
        <w:rPr>
          <w:rFonts w:hint="eastAsia" w:cs="宋体" w:asciiTheme="minorEastAsia" w:hAnsiTheme="minorEastAsia" w:eastAsiaTheme="minorEastAsia"/>
          <w:bCs/>
          <w:sz w:val="24"/>
          <w:szCs w:val="24"/>
          <w:lang w:eastAsia="zh-CN"/>
        </w:rPr>
        <w:t>谈判文件</w:t>
      </w: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技术参数要求的，甲方有权拒收产品或拒绝验收，乙方可进行限期整改；整改后仍达不到要求的，甲方有权解除合同，保留依法索赔的权利。</w:t>
      </w:r>
    </w:p>
    <w:p w14:paraId="3396E5C7">
      <w:pPr>
        <w:spacing w:line="360" w:lineRule="auto"/>
        <w:ind w:firstLine="482" w:firstLineChars="200"/>
        <w:rPr>
          <w:rFonts w:hint="eastAsia" w:cs="宋体" w:asciiTheme="minorEastAsia" w:hAnsiTheme="minorEastAsia" w:eastAsiaTheme="minorEastAsia"/>
          <w:b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/>
          <w:sz w:val="24"/>
          <w:szCs w:val="24"/>
        </w:rPr>
        <w:t>七、质保期与承诺</w:t>
      </w:r>
    </w:p>
    <w:p w14:paraId="3CD6A7D5">
      <w:pPr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sz w:val="24"/>
          <w:szCs w:val="24"/>
          <w:u w:val="single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1、产品的质保期为产品验收合格后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  <w:lang w:val="en-US" w:eastAsia="zh-CN"/>
        </w:rPr>
        <w:t>1</w:t>
      </w:r>
      <w:r>
        <w:rPr>
          <w:rFonts w:hint="eastAsia" w:cs="宋体" w:asciiTheme="minorEastAsia" w:hAnsiTheme="minorEastAsia" w:eastAsiaTheme="minorEastAsia"/>
          <w:sz w:val="24"/>
          <w:szCs w:val="24"/>
          <w:u w:val="single"/>
        </w:rPr>
        <w:t xml:space="preserve"> 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年。</w:t>
      </w:r>
    </w:p>
    <w:p w14:paraId="6AC8E1E1">
      <w:pPr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bCs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Cs/>
          <w:sz w:val="24"/>
          <w:szCs w:val="24"/>
        </w:rPr>
        <w:t>2、质保期内，若发生产品质量问题，乙方应免费解决；否则，甲方将乙方列入“政府采购联合惩戒黑名单”，并追究法律责任。</w:t>
      </w:r>
    </w:p>
    <w:p w14:paraId="287FDDAC">
      <w:pPr>
        <w:spacing w:line="360" w:lineRule="auto"/>
        <w:ind w:firstLine="359" w:firstLineChars="149"/>
        <w:rPr>
          <w:rFonts w:hint="eastAsia" w:cs="宋体" w:asciiTheme="minorEastAsia" w:hAnsiTheme="minorEastAsia" w:eastAsiaTheme="minorEastAsia"/>
          <w:b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/>
          <w:sz w:val="24"/>
          <w:szCs w:val="24"/>
        </w:rPr>
        <w:t>八、安装、调试及技术服务</w:t>
      </w:r>
    </w:p>
    <w:p w14:paraId="7B0E72AB">
      <w:pPr>
        <w:spacing w:line="360" w:lineRule="auto"/>
        <w:ind w:firstLine="496" w:firstLineChars="207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1、技术资料包括：出厂检测报告、产品使用说明书、合格证等其它相关资料。</w:t>
      </w:r>
    </w:p>
    <w:p w14:paraId="489A28B7"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2、</w:t>
      </w:r>
      <w:r>
        <w:rPr>
          <w:rFonts w:hint="eastAsia" w:asciiTheme="minorEastAsia" w:hAnsiTheme="minorEastAsia" w:eastAsiaTheme="minorEastAsia"/>
          <w:sz w:val="24"/>
          <w:szCs w:val="24"/>
        </w:rPr>
        <w:t>售后服务响应时间（质保期内）：即时响应（包括电话响应）；电话响应无法解决 48 小时内到达现场。修复时间 24  小时内解决；如在 24  小时内无法修复，则提供部件冗余服务或采取应急措施，提供相同产品或不低于故障产品规格档次的备用产品供采购人使用，以确保货物的正常使用。</w:t>
      </w:r>
    </w:p>
    <w:p w14:paraId="2492EF24">
      <w:pPr>
        <w:spacing w:line="360" w:lineRule="auto"/>
        <w:ind w:firstLine="360" w:firstLineChars="15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3、乙方保证产品完全按招标要求提供，若达不到要求，乙方须及时跟甲方沟通协商更换产品，并按照再次验收合格时间相应延长该产品保修期。</w:t>
      </w:r>
    </w:p>
    <w:p w14:paraId="21FB81AF">
      <w:pPr>
        <w:spacing w:line="360" w:lineRule="auto"/>
        <w:ind w:firstLine="360" w:firstLineChars="15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4、服务承诺：按响应文件中的服务承诺执行。</w:t>
      </w:r>
    </w:p>
    <w:p w14:paraId="3857AF80">
      <w:pPr>
        <w:spacing w:line="360" w:lineRule="auto"/>
        <w:ind w:firstLine="360" w:firstLineChars="15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5、交付过程中出现的安全责任问题由乙方全权负责。</w:t>
      </w:r>
    </w:p>
    <w:p w14:paraId="4763D698">
      <w:pPr>
        <w:tabs>
          <w:tab w:val="left" w:pos="5355"/>
        </w:tabs>
        <w:spacing w:line="360" w:lineRule="auto"/>
        <w:rPr>
          <w:rFonts w:hint="eastAsia" w:cs="宋体" w:asciiTheme="minorEastAsia" w:hAnsiTheme="minorEastAsia" w:eastAsiaTheme="minorEastAsia"/>
          <w:b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/>
          <w:sz w:val="24"/>
          <w:szCs w:val="24"/>
        </w:rPr>
        <w:t>九、违约责任：</w:t>
      </w:r>
      <w:bookmarkStart w:id="5" w:name="_GoBack"/>
      <w:bookmarkEnd w:id="5"/>
    </w:p>
    <w:p w14:paraId="7A60AD43">
      <w:pPr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1、按《中华人民共和国民法典》中的相关条款执行。</w:t>
      </w:r>
    </w:p>
    <w:p w14:paraId="44683745">
      <w:pPr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2、若乙方出现不能供货等违约情况，甲方将不退合同金额5%的履约保证金。</w:t>
      </w:r>
    </w:p>
    <w:p w14:paraId="6567CBE7">
      <w:pPr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3、未按合同要求提供产品或设备质量不能满足招标的技术要求，甲方有权终止合同，并保留追究乙方违约责任的权利。</w:t>
      </w:r>
    </w:p>
    <w:p w14:paraId="57793229">
      <w:pPr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4、因供货期迟延的，乙方按照每天1‰向甲方承担违约责任。</w:t>
      </w:r>
    </w:p>
    <w:p w14:paraId="2A105B51">
      <w:pPr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5、因产品质量问题违约的，除了按照迟延时间计算违约金外，另可以采取退货、换货等方式，由乙方承担一切费用。</w:t>
      </w:r>
    </w:p>
    <w:p w14:paraId="0E4E75D0">
      <w:pPr>
        <w:spacing w:line="360" w:lineRule="auto"/>
        <w:rPr>
          <w:rFonts w:hint="eastAsia" w:cs="宋体" w:asciiTheme="minorEastAsia" w:hAnsiTheme="minorEastAsia" w:eastAsiaTheme="minorEastAsia"/>
          <w:b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/>
          <w:sz w:val="24"/>
          <w:szCs w:val="24"/>
        </w:rPr>
        <w:t>十、产品验收</w:t>
      </w:r>
    </w:p>
    <w:p w14:paraId="563BA5EC">
      <w:pPr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1、产品到货后，乙方负责安装调试，达到正常运行条件后书面通知甲方验收。</w:t>
      </w:r>
    </w:p>
    <w:p w14:paraId="1C851692">
      <w:pPr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2、甲方根据合同要求对产品进行验收、确认产品的产地、规格、型号和数量。验收依据为</w:t>
      </w:r>
      <w:bookmarkStart w:id="3" w:name="_Toc337393760"/>
      <w:r>
        <w:rPr>
          <w:rFonts w:hint="eastAsia" w:cs="宋体" w:asciiTheme="minorEastAsia" w:hAnsiTheme="minorEastAsia" w:eastAsiaTheme="minorEastAsia"/>
          <w:sz w:val="24"/>
          <w:szCs w:val="24"/>
        </w:rPr>
        <w:t>本合同文本、竞争性</w:t>
      </w:r>
      <w:r>
        <w:rPr>
          <w:rFonts w:hint="eastAsia" w:cs="宋体" w:asciiTheme="minorEastAsia" w:hAnsiTheme="minorEastAsia" w:eastAsiaTheme="minorEastAsia"/>
          <w:sz w:val="24"/>
          <w:szCs w:val="24"/>
          <w:lang w:eastAsia="zh-CN"/>
        </w:rPr>
        <w:t>谈判文件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、响应文件和国内相应的标准、规范</w:t>
      </w:r>
      <w:bookmarkEnd w:id="3"/>
      <w:bookmarkStart w:id="4" w:name="_Toc337393761"/>
      <w:r>
        <w:rPr>
          <w:rFonts w:hint="eastAsia" w:cs="宋体" w:asciiTheme="minorEastAsia" w:hAnsiTheme="minorEastAsia" w:eastAsiaTheme="minorEastAsia"/>
          <w:sz w:val="24"/>
          <w:szCs w:val="24"/>
        </w:rPr>
        <w:t>。</w:t>
      </w:r>
      <w:bookmarkEnd w:id="4"/>
    </w:p>
    <w:p w14:paraId="7D76D7C3">
      <w:pPr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3、验收合格后，填写验收单，并向甲方提交产品所包含的所有资料。</w:t>
      </w:r>
    </w:p>
    <w:p w14:paraId="525F7EA4">
      <w:pPr>
        <w:tabs>
          <w:tab w:val="left" w:pos="5355"/>
        </w:tabs>
        <w:spacing w:line="360" w:lineRule="auto"/>
        <w:rPr>
          <w:rFonts w:hint="eastAsia" w:cs="宋体" w:asciiTheme="minorEastAsia" w:hAnsiTheme="minorEastAsia" w:eastAsiaTheme="minorEastAsia"/>
          <w:b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/>
          <w:sz w:val="24"/>
          <w:szCs w:val="24"/>
        </w:rPr>
        <w:t>十一、合同争议的解决</w:t>
      </w:r>
    </w:p>
    <w:p w14:paraId="31A0CEC8">
      <w:pPr>
        <w:tabs>
          <w:tab w:val="left" w:pos="5355"/>
        </w:tabs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b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合同一经签订，不得随意变更、中止或终止。对确需变更、调整或者中止、终止合同的，应按规定履行相应的手续。</w:t>
      </w:r>
    </w:p>
    <w:p w14:paraId="53D01D44">
      <w:pPr>
        <w:tabs>
          <w:tab w:val="left" w:pos="5355"/>
        </w:tabs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合同执行中发生争议的，甲、乙双方应协商解决，协商达不成一致时，可向甲方所在地人民法院提请诉讼。</w:t>
      </w:r>
    </w:p>
    <w:p w14:paraId="5D22651F">
      <w:pPr>
        <w:tabs>
          <w:tab w:val="left" w:pos="5355"/>
        </w:tabs>
        <w:spacing w:line="360" w:lineRule="auto"/>
        <w:rPr>
          <w:rFonts w:hint="eastAsia" w:cs="宋体" w:asciiTheme="minorEastAsia" w:hAnsiTheme="minorEastAsia" w:eastAsiaTheme="minorEastAsia"/>
          <w:b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/>
          <w:sz w:val="24"/>
          <w:szCs w:val="24"/>
        </w:rPr>
        <w:t>十二、其它事项</w:t>
      </w:r>
    </w:p>
    <w:p w14:paraId="3C8DBB0F">
      <w:pPr>
        <w:spacing w:line="360" w:lineRule="auto"/>
        <w:ind w:right="-1" w:firstLine="480" w:firstLineChars="20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1、甲、乙双方做为合同执行的主体，有义务及时完全履行合同。招标代理机构陕西中经招标有限公司监督履行。</w:t>
      </w:r>
    </w:p>
    <w:p w14:paraId="042352C6">
      <w:pPr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2、甲方使用部门代表学校签署合同，并随时监督合同履行情况。</w:t>
      </w:r>
    </w:p>
    <w:p w14:paraId="32F64079">
      <w:pPr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3、合同未尽事宜，由甲、乙双方协商，协商方案作为本合同不可分割的组成部分，与本合同具有同等法律效力。</w:t>
      </w:r>
    </w:p>
    <w:p w14:paraId="3734FA73">
      <w:pPr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4、竞争性</w:t>
      </w:r>
      <w:r>
        <w:rPr>
          <w:rFonts w:hint="eastAsia" w:cs="宋体" w:asciiTheme="minorEastAsia" w:hAnsiTheme="minorEastAsia" w:eastAsiaTheme="minorEastAsia"/>
          <w:sz w:val="24"/>
          <w:szCs w:val="24"/>
          <w:lang w:eastAsia="zh-CN"/>
        </w:rPr>
        <w:t>谈判文件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和乙方的响应文件以及合同附件均为合同不可分割的部分。</w:t>
      </w:r>
    </w:p>
    <w:p w14:paraId="3A58E8A9">
      <w:pPr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5、合同一式   份，甲方持   份、乙方执  份、招标代理机构壹份。双方签字盖章后生效，合同执行完毕自动失效。（合同的服务承诺长期有效）。</w:t>
      </w:r>
    </w:p>
    <w:p w14:paraId="7A7F621E">
      <w:pPr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6、使用单位收货、验货人员：____________  电话：_______________</w:t>
      </w:r>
    </w:p>
    <w:p w14:paraId="19CDB56D">
      <w:pPr>
        <w:tabs>
          <w:tab w:val="left" w:pos="5355"/>
        </w:tabs>
        <w:spacing w:line="360" w:lineRule="auto"/>
        <w:rPr>
          <w:rFonts w:hint="eastAsia" w:cs="宋体" w:asciiTheme="minorEastAsia" w:hAnsiTheme="minorEastAsia" w:eastAsiaTheme="minorEastAsia"/>
          <w:sz w:val="24"/>
          <w:szCs w:val="24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3"/>
        <w:gridCol w:w="4857"/>
      </w:tblGrid>
      <w:tr w14:paraId="1B9E3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F42D3">
            <w:pPr>
              <w:spacing w:line="360" w:lineRule="auto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甲方：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8D08B">
            <w:pPr>
              <w:spacing w:line="360" w:lineRule="auto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 xml:space="preserve">乙方： </w:t>
            </w:r>
          </w:p>
        </w:tc>
      </w:tr>
      <w:tr w14:paraId="186A7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46AE0">
            <w:pPr>
              <w:spacing w:line="360" w:lineRule="auto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地址：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743AC">
            <w:pPr>
              <w:spacing w:line="360" w:lineRule="auto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地址：</w:t>
            </w:r>
          </w:p>
        </w:tc>
      </w:tr>
      <w:tr w14:paraId="404B1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6405F">
            <w:pPr>
              <w:spacing w:line="360" w:lineRule="auto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负责人（签字或盖章）：</w:t>
            </w:r>
          </w:p>
          <w:p w14:paraId="1B502E0D">
            <w:pPr>
              <w:spacing w:line="360" w:lineRule="auto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C1784">
            <w:pPr>
              <w:spacing w:line="360" w:lineRule="auto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负责人（签字或盖章）：</w:t>
            </w:r>
          </w:p>
          <w:p w14:paraId="7CED1B64">
            <w:pPr>
              <w:tabs>
                <w:tab w:val="left" w:pos="567"/>
              </w:tabs>
              <w:spacing w:before="120" w:line="360" w:lineRule="auto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0AAC6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306E4">
            <w:pPr>
              <w:spacing w:line="360" w:lineRule="auto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 xml:space="preserve">联系电话：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4DCDA">
            <w:pPr>
              <w:spacing w:line="360" w:lineRule="auto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联系电话：</w:t>
            </w:r>
          </w:p>
        </w:tc>
      </w:tr>
      <w:tr w14:paraId="4AF54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0F158">
            <w:pPr>
              <w:spacing w:line="360" w:lineRule="auto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开户行：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20E14">
            <w:pPr>
              <w:spacing w:line="360" w:lineRule="auto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 xml:space="preserve">开户行： </w:t>
            </w:r>
          </w:p>
        </w:tc>
      </w:tr>
      <w:tr w14:paraId="51F95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84478">
            <w:pPr>
              <w:spacing w:line="360" w:lineRule="auto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账号：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9F2D4">
            <w:pPr>
              <w:spacing w:line="360" w:lineRule="auto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账号：</w:t>
            </w:r>
          </w:p>
        </w:tc>
      </w:tr>
      <w:tr w14:paraId="2DEDC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5C3F8">
            <w:pPr>
              <w:spacing w:line="360" w:lineRule="auto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税号：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35AB4">
            <w:pPr>
              <w:spacing w:line="360" w:lineRule="auto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税号：</w:t>
            </w:r>
          </w:p>
        </w:tc>
      </w:tr>
      <w:tr w14:paraId="1D07D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FC4F7">
            <w:pPr>
              <w:spacing w:line="360" w:lineRule="auto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日期：     年       月       日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C89B6">
            <w:pPr>
              <w:spacing w:line="360" w:lineRule="auto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日期：    年       月       日</w:t>
            </w:r>
          </w:p>
        </w:tc>
      </w:tr>
    </w:tbl>
    <w:p w14:paraId="5A6A24EE"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NzQ2Y2ZmOTBkMTUyODBhYTJmYzM2MWM5NGIxYjkxMDYifQ=="/>
  </w:docVars>
  <w:rsids>
    <w:rsidRoot w:val="00D31D50"/>
    <w:rsid w:val="00323B43"/>
    <w:rsid w:val="003D37D8"/>
    <w:rsid w:val="00426133"/>
    <w:rsid w:val="004358AB"/>
    <w:rsid w:val="00451D56"/>
    <w:rsid w:val="008B7726"/>
    <w:rsid w:val="00904300"/>
    <w:rsid w:val="00B60D29"/>
    <w:rsid w:val="00D31D50"/>
    <w:rsid w:val="2A7340D0"/>
    <w:rsid w:val="30F41A60"/>
    <w:rsid w:val="36A352A8"/>
    <w:rsid w:val="40722652"/>
    <w:rsid w:val="5A657B9F"/>
    <w:rsid w:val="5BD91842"/>
    <w:rsid w:val="72E27A80"/>
    <w:rsid w:val="7D821FA4"/>
    <w:rsid w:val="7E35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qFormat="1"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autoRedefine/>
    <w:qFormat/>
    <w:uiPriority w:val="0"/>
    <w:pPr>
      <w:autoSpaceDE/>
      <w:autoSpaceDN/>
      <w:adjustRightInd w:val="0"/>
      <w:spacing w:line="360" w:lineRule="auto"/>
      <w:ind w:firstLine="422" w:firstLineChars="200"/>
      <w:jc w:val="left"/>
    </w:pPr>
    <w:rPr>
      <w:rFonts w:ascii="宋体" w:hAnsi="宋体" w:eastAsia="宋体"/>
      <w:kern w:val="0"/>
      <w:szCs w:val="20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Plain Text"/>
    <w:basedOn w:val="1"/>
    <w:qFormat/>
    <w:uiPriority w:val="0"/>
    <w:rPr>
      <w:rFonts w:ascii="宋体" w:hAnsi="宋体" w:eastAsia="宋体"/>
      <w:kern w:val="2"/>
      <w:sz w:val="24"/>
      <w:szCs w:val="20"/>
    </w:rPr>
  </w:style>
  <w:style w:type="paragraph" w:styleId="5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9">
    <w:name w:val="页脚 Char"/>
    <w:basedOn w:val="8"/>
    <w:link w:val="5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页眉 Char"/>
    <w:basedOn w:val="8"/>
    <w:link w:val="6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2053</Words>
  <Characters>2086</Characters>
  <Lines>16</Lines>
  <Paragraphs>4</Paragraphs>
  <TotalTime>0</TotalTime>
  <ScaleCrop>false</ScaleCrop>
  <LinksUpToDate>false</LinksUpToDate>
  <CharactersWithSpaces>2239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张润华</dc:creator>
  <cp:lastModifiedBy>尊贵的VIP</cp:lastModifiedBy>
  <dcterms:modified xsi:type="dcterms:W3CDTF">2024-09-06T06:03:21Z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A5C8AFFB964B48A58B8341934A5227E5_12</vt:lpwstr>
  </property>
</Properties>
</file>