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西安城市环线临潼经高陵至机场段等2个项目工可研技术审查</w:t>
      </w:r>
    </w:p>
    <w:p>
      <w:pPr>
        <w:pStyle w:val="null3"/>
        <w:jc w:val="center"/>
        <w:outlineLvl w:val="2"/>
      </w:pPr>
      <w:r>
        <w:rPr>
          <w:sz w:val="28"/>
          <w:b/>
        </w:rPr>
        <w:t>采购项目编号：</w:t>
      </w:r>
      <w:r>
        <w:rPr>
          <w:sz w:val="28"/>
          <w:b/>
        </w:rPr>
        <w:t>SXHC2024-271</w:t>
      </w:r>
      <w:r>
        <w:br/>
      </w:r>
      <w:r>
        <w:br/>
      </w:r>
      <w:r>
        <w:br/>
      </w:r>
    </w:p>
    <w:p>
      <w:pPr>
        <w:pStyle w:val="null3"/>
        <w:jc w:val="center"/>
        <w:outlineLvl w:val="2"/>
      </w:pPr>
      <w:r>
        <w:rPr>
          <w:sz w:val="28"/>
          <w:b/>
        </w:rPr>
        <w:t>陕西省交通运输厅机关</w:t>
      </w:r>
    </w:p>
    <w:p>
      <w:pPr>
        <w:pStyle w:val="null3"/>
        <w:jc w:val="center"/>
        <w:outlineLvl w:val="2"/>
      </w:pPr>
      <w:r>
        <w:rPr>
          <w:sz w:val="28"/>
          <w:b/>
        </w:rPr>
        <w:t>陕西华采招标有限公司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陕西华采招标有限公司</w:t>
      </w:r>
      <w:r>
        <w:rPr/>
        <w:t>（以下简称“代理机构”）受</w:t>
      </w:r>
      <w:r>
        <w:rPr/>
        <w:t>陕西省交通运输厅机关</w:t>
      </w:r>
      <w:r>
        <w:rPr/>
        <w:t>委托，拟对</w:t>
      </w:r>
      <w:r>
        <w:rPr/>
        <w:t>西安城市环线临潼经高陵至机场段等2个项目工可研技术审查</w:t>
      </w:r>
      <w:r>
        <w:rPr/>
        <w:t>采用竞争性磋商采购方式进行采购，兹邀请供应商参加本项目的竞争性磋商。</w:t>
      </w:r>
    </w:p>
    <w:p>
      <w:pPr>
        <w:pStyle w:val="null3"/>
        <w:outlineLvl w:val="2"/>
      </w:pPr>
      <w:r>
        <w:rPr>
          <w:sz w:val="28"/>
          <w:b/>
        </w:rPr>
        <w:t>一、项目编号：</w:t>
      </w:r>
      <w:r>
        <w:rPr>
          <w:sz w:val="28"/>
          <w:b/>
        </w:rPr>
        <w:t>SXHC2024-271</w:t>
      </w:r>
    </w:p>
    <w:p>
      <w:pPr>
        <w:pStyle w:val="null3"/>
        <w:outlineLvl w:val="2"/>
      </w:pPr>
      <w:r>
        <w:rPr>
          <w:sz w:val="28"/>
          <w:b/>
        </w:rPr>
        <w:t>二、项目名称：</w:t>
      </w:r>
      <w:r>
        <w:rPr>
          <w:sz w:val="28"/>
          <w:b/>
        </w:rPr>
        <w:t>西安城市环线临潼经高陵至机场段等2个项目工可研技术审查</w:t>
      </w:r>
    </w:p>
    <w:p>
      <w:pPr>
        <w:pStyle w:val="null3"/>
        <w:outlineLvl w:val="2"/>
      </w:pPr>
      <w:r>
        <w:rPr>
          <w:sz w:val="28"/>
          <w:b/>
        </w:rPr>
        <w:t>三、磋商项目简介</w:t>
      </w:r>
    </w:p>
    <w:p>
      <w:pPr>
        <w:pStyle w:val="null3"/>
        <w:ind w:firstLine="480"/>
      </w:pPr>
      <w:r>
        <w:rPr/>
        <w:t>本次招标对西安城市环线临潼经高陵至机场段和西安绕城高速公路（G3002）扩能改造项目提供工可研技术审查，形成项目工可研报告技术审查意见；项目工可研报告技术咨询服务相关工作，主要包括项目建设必要性、交通量分析预测、技术标准、路线方案、建设规模、估算投资、资金筹措方案、经济评价等，以及需满足的质量、服务、安全、时限等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t>2、全国投资项目在线审批监管平台查询：供应商应为全国投资项目在线审批监管平台（http://www.tzxm.gov.cn/）备案的工程咨询单位，且工程咨询专业必须包含公路，服务范围必须包含评估咨询，且供应商名称与该名录中的相应企业名称完全一致。</w:t>
      </w:r>
    </w:p>
    <w:p>
      <w:pPr>
        <w:pStyle w:val="null3"/>
      </w:pPr>
      <w:r>
        <w:rPr/>
        <w:t>3、信誉要求：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p>
      <w:pPr>
        <w:pStyle w:val="null3"/>
      </w:pPr>
      <w:r>
        <w:rPr/>
        <w:t>4、其他要求：若是本采购包内任何一个项目的可研报告编制单位，不得参与本采购包的投标。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陕西省交通运输厅机关</w:t>
      </w:r>
    </w:p>
    <w:p>
      <w:pPr>
        <w:pStyle w:val="null3"/>
      </w:pPr>
      <w:r>
        <w:rPr/>
        <w:t xml:space="preserve"> 地址： </w:t>
      </w:r>
      <w:r>
        <w:rPr/>
        <w:t>陕西省西安市雁塔区唐延路6号</w:t>
      </w:r>
    </w:p>
    <w:p>
      <w:pPr>
        <w:pStyle w:val="null3"/>
      </w:pPr>
      <w:r>
        <w:rPr/>
        <w:t xml:space="preserve"> 邮编： </w:t>
      </w:r>
      <w:r>
        <w:rPr/>
        <w:t>710068</w:t>
      </w:r>
    </w:p>
    <w:p>
      <w:pPr>
        <w:pStyle w:val="null3"/>
      </w:pPr>
      <w:r>
        <w:rPr/>
        <w:t xml:space="preserve"> 联系人： </w:t>
      </w:r>
      <w:r>
        <w:rPr/>
        <w:t>陕西省交通运输厅机关经办</w:t>
      </w:r>
    </w:p>
    <w:p>
      <w:pPr>
        <w:pStyle w:val="null3"/>
      </w:pPr>
      <w:r>
        <w:rPr/>
        <w:t xml:space="preserve"> 联系电话： </w:t>
      </w:r>
      <w:r>
        <w:rPr/>
        <w:t>029-88869037</w:t>
      </w:r>
    </w:p>
    <w:p>
      <w:pPr>
        <w:pStyle w:val="null3"/>
        <w:outlineLvl w:val="3"/>
      </w:pPr>
      <w:r>
        <w:rPr>
          <w:sz w:val="24"/>
          <w:b/>
        </w:rPr>
        <w:t>代理机构：</w:t>
      </w:r>
      <w:r>
        <w:rPr>
          <w:sz w:val="24"/>
          <w:b/>
        </w:rPr>
        <w:t>陕西华采招标有限公司</w:t>
      </w:r>
    </w:p>
    <w:p>
      <w:pPr>
        <w:pStyle w:val="null3"/>
      </w:pPr>
      <w:r>
        <w:rPr/>
        <w:t xml:space="preserve"> 地址： </w:t>
      </w:r>
      <w:r>
        <w:rPr/>
        <w:t>陕西省西安市高新区锦业路1号绿地领海B座10楼1006室</w:t>
      </w:r>
    </w:p>
    <w:p>
      <w:pPr>
        <w:pStyle w:val="null3"/>
      </w:pPr>
      <w:r>
        <w:rPr/>
        <w:t xml:space="preserve"> 邮编： </w:t>
      </w:r>
      <w:r>
        <w:rPr/>
        <w:t>710065</w:t>
      </w:r>
    </w:p>
    <w:p>
      <w:pPr>
        <w:pStyle w:val="null3"/>
      </w:pPr>
      <w:r>
        <w:rPr/>
        <w:t xml:space="preserve"> 联系人： </w:t>
      </w:r>
      <w:r>
        <w:rPr/>
        <w:t>张瑞娜、赵凡、张聪聪</w:t>
      </w:r>
    </w:p>
    <w:p>
      <w:pPr>
        <w:pStyle w:val="null3"/>
      </w:pPr>
      <w:r>
        <w:rPr/>
        <w:t xml:space="preserve"> 联系电话： </w:t>
      </w:r>
      <w:r>
        <w:rPr/>
        <w:t xml:space="preserve"> 029-68255920-808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缴交渠道：转账、支票、汇票等（需通过实体账户、户名及开户行信息）,电子保函</w:t>
            </w:r>
          </w:p>
          <w:p>
            <w:pPr>
              <w:pStyle w:val="null3"/>
            </w:pPr>
            <w:r>
              <w:rPr/>
              <w:t>开户名称：陕西华采招标有限公司</w:t>
            </w:r>
          </w:p>
          <w:p>
            <w:pPr>
              <w:pStyle w:val="null3"/>
            </w:pPr>
            <w:r>
              <w:rPr/>
              <w:t>开户银行：交通银行股份有限公司陕西自贸试验区西安锦业路支行</w:t>
            </w:r>
          </w:p>
          <w:p>
            <w:pPr>
              <w:pStyle w:val="null3"/>
            </w:pPr>
            <w:r>
              <w:rPr/>
              <w:t>银行账号：611301132018010166661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90%收取。 代理服务费缴纳信息如下： 银行户名：陕西华采招标有限公司 开户行名称：招商银行股份有限公司陕西自贸试验区西安高新科技支行 行 号：308791011305 账 号：129905942210666 联 系 人：韩工 联系电话：029-68255920-802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陕西省交通运输厅机关</w:t>
      </w:r>
      <w:r>
        <w:rPr/>
        <w:t>和</w:t>
      </w:r>
      <w:r>
        <w:rPr/>
        <w:t>陕西华采招标有限公司</w:t>
      </w:r>
      <w:r>
        <w:rPr/>
        <w:t>享有。对磋商文件中供应商参加本次政府采购活动应当具备的条件，磋商项目技术、服务、商务及其他要求，评审细则及标准由</w:t>
      </w:r>
      <w:r>
        <w:rPr/>
        <w:t>陕西省交通运输厅机关</w:t>
      </w:r>
      <w:r>
        <w:rPr/>
        <w:t>负责解释。除上述磋商文件内容，其他内容由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陕西省交通运输厅机关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按照磋商文件要求和合同约定执行。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联系人：李妍</w:t>
      </w:r>
    </w:p>
    <w:p>
      <w:pPr>
        <w:pStyle w:val="null3"/>
      </w:pPr>
      <w:r>
        <w:rPr/>
        <w:t>联系电话：029-68255920转808</w:t>
      </w:r>
    </w:p>
    <w:p>
      <w:pPr>
        <w:pStyle w:val="null3"/>
      </w:pPr>
      <w:r>
        <w:rPr/>
        <w:t>地址：西安高新区锦业路1号绿地领海大厦B座10楼1006室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招标对西安城市环线临潼经高陵至机场段和西安绕城高速公路（G3002）扩能改造项目提供工可研技术审查，形成项目工可研报告技术审查意见；项目工可研报告技术咨询服务相关工作，主要包括项目建设必要性、交通量分析预测、技术标准、路线方案、建设规模、估算投资、资金筹措方案、经济评价等，以及需满足的质量、服务、安全、时限等要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西安城市环线临潼经高陵至机场段等2个项目工可研技术审查</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标的名称：西安城市环线临潼经高陵至机场段等2个项目工可研技术审查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pPr>
            <w:r>
              <w:rPr>
                <w:rFonts w:ascii="宋体" w:hAnsi="宋体" w:cs="宋体" w:eastAsia="宋体"/>
                <w:sz w:val="24"/>
                <w:b/>
              </w:rPr>
              <w:t>一、</w:t>
            </w:r>
            <w:r>
              <w:rPr>
                <w:rFonts w:ascii="宋体" w:hAnsi="宋体" w:cs="宋体" w:eastAsia="宋体"/>
                <w:sz w:val="24"/>
                <w:b/>
              </w:rPr>
              <w:t>项目概况</w:t>
            </w:r>
          </w:p>
          <w:p>
            <w:pPr>
              <w:pStyle w:val="null3"/>
              <w:ind w:firstLine="480"/>
            </w:pPr>
            <w:r>
              <w:rPr>
                <w:rFonts w:ascii="宋体" w:hAnsi="宋体" w:cs="宋体" w:eastAsia="宋体"/>
                <w:sz w:val="24"/>
              </w:rPr>
              <w:t>本次招标对西安城市环线临潼经高陵至机场段和西安绕城高速公路（</w:t>
            </w:r>
            <w:r>
              <w:rPr>
                <w:rFonts w:ascii="calibri" w:hAnsi="calibri" w:cs="calibri" w:eastAsia="calibri"/>
                <w:sz w:val="24"/>
              </w:rPr>
              <w:t>G3002</w:t>
            </w:r>
            <w:r>
              <w:rPr>
                <w:rFonts w:ascii="宋体" w:hAnsi="宋体" w:cs="宋体" w:eastAsia="宋体"/>
                <w:sz w:val="24"/>
              </w:rPr>
              <w:t>）扩能改造</w:t>
            </w:r>
            <w:r>
              <w:rPr>
                <w:rFonts w:ascii="宋体" w:hAnsi="宋体" w:cs="宋体" w:eastAsia="宋体"/>
                <w:sz w:val="24"/>
              </w:rPr>
              <w:t>项目</w:t>
            </w:r>
            <w:r>
              <w:rPr>
                <w:rFonts w:ascii="宋体" w:hAnsi="宋体" w:cs="宋体" w:eastAsia="宋体"/>
                <w:sz w:val="24"/>
              </w:rPr>
              <w:t>提供</w:t>
            </w:r>
            <w:r>
              <w:rPr>
                <w:rFonts w:ascii="宋体" w:hAnsi="宋体" w:cs="宋体" w:eastAsia="宋体"/>
                <w:sz w:val="24"/>
              </w:rPr>
              <w:t>工可研技术审查，</w:t>
            </w:r>
            <w:r>
              <w:rPr>
                <w:rFonts w:ascii="宋体" w:hAnsi="宋体" w:cs="宋体" w:eastAsia="宋体"/>
                <w:sz w:val="24"/>
              </w:rPr>
              <w:t>形成项目工可研报告技术</w:t>
            </w:r>
            <w:r>
              <w:rPr>
                <w:rFonts w:ascii="宋体" w:hAnsi="宋体" w:cs="宋体" w:eastAsia="宋体"/>
                <w:sz w:val="24"/>
              </w:rPr>
              <w:t>审查</w:t>
            </w:r>
            <w:r>
              <w:rPr>
                <w:rFonts w:ascii="宋体" w:hAnsi="宋体" w:cs="宋体" w:eastAsia="宋体"/>
                <w:sz w:val="24"/>
              </w:rPr>
              <w:t>意见；项目工可研报告技术</w:t>
            </w:r>
            <w:r>
              <w:rPr>
                <w:rFonts w:ascii="宋体" w:hAnsi="宋体" w:cs="宋体" w:eastAsia="宋体"/>
                <w:sz w:val="24"/>
              </w:rPr>
              <w:t>审查</w:t>
            </w:r>
            <w:r>
              <w:rPr>
                <w:rFonts w:ascii="宋体" w:hAnsi="宋体" w:cs="宋体" w:eastAsia="宋体"/>
                <w:sz w:val="24"/>
              </w:rPr>
              <w:t>服务相关工作，主要包括项目建设必要性、交通量分析预测、技术标准、路线方案、建设规模、估算投资、资金筹措方案、经济评价等，以及需满足的质量、服务、安全、时限等要求。</w:t>
            </w:r>
          </w:p>
          <w:p>
            <w:pPr>
              <w:pStyle w:val="null3"/>
              <w:ind w:firstLine="480"/>
            </w:pPr>
            <w:r>
              <w:rPr>
                <w:rFonts w:ascii="宋体" w:hAnsi="宋体" w:cs="宋体" w:eastAsia="宋体"/>
                <w:sz w:val="24"/>
              </w:rPr>
              <w:t>二、项目投资规模及建设内容</w:t>
            </w:r>
          </w:p>
          <w:p>
            <w:pPr>
              <w:pStyle w:val="null3"/>
              <w:ind w:firstLine="480"/>
            </w:pPr>
            <w:r>
              <w:rPr>
                <w:rFonts w:ascii="宋体" w:hAnsi="宋体" w:cs="宋体" w:eastAsia="宋体"/>
                <w:sz w:val="24"/>
              </w:rPr>
              <w:t>（一）西安城市环线临潼经高陵至机场段项目，路线全长约</w:t>
            </w:r>
            <w:r>
              <w:rPr>
                <w:rFonts w:ascii="calibri" w:hAnsi="calibri" w:cs="calibri" w:eastAsia="calibri"/>
                <w:sz w:val="24"/>
              </w:rPr>
              <w:t>54.6</w:t>
            </w:r>
            <w:r>
              <w:rPr>
                <w:rFonts w:ascii="宋体" w:hAnsi="宋体" w:cs="宋体" w:eastAsia="宋体"/>
                <w:sz w:val="24"/>
              </w:rPr>
              <w:t>公里，拟采用设计速度</w:t>
            </w:r>
            <w:r>
              <w:rPr>
                <w:rFonts w:ascii="calibri" w:hAnsi="calibri" w:cs="calibri" w:eastAsia="calibri"/>
                <w:sz w:val="24"/>
              </w:rPr>
              <w:t>100</w:t>
            </w:r>
            <w:r>
              <w:rPr>
                <w:rFonts w:ascii="宋体" w:hAnsi="宋体" w:cs="宋体" w:eastAsia="宋体"/>
                <w:sz w:val="24"/>
              </w:rPr>
              <w:t>公里</w:t>
            </w:r>
            <w:r>
              <w:rPr>
                <w:rFonts w:ascii="calibri" w:hAnsi="calibri" w:cs="calibri" w:eastAsia="calibri"/>
                <w:sz w:val="24"/>
              </w:rPr>
              <w:t>/</w:t>
            </w:r>
            <w:r>
              <w:rPr>
                <w:rFonts w:ascii="宋体" w:hAnsi="宋体" w:cs="宋体" w:eastAsia="宋体"/>
                <w:sz w:val="24"/>
              </w:rPr>
              <w:t>小时，双向六车道高速公路技术标准，全线拟设互通式立交</w:t>
            </w:r>
            <w:r>
              <w:rPr>
                <w:rFonts w:ascii="calibri" w:hAnsi="calibri" w:cs="calibri" w:eastAsia="calibri"/>
                <w:sz w:val="24"/>
              </w:rPr>
              <w:t>10</w:t>
            </w:r>
            <w:r>
              <w:rPr>
                <w:rFonts w:ascii="宋体" w:hAnsi="宋体" w:cs="宋体" w:eastAsia="宋体"/>
                <w:sz w:val="24"/>
              </w:rPr>
              <w:t>处，估算总投资</w:t>
            </w:r>
            <w:r>
              <w:rPr>
                <w:rFonts w:ascii="calibri" w:hAnsi="calibri" w:cs="calibri" w:eastAsia="calibri"/>
                <w:sz w:val="24"/>
              </w:rPr>
              <w:t>155.5</w:t>
            </w:r>
            <w:r>
              <w:rPr>
                <w:rFonts w:ascii="宋体" w:hAnsi="宋体" w:cs="宋体" w:eastAsia="宋体"/>
                <w:sz w:val="24"/>
              </w:rPr>
              <w:t>亿元。</w:t>
            </w:r>
          </w:p>
          <w:p>
            <w:pPr>
              <w:pStyle w:val="null3"/>
              <w:ind w:firstLine="480"/>
            </w:pPr>
            <w:r>
              <w:rPr>
                <w:rFonts w:ascii="宋体" w:hAnsi="宋体" w:cs="宋体" w:eastAsia="宋体"/>
                <w:sz w:val="24"/>
              </w:rPr>
              <w:t>（二）西安绕城高速公路（</w:t>
            </w:r>
            <w:r>
              <w:rPr>
                <w:rFonts w:ascii="calibri" w:hAnsi="calibri" w:cs="calibri" w:eastAsia="calibri"/>
                <w:sz w:val="24"/>
              </w:rPr>
              <w:t>G3002</w:t>
            </w:r>
            <w:r>
              <w:rPr>
                <w:rFonts w:ascii="宋体" w:hAnsi="宋体" w:cs="宋体" w:eastAsia="宋体"/>
                <w:sz w:val="24"/>
              </w:rPr>
              <w:t>）扩能改造工程，建设内容主要包括智慧改造、路段扩容、节点改建及完善高快体系等，最大限度提高路网通行能力，估算总投资</w:t>
            </w:r>
            <w:r>
              <w:rPr>
                <w:rFonts w:ascii="calibri" w:hAnsi="calibri" w:cs="calibri" w:eastAsia="calibri"/>
                <w:sz w:val="24"/>
              </w:rPr>
              <w:t>165.8</w:t>
            </w:r>
            <w:r>
              <w:rPr>
                <w:rFonts w:ascii="宋体" w:hAnsi="宋体" w:cs="宋体" w:eastAsia="宋体"/>
                <w:sz w:val="24"/>
              </w:rPr>
              <w:t>亿元。</w:t>
            </w:r>
          </w:p>
          <w:p>
            <w:pPr>
              <w:pStyle w:val="null3"/>
              <w:ind w:firstLine="482"/>
            </w:pPr>
            <w:r>
              <w:rPr>
                <w:rFonts w:ascii="宋体" w:hAnsi="宋体" w:cs="宋体" w:eastAsia="宋体"/>
                <w:sz w:val="24"/>
                <w:b/>
              </w:rPr>
              <w:t>三</w:t>
            </w:r>
            <w:r>
              <w:rPr>
                <w:rFonts w:ascii="宋体" w:hAnsi="宋体" w:cs="宋体" w:eastAsia="宋体"/>
                <w:sz w:val="24"/>
                <w:b/>
              </w:rPr>
              <w:t>、服务要求</w:t>
            </w:r>
          </w:p>
          <w:p>
            <w:pPr>
              <w:pStyle w:val="null3"/>
              <w:ind w:firstLine="480"/>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总体要求</w:t>
            </w:r>
          </w:p>
          <w:p>
            <w:pPr>
              <w:pStyle w:val="null3"/>
              <w:ind w:firstLine="480"/>
            </w:pPr>
            <w:r>
              <w:rPr>
                <w:rFonts w:ascii="宋体" w:hAnsi="宋体" w:cs="宋体" w:eastAsia="宋体"/>
                <w:sz w:val="24"/>
              </w:rPr>
              <w:t>承担技术咨询任务的单位，应根据采购人关于</w:t>
            </w:r>
            <w:r>
              <w:rPr>
                <w:rFonts w:ascii="宋体" w:hAnsi="宋体" w:cs="宋体" w:eastAsia="宋体"/>
                <w:sz w:val="24"/>
              </w:rPr>
              <w:t>本</w:t>
            </w:r>
            <w:r>
              <w:rPr>
                <w:rFonts w:ascii="宋体" w:hAnsi="宋体" w:cs="宋体" w:eastAsia="宋体"/>
                <w:sz w:val="24"/>
              </w:rPr>
              <w:t>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calibri" w:hAnsi="calibri" w:cs="calibri" w:eastAsia="calibri"/>
                <w:sz w:val="24"/>
              </w:rPr>
              <w:t>2</w:t>
            </w:r>
            <w:r>
              <w:rPr>
                <w:rFonts w:ascii="宋体" w:hAnsi="宋体" w:cs="宋体" w:eastAsia="宋体"/>
                <w:sz w:val="24"/>
              </w:rPr>
              <w:t>、</w:t>
            </w:r>
            <w:r>
              <w:rPr>
                <w:rFonts w:ascii="宋体" w:hAnsi="宋体" w:cs="宋体" w:eastAsia="宋体"/>
                <w:sz w:val="24"/>
              </w:rPr>
              <w:t>质量要求</w:t>
            </w:r>
          </w:p>
          <w:p>
            <w:pPr>
              <w:pStyle w:val="null3"/>
              <w:ind w:firstLine="480"/>
            </w:pPr>
            <w:r>
              <w:rPr>
                <w:rFonts w:ascii="宋体" w:hAnsi="宋体" w:cs="宋体" w:eastAsia="宋体"/>
                <w:sz w:val="24"/>
              </w:rPr>
              <w:t>承担技术咨询任务的单位，需按照现行有关规范标准和政策要求，负责对合同段内项目工可研报告开展技术咨询审查服务相关工作，出具项目</w:t>
            </w:r>
            <w:r>
              <w:rPr>
                <w:rFonts w:ascii="宋体" w:hAnsi="宋体" w:cs="宋体" w:eastAsia="宋体"/>
                <w:sz w:val="24"/>
              </w:rPr>
              <w:t>工可研技术审查</w:t>
            </w:r>
            <w:r>
              <w:rPr>
                <w:rFonts w:ascii="宋体" w:hAnsi="宋体" w:cs="宋体" w:eastAsia="宋体"/>
                <w:sz w:val="24"/>
              </w:rPr>
              <w:t>审查意见，以及需满足的质量、服务、安全、时限等要求。</w:t>
            </w:r>
            <w:r>
              <w:rPr>
                <w:rFonts w:ascii="宋体" w:hAnsi="宋体" w:cs="宋体" w:eastAsia="宋体"/>
                <w:sz w:val="24"/>
              </w:rPr>
              <w:t>各</w:t>
            </w:r>
            <w:r>
              <w:rPr>
                <w:rFonts w:ascii="宋体" w:hAnsi="宋体" w:cs="宋体" w:eastAsia="宋体"/>
                <w:sz w:val="24"/>
              </w:rPr>
              <w:t>合同段内项目的咨询审查内容包括但不限于项目建设的必要性和建设时机、标准规模的适应性，技术方案可行性和经济合理性、实施的可能性，基础资料的真实性及可靠性，以及可行性研究报告的编制工作深度等</w:t>
            </w:r>
            <w:r>
              <w:rPr>
                <w:rFonts w:ascii="宋体" w:hAnsi="宋体" w:cs="宋体" w:eastAsia="宋体"/>
                <w:sz w:val="24"/>
              </w:rPr>
              <w:t>。</w:t>
            </w:r>
          </w:p>
          <w:p>
            <w:pPr>
              <w:pStyle w:val="null3"/>
              <w:ind w:firstLine="480"/>
            </w:pPr>
            <w:r>
              <w:rPr>
                <w:rFonts w:ascii="宋体" w:hAnsi="宋体" w:cs="宋体" w:eastAsia="宋体"/>
                <w:sz w:val="24"/>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r>
              <w:rPr>
                <w:rFonts w:ascii="宋体" w:hAnsi="宋体" w:cs="宋体" w:eastAsia="宋体"/>
                <w:sz w:val="24"/>
              </w:rPr>
              <w:t>。</w:t>
            </w:r>
          </w:p>
          <w:p>
            <w:pPr>
              <w:pStyle w:val="null3"/>
              <w:jc w:val="both"/>
            </w:pPr>
            <w:r>
              <w:rPr>
                <w:rFonts w:ascii="calibri" w:hAnsi="calibri" w:cs="calibri" w:eastAsia="calibri"/>
                <w:sz w:val="24"/>
              </w:rPr>
              <w:t xml:space="preserve">         3</w:t>
            </w:r>
            <w:r>
              <w:rPr>
                <w:rFonts w:ascii="宋体" w:hAnsi="宋体" w:cs="宋体" w:eastAsia="宋体"/>
                <w:sz w:val="24"/>
              </w:rPr>
              <w:t>、上述项目中，若存在受宏观政策变化等影响，且地方明确提出不再实施的项目，经双方友好协商，可对不再实施的项目予以更换调整为其他同等规模的类似项目，并签订相关补充协议。</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自合同生效之日起，至项目工可研报告取得审批部门批复止（具体以合同签订为准）。</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按照磋商文件要求和合同约定执行。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自本合同生效之日起，甲方收到乙方开具的全额合格增值税普通发票后</w:t>
      </w:r>
      <w:r>
        <w:rPr/>
        <w:t xml:space="preserve"> ，达到付款条件起 </w:t>
      </w:r>
      <w:r>
        <w:rPr/>
        <w:t>60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按照磋商文件要求和合同约定执行。</w:t>
      </w:r>
    </w:p>
    <w:p>
      <w:pPr>
        <w:pStyle w:val="null3"/>
        <w:outlineLvl w:val="2"/>
      </w:pPr>
      <w:r>
        <w:rPr>
          <w:sz w:val="28"/>
          <w:b/>
        </w:rPr>
        <w:t>3.4其他要求</w:t>
      </w:r>
    </w:p>
    <w:p>
      <w:pPr>
        <w:pStyle w:val="null3"/>
      </w:pPr>
      <w:r>
        <w:rPr/>
        <w:t>（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提供具有审计资质单位出具的2023年度经审计的财务报告，成立时间至提交响应文件截止时间不足一年的可提供成立后任意时段的资产负债表），或其开标前三个月内基本开户银行出具的资信证明，或信用担保机构出具的投标担保函支机构经审计的财务报告。（以上三种形式的资料提供任何一种即可）（以上内容响应文件中提供复印件或扫描件并进行电子签章）。</w:t>
            </w:r>
          </w:p>
        </w:tc>
        <w:tc>
          <w:tcPr>
            <w:tcW w:type="dxa" w:w="1661"/>
          </w:tcPr>
          <w:p>
            <w:pPr>
              <w:pStyle w:val="null3"/>
            </w:pPr>
            <w:r>
              <w:rPr/>
              <w:t>健全的财务会计制度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全国投资项目在线审批监管平台查询</w:t>
            </w:r>
          </w:p>
        </w:tc>
        <w:tc>
          <w:tcPr>
            <w:tcW w:type="dxa" w:w="3322"/>
          </w:tcPr>
          <w:p>
            <w:pPr>
              <w:pStyle w:val="null3"/>
            </w:pPr>
            <w:r>
              <w:rPr/>
              <w:t>供应商应为全国投资项目在线审批监管平台（http://www.tzxm.gov.cn/）备案的工程咨询单位，且工程咨询专业必须包含公路，服务范围必须包含评估咨询，且供应商名称与该名录中的相应企业名称完全一致。</w:t>
            </w:r>
          </w:p>
        </w:tc>
        <w:tc>
          <w:tcPr>
            <w:tcW w:type="dxa" w:w="1661"/>
          </w:tcPr>
          <w:p>
            <w:pPr>
              <w:pStyle w:val="null3"/>
            </w:pPr>
            <w:r>
              <w:rPr/>
              <w:t>全国投资项目在线审批监管平台查询</w:t>
            </w:r>
          </w:p>
        </w:tc>
      </w:tr>
      <w:tr>
        <w:tc>
          <w:tcPr>
            <w:tcW w:type="dxa" w:w="831"/>
          </w:tcPr>
          <w:p>
            <w:pPr>
              <w:pStyle w:val="null3"/>
            </w:pPr>
            <w:r>
              <w:rPr/>
              <w:t>3</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tc>
        <w:tc>
          <w:tcPr>
            <w:tcW w:type="dxa" w:w="1661"/>
          </w:tcPr>
          <w:p>
            <w:pPr>
              <w:pStyle w:val="null3"/>
            </w:pPr>
            <w:r>
              <w:rPr/>
              <w:t>信誉要求</w:t>
            </w:r>
          </w:p>
        </w:tc>
      </w:tr>
      <w:tr>
        <w:tc>
          <w:tcPr>
            <w:tcW w:type="dxa" w:w="831"/>
          </w:tcPr>
          <w:p>
            <w:pPr>
              <w:pStyle w:val="null3"/>
            </w:pPr>
            <w:r>
              <w:rPr/>
              <w:t>4</w:t>
            </w:r>
          </w:p>
        </w:tc>
        <w:tc>
          <w:tcPr>
            <w:tcW w:type="dxa" w:w="2492"/>
          </w:tcPr>
          <w:p>
            <w:pPr>
              <w:pStyle w:val="null3"/>
            </w:pPr>
            <w:r>
              <w:rPr/>
              <w:t>其他要求</w:t>
            </w:r>
          </w:p>
        </w:tc>
        <w:tc>
          <w:tcPr>
            <w:tcW w:type="dxa" w:w="3322"/>
          </w:tcPr>
          <w:p>
            <w:pPr>
              <w:pStyle w:val="null3"/>
            </w:pPr>
            <w:r>
              <w:rPr/>
              <w:t>若是本采购包内任何一个项目的可研报告编制单位，不得参与本采购包的投标。</w:t>
            </w:r>
          </w:p>
        </w:tc>
        <w:tc>
          <w:tcPr>
            <w:tcW w:type="dxa" w:w="1661"/>
          </w:tcPr>
          <w:p>
            <w:pPr>
              <w:pStyle w:val="null3"/>
            </w:pPr>
            <w:r>
              <w:rPr/>
              <w:t>其他要求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费用组成明细表 标的清单 报价表</w:t>
            </w:r>
          </w:p>
        </w:tc>
      </w:tr>
      <w:tr>
        <w:tc>
          <w:tcPr>
            <w:tcW w:type="dxa" w:w="831"/>
          </w:tcPr>
          <w:p>
            <w:pPr>
              <w:pStyle w:val="null3"/>
            </w:pPr>
            <w:r>
              <w:rPr/>
              <w:t>2</w:t>
            </w:r>
          </w:p>
        </w:tc>
        <w:tc>
          <w:tcPr>
            <w:tcW w:type="dxa" w:w="2492"/>
          </w:tcPr>
          <w:p>
            <w:pPr>
              <w:pStyle w:val="null3"/>
            </w:pPr>
            <w:r>
              <w:rPr/>
              <w:t>响应文件中的项目名称、项目编号</w:t>
            </w:r>
          </w:p>
        </w:tc>
        <w:tc>
          <w:tcPr>
            <w:tcW w:type="dxa" w:w="3322"/>
          </w:tcPr>
          <w:p>
            <w:pPr>
              <w:pStyle w:val="null3"/>
            </w:pPr>
            <w:r>
              <w:rPr/>
              <w:t>与所投项目名称、项目编号完全一致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符合磋商文件签署盖章要求，且无遗漏</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法定代表人直接参加投标的，须提供法定代表人身份证明；法定代表人授权代表参加投标的，须提供法定代表人授权委托书（授权代表必须为本单位在职员工）。</w:t>
            </w:r>
          </w:p>
        </w:tc>
        <w:tc>
          <w:tcPr>
            <w:tcW w:type="dxa" w:w="1661"/>
          </w:tcPr>
          <w:p>
            <w:pPr>
              <w:pStyle w:val="null3"/>
            </w:pPr>
            <w:r>
              <w:rPr/>
              <w:t>法定代表人身份证明或法定代表人授权委托书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 定的最高限价。</w:t>
            </w:r>
          </w:p>
        </w:tc>
        <w:tc>
          <w:tcPr>
            <w:tcW w:type="dxa" w:w="1661"/>
          </w:tcPr>
          <w:p>
            <w:pPr>
              <w:pStyle w:val="null3"/>
            </w:pPr>
            <w:r>
              <w:rPr/>
              <w:t>费用组成明细表 标的清单 报价表</w:t>
            </w:r>
          </w:p>
        </w:tc>
      </w:tr>
      <w:tr>
        <w:tc>
          <w:tcPr>
            <w:tcW w:type="dxa" w:w="831"/>
          </w:tcPr>
          <w:p>
            <w:pPr>
              <w:pStyle w:val="null3"/>
            </w:pPr>
            <w:r>
              <w:rPr/>
              <w:t>6</w:t>
            </w:r>
          </w:p>
        </w:tc>
        <w:tc>
          <w:tcPr>
            <w:tcW w:type="dxa" w:w="2492"/>
          </w:tcPr>
          <w:p>
            <w:pPr>
              <w:pStyle w:val="null3"/>
            </w:pPr>
            <w:r>
              <w:rPr/>
              <w:t>响应文件的有效期</w:t>
            </w:r>
          </w:p>
        </w:tc>
        <w:tc>
          <w:tcPr>
            <w:tcW w:type="dxa" w:w="3322"/>
          </w:tcPr>
          <w:p>
            <w:pPr>
              <w:pStyle w:val="null3"/>
            </w:pPr>
            <w:r>
              <w:rPr/>
              <w:t>自提交响应文件的截止之日起不少于90个日历日</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对本项目的理解</w:t>
            </w:r>
          </w:p>
        </w:tc>
        <w:tc>
          <w:tcPr>
            <w:tcW w:type="dxa" w:w="2492"/>
          </w:tcPr>
          <w:p>
            <w:pPr>
              <w:pStyle w:val="null3"/>
            </w:pPr>
            <w:r>
              <w:rPr/>
              <w:t>一、评审内容 供应商针对本项目可研服务工作的理解，内容包含：①项目背景介绍及部署；②可研服务工作范围和内容；③目的和目标；④工作要求等方面。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②可研服务工作范围和内容：每完全满足一个评审标准得1分，基本满足得0.5分，不满足或未提供得0分，满分3分；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拟投入本项目的组织机构及人员配置方案</w:t>
            </w:r>
          </w:p>
        </w:tc>
        <w:tc>
          <w:tcPr>
            <w:tcW w:type="dxa" w:w="2492"/>
          </w:tcPr>
          <w:p>
            <w:pPr>
              <w:pStyle w:val="null3"/>
            </w:pPr>
            <w:r>
              <w:rPr/>
              <w:t>一、评审内容 供应商针对本项目采购需求，提供拟投入本项目的组织机构及人员配置方案，内容包含：①组织机构及岗位职责；②人员储备及从业经验；③组织安排计划；④团队管理制度等方面。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对本项目的总体思路、工作安排和各专业工程技术咨询特点的理解</w:t>
            </w:r>
          </w:p>
        </w:tc>
        <w:tc>
          <w:tcPr>
            <w:tcW w:type="dxa" w:w="2492"/>
          </w:tcPr>
          <w:p>
            <w:pPr>
              <w:pStyle w:val="null3"/>
            </w:pPr>
            <w:r>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对本项目的重难点分析、关键技术问题及对策措施</w:t>
            </w:r>
          </w:p>
        </w:tc>
        <w:tc>
          <w:tcPr>
            <w:tcW w:type="dxa" w:w="2492"/>
          </w:tcPr>
          <w:p>
            <w:pPr>
              <w:pStyle w:val="null3"/>
            </w:pPr>
            <w:r>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对本项目的进度及质量保证措施</w:t>
            </w:r>
          </w:p>
        </w:tc>
        <w:tc>
          <w:tcPr>
            <w:tcW w:type="dxa" w:w="2492"/>
          </w:tcPr>
          <w:p>
            <w:pPr>
              <w:pStyle w:val="null3"/>
            </w:pPr>
            <w:r>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企业业绩</w:t>
            </w:r>
          </w:p>
        </w:tc>
        <w:tc>
          <w:tcPr>
            <w:tcW w:type="dxa" w:w="2492"/>
          </w:tcPr>
          <w:p>
            <w:pPr>
              <w:pStyle w:val="null3"/>
            </w:pPr>
            <w:r>
              <w:rPr/>
              <w:t>2020年01月01日至今，具有1个同类业绩，得4分，不满足该项要求不得分。每增加1个同类业绩加1分，最多加6分。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企业业绩的有关证明材料</w:t>
            </w:r>
          </w:p>
        </w:tc>
      </w:tr>
      <w:tr>
        <w:tc>
          <w:tcPr>
            <w:tcW w:type="dxa" w:w="831"/>
            <w:vMerge/>
          </w:tcPr>
          <w:p/>
        </w:tc>
        <w:tc>
          <w:tcPr>
            <w:tcW w:type="dxa" w:w="1661"/>
          </w:tcPr>
          <w:p>
            <w:pPr>
              <w:pStyle w:val="null3"/>
            </w:pPr>
            <w:r>
              <w:rPr/>
              <w:t>项目负责人</w:t>
            </w:r>
          </w:p>
        </w:tc>
        <w:tc>
          <w:tcPr>
            <w:tcW w:type="dxa" w:w="2492"/>
          </w:tcPr>
          <w:p>
            <w:pPr>
              <w:pStyle w:val="null3"/>
            </w:pPr>
            <w:r>
              <w:rPr/>
              <w:t>1、具有公路相关专业高级工程师及以上职称并具备注册咨询工程师（投资）资格的，得5分。 注：提供项目负责人2024年度连续3个月的社保缴纳证明资料，并提供证书复印件加盖公章，未提供不得分。 2.2020年01月01日至今，担任过1个同类业绩的项目负责人（或专项负责人），得4分，不满足该项要求不得分。每增加1个同类项目负责人（或专项负责人）的业绩，加2分，最多加6分。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服务方案响应说明</w:t>
            </w:r>
          </w:p>
          <w:p>
            <w:pPr>
              <w:pStyle w:val="null3"/>
            </w:pPr>
            <w:r>
              <w:rPr/>
              <w:t>项目负责人业绩的有关证明材料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费用组成明细表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费用组成明细表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详见附件：健全的财务会计制度</w:t>
      </w:r>
    </w:p>
    <w:p>
      <w:pPr>
        <w:pStyle w:val="null3"/>
        <w:ind w:firstLine="960"/>
      </w:pPr>
      <w:r>
        <w:rPr/>
        <w:t>详见附件：具有独立承担民事责任能力</w:t>
      </w:r>
    </w:p>
    <w:p>
      <w:pPr>
        <w:pStyle w:val="null3"/>
        <w:ind w:firstLine="960"/>
      </w:pPr>
      <w:r>
        <w:rPr/>
        <w:t>详见附件：全国投资项目在线审批监管平台查询</w:t>
      </w:r>
    </w:p>
    <w:p>
      <w:pPr>
        <w:pStyle w:val="null3"/>
        <w:ind w:firstLine="960"/>
      </w:pPr>
      <w:r>
        <w:rPr/>
        <w:t>详见附件：信誉要求</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详见附件：其他要求</w:t>
      </w:r>
    </w:p>
    <w:p>
      <w:pPr>
        <w:pStyle w:val="null3"/>
        <w:ind w:firstLine="960"/>
      </w:pPr>
      <w:r>
        <w:rPr/>
        <w:t>详见附件：服务方案响应说明</w:t>
      </w:r>
    </w:p>
    <w:p>
      <w:pPr>
        <w:pStyle w:val="null3"/>
        <w:ind w:firstLine="960"/>
      </w:pPr>
      <w:r>
        <w:rPr/>
        <w:t>详见附件：项目负责人业绩的有关证明材料</w:t>
      </w:r>
    </w:p>
    <w:p>
      <w:pPr>
        <w:pStyle w:val="null3"/>
        <w:ind w:firstLine="960"/>
      </w:pPr>
      <w:r>
        <w:rPr/>
        <w:t>详见附件：企业业绩的有关证明材料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