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4F99F">
      <w:pPr>
        <w:pStyle w:val="11"/>
        <w:jc w:val="center"/>
        <w:outlineLvl w:val="1"/>
      </w:pPr>
      <w:r>
        <w:rPr>
          <w:b/>
          <w:sz w:val="36"/>
        </w:rPr>
        <w:t>第七章 拟签订合同文本</w:t>
      </w:r>
    </w:p>
    <w:p w14:paraId="1992EF58">
      <w:pPr>
        <w:spacing w:line="360" w:lineRule="auto"/>
        <w:rPr>
          <w:sz w:val="24"/>
          <w:szCs w:val="24"/>
        </w:rPr>
      </w:pPr>
      <w:r>
        <w:rPr>
          <w:rFonts w:hint="eastAsia"/>
          <w:sz w:val="24"/>
          <w:szCs w:val="24"/>
        </w:rPr>
        <w:t>采购人（</w:t>
      </w:r>
      <w:r>
        <w:rPr>
          <w:sz w:val="24"/>
          <w:szCs w:val="24"/>
        </w:rPr>
        <w:t>甲方</w:t>
      </w:r>
      <w:r>
        <w:rPr>
          <w:rFonts w:hint="eastAsia"/>
          <w:sz w:val="24"/>
          <w:szCs w:val="24"/>
        </w:rPr>
        <w:t>）</w:t>
      </w:r>
      <w:r>
        <w:rPr>
          <w:sz w:val="24"/>
          <w:szCs w:val="24"/>
        </w:rPr>
        <w:t>：</w:t>
      </w:r>
      <w:r>
        <w:rPr>
          <w:rFonts w:hint="eastAsia"/>
          <w:sz w:val="24"/>
          <w:szCs w:val="24"/>
          <w:u w:val="single"/>
        </w:rPr>
        <w:t xml:space="preserve">                       </w:t>
      </w:r>
    </w:p>
    <w:p w14:paraId="707D71C2">
      <w:pPr>
        <w:spacing w:line="360" w:lineRule="auto"/>
        <w:rPr>
          <w:sz w:val="24"/>
          <w:szCs w:val="24"/>
          <w:u w:val="single"/>
        </w:rPr>
      </w:pPr>
      <w:r>
        <w:rPr>
          <w:rFonts w:hint="eastAsia"/>
          <w:sz w:val="24"/>
          <w:szCs w:val="24"/>
        </w:rPr>
        <w:t>供应商（乙</w:t>
      </w:r>
      <w:r>
        <w:rPr>
          <w:sz w:val="24"/>
          <w:szCs w:val="24"/>
        </w:rPr>
        <w:t>方</w:t>
      </w:r>
      <w:r>
        <w:rPr>
          <w:rFonts w:hint="eastAsia"/>
          <w:sz w:val="24"/>
          <w:szCs w:val="24"/>
        </w:rPr>
        <w:t>）</w:t>
      </w:r>
      <w:r>
        <w:rPr>
          <w:sz w:val="24"/>
          <w:szCs w:val="24"/>
        </w:rPr>
        <w:t>：</w:t>
      </w:r>
      <w:r>
        <w:rPr>
          <w:rFonts w:hint="eastAsia"/>
          <w:sz w:val="24"/>
          <w:szCs w:val="24"/>
          <w:u w:val="single"/>
        </w:rPr>
        <w:t xml:space="preserve">                       </w:t>
      </w:r>
    </w:p>
    <w:p w14:paraId="3CF95029">
      <w:pPr>
        <w:spacing w:line="460" w:lineRule="exact"/>
        <w:ind w:firstLine="600" w:firstLineChars="250"/>
        <w:rPr>
          <w:sz w:val="24"/>
          <w:szCs w:val="24"/>
        </w:rPr>
      </w:pPr>
      <w:r>
        <w:rPr>
          <w:sz w:val="24"/>
          <w:szCs w:val="24"/>
        </w:rPr>
        <w:t>依据《中华人民共和国</w:t>
      </w:r>
      <w:r>
        <w:rPr>
          <w:rFonts w:hint="eastAsia"/>
          <w:sz w:val="24"/>
          <w:szCs w:val="24"/>
        </w:rPr>
        <w:t>民法典</w:t>
      </w:r>
      <w:r>
        <w:rPr>
          <w:sz w:val="24"/>
          <w:szCs w:val="24"/>
        </w:rPr>
        <w:t>》、《中华人民共和国政府采购法》</w:t>
      </w:r>
      <w:r>
        <w:rPr>
          <w:rFonts w:hint="eastAsia"/>
          <w:sz w:val="24"/>
          <w:szCs w:val="24"/>
        </w:rPr>
        <w:t>与项目行业有关的法律法规，以及西安医学院附属宝鸡医院</w:t>
      </w:r>
      <w:r>
        <w:rPr>
          <w:rFonts w:hint="eastAsia"/>
          <w:sz w:val="24"/>
          <w:szCs w:val="24"/>
          <w:lang w:eastAsia="zh-CN"/>
        </w:rPr>
        <w:t>高清电子支气管镜系统采购项目</w:t>
      </w:r>
      <w:r>
        <w:rPr>
          <w:rFonts w:hint="eastAsia"/>
          <w:sz w:val="24"/>
          <w:szCs w:val="24"/>
        </w:rPr>
        <w:t>（项目编号：</w:t>
      </w:r>
      <w:r>
        <w:rPr>
          <w:rFonts w:hint="eastAsia" w:ascii="宋体" w:hAnsi="宋体" w:cs="宋体"/>
          <w:sz w:val="24"/>
          <w:szCs w:val="24"/>
        </w:rPr>
        <w:t>SXWZ202</w:t>
      </w:r>
      <w:r>
        <w:rPr>
          <w:rFonts w:hint="eastAsia" w:ascii="宋体" w:hAnsi="宋体" w:cs="宋体"/>
          <w:sz w:val="24"/>
          <w:szCs w:val="24"/>
          <w:lang w:val="en-US" w:eastAsia="zh-CN"/>
        </w:rPr>
        <w:t>4</w:t>
      </w:r>
      <w:r>
        <w:rPr>
          <w:rFonts w:hint="eastAsia" w:ascii="宋体" w:hAnsi="宋体" w:cs="宋体"/>
          <w:sz w:val="24"/>
          <w:szCs w:val="24"/>
        </w:rPr>
        <w:t>ZB-BJYY-</w:t>
      </w:r>
      <w:r>
        <w:rPr>
          <w:rFonts w:hint="eastAsia" w:ascii="宋体" w:hAnsi="宋体" w:cs="宋体"/>
          <w:sz w:val="24"/>
          <w:szCs w:val="24"/>
          <w:lang w:val="en-US" w:eastAsia="zh-CN"/>
        </w:rPr>
        <w:t>294</w:t>
      </w:r>
      <w:r>
        <w:rPr>
          <w:rFonts w:hint="eastAsia"/>
          <w:sz w:val="24"/>
          <w:szCs w:val="24"/>
        </w:rPr>
        <w:t>）</w:t>
      </w:r>
      <w:r>
        <w:rPr>
          <w:sz w:val="24"/>
          <w:szCs w:val="24"/>
        </w:rPr>
        <w:t>的</w:t>
      </w:r>
      <w:r>
        <w:rPr>
          <w:rFonts w:hint="eastAsia"/>
          <w:sz w:val="24"/>
          <w:szCs w:val="24"/>
        </w:rPr>
        <w:t>《招标文件》</w:t>
      </w:r>
      <w:r>
        <w:rPr>
          <w:sz w:val="24"/>
          <w:szCs w:val="24"/>
        </w:rPr>
        <w:t>，</w:t>
      </w:r>
      <w:r>
        <w:rPr>
          <w:rFonts w:hint="eastAsia"/>
          <w:sz w:val="24"/>
          <w:szCs w:val="24"/>
        </w:rPr>
        <w:t>乙方的《投标文件》及《中标通知书》，甲、乙双方同意签订本合同。详细技术说明及其他有关合同项目的特定信息由合同附件予以说明，合同附件及本项目的《招标文件》、《投标文件》、《中标通知书》等均为本合同的组成部分。</w:t>
      </w:r>
    </w:p>
    <w:p w14:paraId="54841757">
      <w:pPr>
        <w:kinsoku w:val="0"/>
        <w:snapToGrid w:val="0"/>
        <w:spacing w:line="460" w:lineRule="exact"/>
        <w:ind w:firstLine="600" w:firstLineChars="250"/>
        <w:rPr>
          <w:rFonts w:ascii="宋体" w:hAnsi="宋体" w:cs="宋体"/>
          <w:sz w:val="24"/>
        </w:rPr>
      </w:pPr>
      <w:r>
        <w:rPr>
          <w:rFonts w:hint="eastAsia" w:ascii="宋体" w:hAnsi="宋体" w:cs="宋体"/>
          <w:sz w:val="24"/>
        </w:rPr>
        <w:t>一、</w:t>
      </w:r>
      <w:r>
        <w:rPr>
          <w:rFonts w:hint="eastAsia" w:ascii="宋体" w:hAnsi="宋体" w:cs="宋体"/>
          <w:b/>
          <w:sz w:val="24"/>
        </w:rPr>
        <w:t>合同内容</w:t>
      </w:r>
    </w:p>
    <w:tbl>
      <w:tblPr>
        <w:tblStyle w:val="9"/>
        <w:tblW w:w="8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20"/>
        <w:gridCol w:w="1260"/>
        <w:gridCol w:w="900"/>
        <w:gridCol w:w="900"/>
        <w:gridCol w:w="900"/>
        <w:gridCol w:w="894"/>
        <w:gridCol w:w="839"/>
      </w:tblGrid>
      <w:tr w14:paraId="377CD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exact"/>
          <w:jc w:val="center"/>
        </w:trPr>
        <w:tc>
          <w:tcPr>
            <w:tcW w:w="786" w:type="dxa"/>
            <w:noWrap w:val="0"/>
            <w:vAlign w:val="center"/>
          </w:tcPr>
          <w:p w14:paraId="48A50B8D">
            <w:pPr>
              <w:snapToGrid w:val="0"/>
              <w:spacing w:line="460" w:lineRule="exact"/>
              <w:jc w:val="center"/>
              <w:rPr>
                <w:rFonts w:ascii="宋体" w:hAnsi="宋体" w:cs="宋体"/>
                <w:b/>
                <w:sz w:val="24"/>
              </w:rPr>
            </w:pPr>
            <w:r>
              <w:rPr>
                <w:rFonts w:hint="eastAsia" w:ascii="宋体" w:hAnsi="宋体" w:cs="宋体"/>
                <w:b/>
                <w:sz w:val="24"/>
              </w:rPr>
              <w:t>序号</w:t>
            </w:r>
          </w:p>
        </w:tc>
        <w:tc>
          <w:tcPr>
            <w:tcW w:w="1620" w:type="dxa"/>
            <w:noWrap w:val="0"/>
            <w:vAlign w:val="center"/>
          </w:tcPr>
          <w:p w14:paraId="0A04AC09">
            <w:pPr>
              <w:snapToGrid w:val="0"/>
              <w:spacing w:line="460" w:lineRule="exact"/>
              <w:jc w:val="center"/>
              <w:rPr>
                <w:rFonts w:ascii="宋体" w:hAnsi="宋体" w:cs="宋体"/>
                <w:b/>
                <w:sz w:val="24"/>
              </w:rPr>
            </w:pPr>
            <w:r>
              <w:rPr>
                <w:rFonts w:hint="eastAsia" w:ascii="宋体" w:hAnsi="宋体" w:cs="宋体"/>
                <w:b/>
                <w:sz w:val="24"/>
              </w:rPr>
              <w:t>设备名称</w:t>
            </w:r>
          </w:p>
        </w:tc>
        <w:tc>
          <w:tcPr>
            <w:tcW w:w="1260" w:type="dxa"/>
            <w:noWrap w:val="0"/>
            <w:vAlign w:val="center"/>
          </w:tcPr>
          <w:p w14:paraId="1EDBB755">
            <w:pPr>
              <w:snapToGrid w:val="0"/>
              <w:spacing w:line="460" w:lineRule="exact"/>
              <w:jc w:val="center"/>
              <w:rPr>
                <w:rFonts w:ascii="宋体" w:hAnsi="宋体" w:cs="宋体"/>
                <w:b/>
                <w:sz w:val="24"/>
              </w:rPr>
            </w:pPr>
            <w:r>
              <w:rPr>
                <w:rFonts w:hint="eastAsia" w:ascii="宋体" w:hAnsi="宋体" w:cs="宋体"/>
                <w:b/>
                <w:sz w:val="24"/>
              </w:rPr>
              <w:t>型号</w:t>
            </w:r>
          </w:p>
        </w:tc>
        <w:tc>
          <w:tcPr>
            <w:tcW w:w="900" w:type="dxa"/>
            <w:noWrap w:val="0"/>
            <w:vAlign w:val="center"/>
          </w:tcPr>
          <w:p w14:paraId="33AEA46E">
            <w:pPr>
              <w:snapToGrid w:val="0"/>
              <w:spacing w:line="460" w:lineRule="exact"/>
              <w:jc w:val="center"/>
              <w:rPr>
                <w:rFonts w:ascii="宋体" w:hAnsi="宋体" w:cs="宋体"/>
                <w:b/>
                <w:sz w:val="24"/>
              </w:rPr>
            </w:pPr>
            <w:r>
              <w:rPr>
                <w:rFonts w:hint="eastAsia" w:ascii="宋体" w:hAnsi="宋体" w:cs="宋体"/>
                <w:b/>
                <w:sz w:val="24"/>
              </w:rPr>
              <w:t>产地</w:t>
            </w:r>
          </w:p>
        </w:tc>
        <w:tc>
          <w:tcPr>
            <w:tcW w:w="900" w:type="dxa"/>
            <w:noWrap w:val="0"/>
            <w:vAlign w:val="center"/>
          </w:tcPr>
          <w:p w14:paraId="12E368CD">
            <w:pPr>
              <w:snapToGrid w:val="0"/>
              <w:spacing w:line="460" w:lineRule="exact"/>
              <w:jc w:val="center"/>
              <w:rPr>
                <w:rFonts w:ascii="宋体" w:hAnsi="宋体" w:cs="宋体"/>
                <w:b/>
                <w:sz w:val="24"/>
              </w:rPr>
            </w:pPr>
            <w:r>
              <w:rPr>
                <w:rFonts w:hint="eastAsia" w:ascii="宋体" w:hAnsi="宋体" w:cs="宋体"/>
                <w:b/>
                <w:sz w:val="24"/>
              </w:rPr>
              <w:t>数量</w:t>
            </w:r>
          </w:p>
        </w:tc>
        <w:tc>
          <w:tcPr>
            <w:tcW w:w="900" w:type="dxa"/>
            <w:noWrap w:val="0"/>
            <w:vAlign w:val="center"/>
          </w:tcPr>
          <w:p w14:paraId="56353950">
            <w:pPr>
              <w:snapToGrid w:val="0"/>
              <w:spacing w:line="460" w:lineRule="exact"/>
              <w:jc w:val="center"/>
              <w:rPr>
                <w:rFonts w:ascii="宋体" w:hAnsi="宋体" w:cs="宋体"/>
                <w:b/>
                <w:sz w:val="24"/>
              </w:rPr>
            </w:pPr>
            <w:r>
              <w:rPr>
                <w:rFonts w:hint="eastAsia" w:ascii="宋体" w:hAnsi="宋体" w:cs="宋体"/>
                <w:b/>
                <w:sz w:val="24"/>
              </w:rPr>
              <w:t>单价</w:t>
            </w:r>
          </w:p>
        </w:tc>
        <w:tc>
          <w:tcPr>
            <w:tcW w:w="894" w:type="dxa"/>
            <w:noWrap w:val="0"/>
            <w:vAlign w:val="center"/>
          </w:tcPr>
          <w:p w14:paraId="048AED5D">
            <w:pPr>
              <w:snapToGrid w:val="0"/>
              <w:spacing w:line="460" w:lineRule="exact"/>
              <w:jc w:val="center"/>
              <w:rPr>
                <w:rFonts w:ascii="宋体" w:hAnsi="宋体" w:cs="宋体"/>
                <w:b/>
                <w:sz w:val="24"/>
              </w:rPr>
            </w:pPr>
            <w:r>
              <w:rPr>
                <w:rFonts w:hint="eastAsia" w:ascii="宋体" w:hAnsi="宋体" w:cs="宋体"/>
                <w:b/>
                <w:sz w:val="24"/>
              </w:rPr>
              <w:t>总价</w:t>
            </w:r>
          </w:p>
        </w:tc>
        <w:tc>
          <w:tcPr>
            <w:tcW w:w="839" w:type="dxa"/>
            <w:noWrap w:val="0"/>
            <w:vAlign w:val="center"/>
          </w:tcPr>
          <w:p w14:paraId="5AFC5580">
            <w:pPr>
              <w:snapToGrid w:val="0"/>
              <w:spacing w:line="460" w:lineRule="exact"/>
              <w:jc w:val="center"/>
              <w:rPr>
                <w:rFonts w:ascii="宋体" w:hAnsi="宋体" w:cs="宋体"/>
                <w:b/>
                <w:sz w:val="24"/>
              </w:rPr>
            </w:pPr>
            <w:r>
              <w:rPr>
                <w:rFonts w:hint="eastAsia" w:ascii="宋体" w:hAnsi="宋体" w:cs="宋体"/>
                <w:b/>
                <w:sz w:val="24"/>
              </w:rPr>
              <w:t>备注</w:t>
            </w:r>
          </w:p>
        </w:tc>
      </w:tr>
      <w:tr w14:paraId="59AAE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exact"/>
          <w:jc w:val="center"/>
        </w:trPr>
        <w:tc>
          <w:tcPr>
            <w:tcW w:w="786" w:type="dxa"/>
            <w:noWrap w:val="0"/>
            <w:vAlign w:val="center"/>
          </w:tcPr>
          <w:p w14:paraId="33733BC3">
            <w:pPr>
              <w:adjustRightInd w:val="0"/>
              <w:snapToGrid w:val="0"/>
              <w:spacing w:line="460" w:lineRule="exact"/>
              <w:jc w:val="center"/>
              <w:rPr>
                <w:rFonts w:ascii="宋体" w:hAnsi="宋体" w:cs="宋体"/>
              </w:rPr>
            </w:pPr>
            <w:r>
              <w:rPr>
                <w:rFonts w:hint="eastAsia" w:ascii="宋体" w:hAnsi="宋体" w:cs="宋体"/>
              </w:rPr>
              <w:t>1</w:t>
            </w:r>
          </w:p>
        </w:tc>
        <w:tc>
          <w:tcPr>
            <w:tcW w:w="1620" w:type="dxa"/>
            <w:noWrap w:val="0"/>
            <w:vAlign w:val="center"/>
          </w:tcPr>
          <w:p w14:paraId="57C1F9E6">
            <w:pPr>
              <w:adjustRightInd w:val="0"/>
              <w:snapToGrid w:val="0"/>
              <w:spacing w:line="460" w:lineRule="exact"/>
              <w:jc w:val="center"/>
              <w:rPr>
                <w:rFonts w:ascii="宋体" w:hAnsi="宋体" w:cs="宋体"/>
              </w:rPr>
            </w:pPr>
          </w:p>
        </w:tc>
        <w:tc>
          <w:tcPr>
            <w:tcW w:w="1260" w:type="dxa"/>
            <w:noWrap w:val="0"/>
            <w:vAlign w:val="center"/>
          </w:tcPr>
          <w:p w14:paraId="20C03E0F">
            <w:pPr>
              <w:snapToGrid w:val="0"/>
              <w:spacing w:line="460" w:lineRule="exact"/>
              <w:jc w:val="center"/>
              <w:rPr>
                <w:rFonts w:ascii="宋体" w:hAnsi="宋体" w:cs="宋体"/>
              </w:rPr>
            </w:pPr>
          </w:p>
        </w:tc>
        <w:tc>
          <w:tcPr>
            <w:tcW w:w="900" w:type="dxa"/>
            <w:noWrap w:val="0"/>
            <w:vAlign w:val="center"/>
          </w:tcPr>
          <w:p w14:paraId="237E3760">
            <w:pPr>
              <w:snapToGrid w:val="0"/>
              <w:spacing w:line="460" w:lineRule="exact"/>
              <w:jc w:val="center"/>
              <w:rPr>
                <w:rFonts w:ascii="宋体" w:hAnsi="宋体" w:cs="宋体"/>
              </w:rPr>
            </w:pPr>
          </w:p>
        </w:tc>
        <w:tc>
          <w:tcPr>
            <w:tcW w:w="900" w:type="dxa"/>
            <w:noWrap w:val="0"/>
            <w:vAlign w:val="center"/>
          </w:tcPr>
          <w:p w14:paraId="3CE800A2">
            <w:pPr>
              <w:adjustRightInd w:val="0"/>
              <w:snapToGrid w:val="0"/>
              <w:spacing w:line="460" w:lineRule="exact"/>
              <w:jc w:val="center"/>
              <w:rPr>
                <w:rFonts w:ascii="宋体" w:hAnsi="宋体" w:cs="宋体"/>
              </w:rPr>
            </w:pPr>
          </w:p>
        </w:tc>
        <w:tc>
          <w:tcPr>
            <w:tcW w:w="900" w:type="dxa"/>
            <w:noWrap w:val="0"/>
            <w:vAlign w:val="center"/>
          </w:tcPr>
          <w:p w14:paraId="5F3D9AB4">
            <w:pPr>
              <w:autoSpaceDN w:val="0"/>
              <w:snapToGrid w:val="0"/>
              <w:spacing w:line="460" w:lineRule="exact"/>
              <w:jc w:val="center"/>
              <w:textAlignment w:val="center"/>
              <w:rPr>
                <w:rFonts w:ascii="宋体" w:hAnsi="宋体" w:cs="宋体"/>
              </w:rPr>
            </w:pPr>
          </w:p>
        </w:tc>
        <w:tc>
          <w:tcPr>
            <w:tcW w:w="894" w:type="dxa"/>
            <w:noWrap w:val="0"/>
            <w:vAlign w:val="center"/>
          </w:tcPr>
          <w:p w14:paraId="18385E24">
            <w:pPr>
              <w:autoSpaceDN w:val="0"/>
              <w:snapToGrid w:val="0"/>
              <w:spacing w:line="460" w:lineRule="exact"/>
              <w:jc w:val="center"/>
              <w:textAlignment w:val="center"/>
              <w:rPr>
                <w:rFonts w:ascii="宋体" w:hAnsi="宋体" w:cs="宋体"/>
              </w:rPr>
            </w:pPr>
          </w:p>
        </w:tc>
        <w:tc>
          <w:tcPr>
            <w:tcW w:w="839" w:type="dxa"/>
            <w:noWrap w:val="0"/>
            <w:vAlign w:val="center"/>
          </w:tcPr>
          <w:p w14:paraId="7DF672D6">
            <w:pPr>
              <w:autoSpaceDN w:val="0"/>
              <w:snapToGrid w:val="0"/>
              <w:spacing w:line="460" w:lineRule="exact"/>
              <w:jc w:val="center"/>
              <w:textAlignment w:val="center"/>
              <w:rPr>
                <w:rFonts w:ascii="宋体" w:hAnsi="宋体" w:cs="宋体"/>
              </w:rPr>
            </w:pPr>
          </w:p>
        </w:tc>
      </w:tr>
      <w:tr w14:paraId="3BCDD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exact"/>
          <w:jc w:val="center"/>
        </w:trPr>
        <w:tc>
          <w:tcPr>
            <w:tcW w:w="786" w:type="dxa"/>
            <w:noWrap w:val="0"/>
            <w:vAlign w:val="center"/>
          </w:tcPr>
          <w:p w14:paraId="27D9BEE8">
            <w:pPr>
              <w:adjustRightInd w:val="0"/>
              <w:snapToGrid w:val="0"/>
              <w:spacing w:line="460" w:lineRule="exact"/>
              <w:jc w:val="center"/>
              <w:rPr>
                <w:rFonts w:ascii="宋体" w:hAnsi="宋体" w:cs="宋体"/>
              </w:rPr>
            </w:pPr>
            <w:r>
              <w:rPr>
                <w:rFonts w:hint="eastAsia" w:ascii="宋体" w:hAnsi="宋体" w:cs="宋体"/>
              </w:rPr>
              <w:t>N</w:t>
            </w:r>
          </w:p>
        </w:tc>
        <w:tc>
          <w:tcPr>
            <w:tcW w:w="1620" w:type="dxa"/>
            <w:noWrap w:val="0"/>
            <w:vAlign w:val="center"/>
          </w:tcPr>
          <w:p w14:paraId="39214B9F">
            <w:pPr>
              <w:adjustRightInd w:val="0"/>
              <w:snapToGrid w:val="0"/>
              <w:spacing w:line="460" w:lineRule="exact"/>
              <w:jc w:val="center"/>
              <w:rPr>
                <w:rFonts w:ascii="宋体" w:hAnsi="宋体" w:cs="宋体"/>
              </w:rPr>
            </w:pPr>
          </w:p>
        </w:tc>
        <w:tc>
          <w:tcPr>
            <w:tcW w:w="1260" w:type="dxa"/>
            <w:noWrap w:val="0"/>
            <w:vAlign w:val="center"/>
          </w:tcPr>
          <w:p w14:paraId="08B3D35C">
            <w:pPr>
              <w:snapToGrid w:val="0"/>
              <w:spacing w:line="460" w:lineRule="exact"/>
              <w:jc w:val="center"/>
              <w:rPr>
                <w:rFonts w:ascii="宋体" w:hAnsi="宋体" w:cs="宋体"/>
              </w:rPr>
            </w:pPr>
          </w:p>
        </w:tc>
        <w:tc>
          <w:tcPr>
            <w:tcW w:w="900" w:type="dxa"/>
            <w:noWrap w:val="0"/>
            <w:vAlign w:val="center"/>
          </w:tcPr>
          <w:p w14:paraId="0318DA17">
            <w:pPr>
              <w:snapToGrid w:val="0"/>
              <w:spacing w:line="460" w:lineRule="exact"/>
              <w:jc w:val="center"/>
              <w:rPr>
                <w:rFonts w:ascii="宋体" w:hAnsi="宋体" w:cs="宋体"/>
              </w:rPr>
            </w:pPr>
          </w:p>
        </w:tc>
        <w:tc>
          <w:tcPr>
            <w:tcW w:w="900" w:type="dxa"/>
            <w:noWrap w:val="0"/>
            <w:vAlign w:val="center"/>
          </w:tcPr>
          <w:p w14:paraId="3580CC5C">
            <w:pPr>
              <w:adjustRightInd w:val="0"/>
              <w:snapToGrid w:val="0"/>
              <w:spacing w:line="460" w:lineRule="exact"/>
              <w:jc w:val="center"/>
              <w:rPr>
                <w:rFonts w:ascii="宋体" w:hAnsi="宋体" w:cs="宋体"/>
              </w:rPr>
            </w:pPr>
          </w:p>
        </w:tc>
        <w:tc>
          <w:tcPr>
            <w:tcW w:w="900" w:type="dxa"/>
            <w:noWrap w:val="0"/>
            <w:vAlign w:val="center"/>
          </w:tcPr>
          <w:p w14:paraId="43F64BE8">
            <w:pPr>
              <w:autoSpaceDN w:val="0"/>
              <w:snapToGrid w:val="0"/>
              <w:spacing w:line="460" w:lineRule="exact"/>
              <w:jc w:val="center"/>
              <w:textAlignment w:val="center"/>
              <w:rPr>
                <w:rFonts w:ascii="宋体" w:hAnsi="宋体" w:cs="宋体"/>
              </w:rPr>
            </w:pPr>
          </w:p>
        </w:tc>
        <w:tc>
          <w:tcPr>
            <w:tcW w:w="894" w:type="dxa"/>
            <w:noWrap w:val="0"/>
            <w:vAlign w:val="center"/>
          </w:tcPr>
          <w:p w14:paraId="36C400B2">
            <w:pPr>
              <w:autoSpaceDN w:val="0"/>
              <w:snapToGrid w:val="0"/>
              <w:spacing w:line="460" w:lineRule="exact"/>
              <w:jc w:val="center"/>
              <w:textAlignment w:val="center"/>
              <w:rPr>
                <w:rFonts w:ascii="宋体" w:hAnsi="宋体" w:cs="宋体"/>
              </w:rPr>
            </w:pPr>
          </w:p>
        </w:tc>
        <w:tc>
          <w:tcPr>
            <w:tcW w:w="839" w:type="dxa"/>
            <w:noWrap w:val="0"/>
            <w:vAlign w:val="center"/>
          </w:tcPr>
          <w:p w14:paraId="54CBFCAF">
            <w:pPr>
              <w:autoSpaceDN w:val="0"/>
              <w:snapToGrid w:val="0"/>
              <w:spacing w:line="460" w:lineRule="exact"/>
              <w:jc w:val="center"/>
              <w:textAlignment w:val="center"/>
              <w:rPr>
                <w:rFonts w:ascii="宋体" w:hAnsi="宋体" w:cs="宋体"/>
              </w:rPr>
            </w:pPr>
          </w:p>
        </w:tc>
      </w:tr>
      <w:tr w14:paraId="2F388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2406" w:type="dxa"/>
            <w:gridSpan w:val="2"/>
            <w:noWrap w:val="0"/>
            <w:vAlign w:val="center"/>
          </w:tcPr>
          <w:p w14:paraId="326AEF3A">
            <w:pPr>
              <w:adjustRightInd w:val="0"/>
              <w:snapToGrid w:val="0"/>
              <w:spacing w:line="460" w:lineRule="exact"/>
              <w:jc w:val="center"/>
              <w:rPr>
                <w:rFonts w:ascii="宋体" w:hAnsi="宋体" w:cs="宋体"/>
                <w:b/>
                <w:sz w:val="24"/>
              </w:rPr>
            </w:pPr>
            <w:r>
              <w:rPr>
                <w:rFonts w:hint="eastAsia" w:ascii="宋体" w:hAnsi="宋体" w:cs="宋体"/>
                <w:b/>
                <w:sz w:val="24"/>
              </w:rPr>
              <w:t>总计（人民币/元）</w:t>
            </w:r>
          </w:p>
        </w:tc>
        <w:tc>
          <w:tcPr>
            <w:tcW w:w="5693" w:type="dxa"/>
            <w:gridSpan w:val="6"/>
            <w:noWrap w:val="0"/>
            <w:vAlign w:val="center"/>
          </w:tcPr>
          <w:p w14:paraId="322CAC45">
            <w:pPr>
              <w:adjustRightInd w:val="0"/>
              <w:snapToGrid w:val="0"/>
              <w:spacing w:line="460" w:lineRule="exact"/>
              <w:rPr>
                <w:rFonts w:ascii="宋体" w:hAnsi="宋体" w:cs="宋体"/>
                <w:b/>
                <w:sz w:val="24"/>
              </w:rPr>
            </w:pPr>
            <w:r>
              <w:rPr>
                <w:rFonts w:hint="eastAsia" w:ascii="宋体" w:hAnsi="宋体" w:cs="宋体"/>
                <w:b/>
                <w:sz w:val="24"/>
              </w:rPr>
              <w:t>￥：       （大写）</w:t>
            </w:r>
          </w:p>
        </w:tc>
      </w:tr>
    </w:tbl>
    <w:p w14:paraId="6BF6F34F">
      <w:pPr>
        <w:kinsoku w:val="0"/>
        <w:snapToGrid w:val="0"/>
        <w:spacing w:line="460" w:lineRule="exact"/>
        <w:ind w:firstLine="600" w:firstLineChars="250"/>
        <w:rPr>
          <w:rFonts w:ascii="宋体" w:hAnsi="宋体" w:cs="宋体"/>
          <w:sz w:val="24"/>
        </w:rPr>
      </w:pPr>
      <w:r>
        <w:rPr>
          <w:rFonts w:hint="eastAsia" w:ascii="宋体" w:hAnsi="宋体" w:cs="宋体"/>
          <w:sz w:val="24"/>
        </w:rPr>
        <w:t>（参数附件说明）</w:t>
      </w:r>
    </w:p>
    <w:p w14:paraId="26E146AD">
      <w:pPr>
        <w:kinsoku w:val="0"/>
        <w:snapToGrid w:val="0"/>
        <w:spacing w:line="460" w:lineRule="exact"/>
        <w:ind w:firstLine="600" w:firstLineChars="250"/>
        <w:rPr>
          <w:rFonts w:ascii="宋体" w:hAnsi="宋体" w:cs="宋体"/>
          <w:sz w:val="24"/>
        </w:rPr>
      </w:pPr>
      <w:r>
        <w:rPr>
          <w:rFonts w:hint="eastAsia" w:ascii="宋体" w:hAnsi="宋体" w:cs="宋体"/>
          <w:sz w:val="24"/>
        </w:rPr>
        <w:t>乙方负责按以上确定的产品规格、型号及配套内容进行供货，及时运到甲方指定交货地点安装调试，确保所有产品达到最佳运行状态，负责对甲方操作、维护人员进行培训，指导操作、使用和维修保养，做好售后服务工作。</w:t>
      </w:r>
    </w:p>
    <w:p w14:paraId="75E47FC9">
      <w:pPr>
        <w:snapToGrid w:val="0"/>
        <w:spacing w:line="460" w:lineRule="exact"/>
        <w:ind w:firstLine="482" w:firstLineChars="200"/>
        <w:rPr>
          <w:rFonts w:ascii="宋体" w:hAnsi="宋体" w:cs="宋体"/>
          <w:b/>
          <w:sz w:val="24"/>
          <w:szCs w:val="24"/>
        </w:rPr>
      </w:pPr>
      <w:r>
        <w:rPr>
          <w:rFonts w:hint="eastAsia" w:ascii="宋体" w:hAnsi="宋体" w:cs="宋体"/>
          <w:b/>
          <w:sz w:val="24"/>
          <w:szCs w:val="24"/>
        </w:rPr>
        <w:t>二、合同价格</w:t>
      </w:r>
    </w:p>
    <w:p w14:paraId="4F197D28">
      <w:pPr>
        <w:kinsoku w:val="0"/>
        <w:snapToGrid w:val="0"/>
        <w:spacing w:line="460" w:lineRule="exact"/>
        <w:ind w:firstLine="480" w:firstLineChars="200"/>
        <w:rPr>
          <w:rFonts w:ascii="宋体" w:hAnsi="宋体" w:cs="宋体"/>
          <w:sz w:val="24"/>
          <w:szCs w:val="24"/>
        </w:rPr>
      </w:pPr>
      <w:r>
        <w:rPr>
          <w:rFonts w:hint="eastAsia" w:ascii="宋体" w:hAnsi="宋体" w:cs="宋体"/>
          <w:sz w:val="24"/>
          <w:szCs w:val="24"/>
        </w:rPr>
        <w:t>合同总价：人民币大写</w:t>
      </w:r>
      <w:r>
        <w:rPr>
          <w:rFonts w:hint="eastAsia" w:ascii="宋体" w:hAnsi="宋体" w:cs="宋体"/>
          <w:sz w:val="24"/>
          <w:szCs w:val="24"/>
          <w:u w:val="single"/>
        </w:rPr>
        <w:t xml:space="preserve">          </w:t>
      </w:r>
      <w:r>
        <w:rPr>
          <w:rFonts w:hint="eastAsia" w:ascii="宋体" w:hAnsi="宋体" w:cs="宋体"/>
          <w:b/>
          <w:sz w:val="24"/>
          <w:szCs w:val="24"/>
        </w:rPr>
        <w:t>元整；（小写）</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万元。</w:t>
      </w:r>
    </w:p>
    <w:p w14:paraId="64EB49D3">
      <w:pPr>
        <w:kinsoku w:val="0"/>
        <w:snapToGrid w:val="0"/>
        <w:spacing w:line="460" w:lineRule="exact"/>
        <w:ind w:right="-319" w:rightChars="-152" w:firstLine="480" w:firstLineChars="200"/>
        <w:rPr>
          <w:rFonts w:ascii="宋体" w:hAnsi="宋体" w:cs="宋体"/>
          <w:sz w:val="24"/>
        </w:rPr>
      </w:pPr>
      <w:r>
        <w:rPr>
          <w:rFonts w:hint="eastAsia" w:ascii="宋体" w:hAnsi="宋体" w:cs="宋体"/>
          <w:sz w:val="24"/>
        </w:rPr>
        <w:t>合同总价包括：产品的供应费及所发生的运输费、杂费（含保险）、商检费、搬运费、安装调试费、培训费及与设备有关的售后服务等，包括从产品供应地点到交货地点及售后服务所包含的一切费用</w:t>
      </w:r>
      <w:r>
        <w:rPr>
          <w:rFonts w:hint="eastAsia" w:ascii="宋体" w:hAnsi="宋体" w:cs="宋体"/>
          <w:kern w:val="0"/>
          <w:sz w:val="24"/>
          <w:szCs w:val="24"/>
        </w:rPr>
        <w:t>等</w:t>
      </w:r>
      <w:r>
        <w:rPr>
          <w:rFonts w:hint="eastAsia" w:ascii="宋体" w:hAnsi="宋体" w:cs="宋体"/>
          <w:sz w:val="24"/>
        </w:rPr>
        <w:t>。合同总价不可变更，不受市场价变化的影响，不受实际数量变化的影响。</w:t>
      </w:r>
    </w:p>
    <w:p w14:paraId="7F701032">
      <w:pPr>
        <w:numPr>
          <w:ilvl w:val="0"/>
          <w:numId w:val="1"/>
        </w:numPr>
        <w:snapToGrid w:val="0"/>
        <w:spacing w:line="460" w:lineRule="exact"/>
        <w:ind w:firstLine="482" w:firstLineChars="200"/>
        <w:rPr>
          <w:rFonts w:ascii="宋体" w:hAnsi="宋体" w:cs="宋体"/>
          <w:b/>
          <w:sz w:val="24"/>
          <w:szCs w:val="24"/>
        </w:rPr>
      </w:pPr>
      <w:r>
        <w:rPr>
          <w:rFonts w:hint="eastAsia" w:ascii="宋体" w:hAnsi="宋体" w:cs="宋体"/>
          <w:b/>
          <w:sz w:val="24"/>
          <w:szCs w:val="24"/>
        </w:rPr>
        <w:t>款项支付</w:t>
      </w:r>
    </w:p>
    <w:p w14:paraId="72DAF4D5">
      <w:pPr>
        <w:kinsoku w:val="0"/>
        <w:snapToGrid w:val="0"/>
        <w:spacing w:line="460" w:lineRule="exact"/>
        <w:ind w:right="-319" w:rightChars="-152" w:firstLine="480" w:firstLineChars="200"/>
        <w:rPr>
          <w:rFonts w:hint="eastAsia" w:ascii="宋体" w:hAnsi="宋体" w:cs="宋体"/>
          <w:sz w:val="24"/>
          <w:lang w:eastAsia="zh-CN"/>
        </w:rPr>
      </w:pPr>
      <w:r>
        <w:rPr>
          <w:rFonts w:hint="eastAsia" w:ascii="宋体" w:hAnsi="宋体" w:cs="宋体"/>
          <w:sz w:val="24"/>
          <w:lang w:eastAsia="zh-CN"/>
        </w:rPr>
        <w:t>（一）付款方式</w:t>
      </w:r>
    </w:p>
    <w:p w14:paraId="7B7E63DD">
      <w:pPr>
        <w:kinsoku w:val="0"/>
        <w:snapToGrid w:val="0"/>
        <w:spacing w:line="460" w:lineRule="exact"/>
        <w:ind w:right="-319" w:rightChars="-152"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lang w:val="en-US" w:eastAsia="zh-CN"/>
        </w:rPr>
        <w:t>1</w:t>
      </w:r>
      <w:r>
        <w:rPr>
          <w:rFonts w:hint="eastAsia" w:ascii="宋体" w:hAnsi="宋体" w:cs="宋体"/>
          <w:sz w:val="24"/>
          <w:lang w:eastAsia="zh-CN"/>
        </w:rPr>
        <w:t>）</w:t>
      </w:r>
      <w:r>
        <w:rPr>
          <w:rFonts w:hint="eastAsia" w:ascii="宋体" w:hAnsi="宋体" w:cs="宋体"/>
          <w:sz w:val="24"/>
        </w:rPr>
        <w:t>签订合同且安装调试终验合格并出具全额税务发票，运行期间无质量问</w:t>
      </w:r>
      <w:r>
        <w:rPr>
          <w:rFonts w:hint="eastAsia" w:ascii="宋体" w:hAnsi="宋体" w:cs="宋体"/>
          <w:sz w:val="24"/>
          <w:lang w:eastAsia="zh-CN"/>
        </w:rPr>
        <w:t>题</w:t>
      </w:r>
      <w:r>
        <w:rPr>
          <w:rFonts w:hint="eastAsia" w:ascii="宋体" w:hAnsi="宋体" w:cs="宋体"/>
          <w:sz w:val="24"/>
        </w:rPr>
        <w:t>，达到付款条件起 90 日内，支付合同总金额的 50.00%。</w:t>
      </w:r>
    </w:p>
    <w:p w14:paraId="7ECB0007">
      <w:pPr>
        <w:kinsoku w:val="0"/>
        <w:snapToGrid w:val="0"/>
        <w:spacing w:line="460" w:lineRule="exact"/>
        <w:ind w:right="-319" w:rightChars="-152"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lang w:val="en-US" w:eastAsia="zh-CN"/>
        </w:rPr>
        <w:t>2</w:t>
      </w:r>
      <w:r>
        <w:rPr>
          <w:rFonts w:hint="eastAsia" w:ascii="宋体" w:hAnsi="宋体" w:cs="宋体"/>
          <w:sz w:val="24"/>
          <w:lang w:eastAsia="zh-CN"/>
        </w:rPr>
        <w:t>）</w:t>
      </w:r>
      <w:r>
        <w:rPr>
          <w:rFonts w:hint="eastAsia" w:ascii="宋体" w:hAnsi="宋体" w:cs="宋体"/>
          <w:sz w:val="24"/>
        </w:rPr>
        <w:t xml:space="preserve"> 签订合同且安装调试终验合格并出具全额税务发票，运行期间无质量问</w:t>
      </w:r>
      <w:r>
        <w:rPr>
          <w:rFonts w:hint="eastAsia" w:ascii="宋体" w:hAnsi="宋体" w:cs="宋体"/>
          <w:sz w:val="24"/>
          <w:lang w:eastAsia="zh-CN"/>
        </w:rPr>
        <w:t>题</w:t>
      </w:r>
      <w:r>
        <w:rPr>
          <w:rFonts w:hint="eastAsia" w:ascii="宋体" w:hAnsi="宋体" w:cs="宋体"/>
          <w:sz w:val="24"/>
        </w:rPr>
        <w:t>，六个月后，达到付款条件起 90 日内，支付合同总金额40.00%。</w:t>
      </w:r>
    </w:p>
    <w:p w14:paraId="5E98B141">
      <w:pPr>
        <w:kinsoku w:val="0"/>
        <w:snapToGrid w:val="0"/>
        <w:spacing w:line="460" w:lineRule="exact"/>
        <w:ind w:right="-319" w:rightChars="-152"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w:t>
      </w:r>
      <w:r>
        <w:rPr>
          <w:rFonts w:hint="eastAsia" w:ascii="宋体" w:hAnsi="宋体" w:cs="宋体"/>
          <w:sz w:val="24"/>
        </w:rPr>
        <w:t>签订合同且安装调试终验合格并出具全额税务发票，运行期间无质量问</w:t>
      </w:r>
      <w:r>
        <w:rPr>
          <w:rFonts w:hint="eastAsia" w:ascii="宋体" w:hAnsi="宋体" w:cs="宋体"/>
          <w:sz w:val="24"/>
          <w:lang w:eastAsia="zh-CN"/>
        </w:rPr>
        <w:t>题</w:t>
      </w:r>
      <w:r>
        <w:rPr>
          <w:rFonts w:hint="eastAsia" w:ascii="宋体" w:hAnsi="宋体" w:cs="宋体"/>
          <w:sz w:val="24"/>
        </w:rPr>
        <w:t>，二年后 ，达到付款条件起 90 日内，支付合同总金额的 10.00%。</w:t>
      </w:r>
    </w:p>
    <w:p w14:paraId="72AF196E">
      <w:pPr>
        <w:kinsoku w:val="0"/>
        <w:snapToGrid w:val="0"/>
        <w:spacing w:line="460" w:lineRule="exact"/>
        <w:ind w:right="-319" w:rightChars="-152" w:firstLine="480" w:firstLineChars="200"/>
        <w:rPr>
          <w:rFonts w:hint="eastAsia" w:ascii="宋体" w:hAnsi="宋体" w:cs="宋体"/>
          <w:sz w:val="24"/>
        </w:rPr>
      </w:pPr>
      <w:r>
        <w:rPr>
          <w:rFonts w:hint="eastAsia" w:ascii="宋体" w:hAnsi="宋体" w:cs="宋体"/>
          <w:sz w:val="24"/>
        </w:rPr>
        <w:t>（二）支付方式：通过银行转账方式将款项转入乙方银行账户。</w:t>
      </w:r>
    </w:p>
    <w:p w14:paraId="4886D49A">
      <w:pPr>
        <w:kinsoku w:val="0"/>
        <w:snapToGrid w:val="0"/>
        <w:spacing w:line="460" w:lineRule="exact"/>
        <w:ind w:right="-319" w:rightChars="-152" w:firstLine="480" w:firstLineChars="200"/>
        <w:rPr>
          <w:rFonts w:hint="eastAsia" w:ascii="宋体" w:hAnsi="宋体" w:cs="宋体"/>
          <w:sz w:val="24"/>
        </w:rPr>
      </w:pPr>
      <w:r>
        <w:rPr>
          <w:rFonts w:hint="eastAsia" w:ascii="宋体" w:hAnsi="宋体" w:cs="宋体"/>
          <w:sz w:val="24"/>
        </w:rPr>
        <w:t>（三）结算要求：必须在验收合格后，一次性开具合同全款发票。</w:t>
      </w:r>
    </w:p>
    <w:p w14:paraId="11F4C815">
      <w:pPr>
        <w:snapToGrid w:val="0"/>
        <w:spacing w:line="460" w:lineRule="exact"/>
        <w:ind w:firstLine="482" w:firstLineChars="200"/>
        <w:rPr>
          <w:rFonts w:ascii="宋体" w:hAnsi="宋体" w:cs="宋体"/>
          <w:b/>
          <w:sz w:val="24"/>
          <w:szCs w:val="24"/>
        </w:rPr>
      </w:pPr>
      <w:r>
        <w:rPr>
          <w:rFonts w:hint="eastAsia" w:ascii="宋体" w:hAnsi="宋体" w:cs="宋体"/>
          <w:b/>
          <w:sz w:val="24"/>
          <w:szCs w:val="24"/>
        </w:rPr>
        <w:t>四、交货条件</w:t>
      </w:r>
    </w:p>
    <w:p w14:paraId="0759118F">
      <w:pPr>
        <w:kinsoku w:val="0"/>
        <w:snapToGrid w:val="0"/>
        <w:spacing w:line="460" w:lineRule="exact"/>
        <w:ind w:firstLine="600" w:firstLineChars="250"/>
        <w:rPr>
          <w:rFonts w:ascii="宋体" w:hAnsi="宋体" w:cs="宋体"/>
          <w:sz w:val="24"/>
        </w:rPr>
      </w:pPr>
      <w:r>
        <w:rPr>
          <w:rFonts w:hint="eastAsia" w:ascii="宋体" w:hAnsi="宋体" w:cs="宋体"/>
          <w:sz w:val="24"/>
        </w:rPr>
        <w:t>1、交货地点：西安医学院附属宝鸡医院指定地点。</w:t>
      </w:r>
    </w:p>
    <w:p w14:paraId="46F8D912">
      <w:pPr>
        <w:kinsoku w:val="0"/>
        <w:snapToGrid w:val="0"/>
        <w:spacing w:line="460" w:lineRule="exact"/>
        <w:ind w:firstLine="600" w:firstLineChars="250"/>
        <w:rPr>
          <w:rFonts w:ascii="宋体" w:hAnsi="宋体" w:cs="宋体"/>
          <w:sz w:val="24"/>
        </w:rPr>
      </w:pPr>
      <w:r>
        <w:rPr>
          <w:rFonts w:hint="eastAsia" w:ascii="宋体" w:hAnsi="宋体" w:cs="宋体"/>
          <w:sz w:val="24"/>
        </w:rPr>
        <w:t>2、交货期：</w:t>
      </w:r>
      <w:r>
        <w:rPr>
          <w:rFonts w:hint="eastAsia" w:ascii="宋体" w:hAnsi="宋体" w:cs="宋体"/>
          <w:sz w:val="24"/>
          <w:szCs w:val="24"/>
        </w:rPr>
        <w:t>合同签订后</w:t>
      </w:r>
      <w:r>
        <w:rPr>
          <w:rFonts w:hint="eastAsia" w:ascii="宋体" w:hAnsi="宋体" w:cs="宋体"/>
          <w:sz w:val="24"/>
          <w:szCs w:val="24"/>
          <w:u w:val="single"/>
        </w:rPr>
        <w:t xml:space="preserve">    </w:t>
      </w:r>
      <w:r>
        <w:rPr>
          <w:rFonts w:hint="eastAsia" w:ascii="宋体" w:hAnsi="宋体" w:cs="宋体"/>
          <w:sz w:val="24"/>
          <w:szCs w:val="24"/>
        </w:rPr>
        <w:t>个日历日完成安装和调试并交付使用。</w:t>
      </w:r>
    </w:p>
    <w:p w14:paraId="027EEA00">
      <w:pPr>
        <w:snapToGrid w:val="0"/>
        <w:spacing w:line="460" w:lineRule="exact"/>
        <w:ind w:firstLine="482" w:firstLineChars="200"/>
        <w:rPr>
          <w:rFonts w:ascii="宋体" w:hAnsi="宋体" w:cs="宋体"/>
          <w:b/>
          <w:sz w:val="24"/>
          <w:szCs w:val="24"/>
        </w:rPr>
      </w:pPr>
      <w:r>
        <w:rPr>
          <w:rFonts w:hint="eastAsia" w:ascii="宋体" w:hAnsi="宋体" w:cs="宋体"/>
          <w:b/>
          <w:sz w:val="24"/>
          <w:szCs w:val="24"/>
        </w:rPr>
        <w:t>五、</w:t>
      </w:r>
      <w:r>
        <w:rPr>
          <w:rFonts w:hint="eastAsia" w:ascii="宋体" w:hAnsi="宋体" w:cs="宋体"/>
          <w:b/>
          <w:sz w:val="24"/>
        </w:rPr>
        <w:t>运输方式：</w:t>
      </w:r>
      <w:r>
        <w:rPr>
          <w:rFonts w:hint="eastAsia" w:ascii="宋体" w:hAnsi="宋体" w:cs="宋体"/>
          <w:sz w:val="24"/>
        </w:rPr>
        <w:t>根据产品特性，由乙方在保证产品质量的前提下，自行选择运输及包装方式，但必须保证按期供货，发生的一切费用（包括但不限于设备从供货地点到使用地点的运输费、保险费、搬运费等）全部由乙方承担。因运输产生的风险及质量问题由乙方承担。</w:t>
      </w:r>
    </w:p>
    <w:p w14:paraId="2094BAC5">
      <w:pPr>
        <w:adjustRightInd w:val="0"/>
        <w:snapToGrid w:val="0"/>
        <w:spacing w:line="460" w:lineRule="exact"/>
        <w:ind w:firstLine="482" w:firstLineChars="200"/>
        <w:rPr>
          <w:rFonts w:ascii="宋体" w:hAnsi="宋体" w:cs="宋体"/>
          <w:b/>
          <w:sz w:val="24"/>
        </w:rPr>
      </w:pPr>
      <w:r>
        <w:rPr>
          <w:rFonts w:hint="eastAsia" w:ascii="宋体" w:hAnsi="宋体" w:cs="宋体"/>
          <w:b/>
          <w:sz w:val="24"/>
        </w:rPr>
        <w:t>六、质量保证</w:t>
      </w:r>
    </w:p>
    <w:p w14:paraId="6C9B807F">
      <w:pPr>
        <w:adjustRightInd w:val="0"/>
        <w:snapToGrid w:val="0"/>
        <w:spacing w:line="460" w:lineRule="exact"/>
        <w:ind w:firstLine="480" w:firstLineChars="200"/>
        <w:rPr>
          <w:rFonts w:ascii="宋体" w:hAnsi="宋体" w:cs="宋体"/>
          <w:sz w:val="24"/>
        </w:rPr>
      </w:pPr>
      <w:r>
        <w:rPr>
          <w:rFonts w:hint="eastAsia" w:ascii="宋体" w:hAnsi="宋体" w:cs="宋体"/>
          <w:sz w:val="24"/>
        </w:rPr>
        <w:t>1、乙方保证所提供的产品质量可靠，进货渠道正常，配置合理，技术性能完全满足招标文件要求；</w:t>
      </w:r>
      <w:r>
        <w:rPr>
          <w:rFonts w:hint="eastAsia" w:ascii="宋体" w:hAnsi="宋体" w:cs="宋体"/>
          <w:sz w:val="24"/>
          <w:lang w:val="en-US" w:eastAsia="zh-CN"/>
        </w:rPr>
        <w:t>设备须为到货之日前12个月内生产的产品。</w:t>
      </w:r>
    </w:p>
    <w:p w14:paraId="23FA3AA7">
      <w:pPr>
        <w:adjustRightInd w:val="0"/>
        <w:snapToGrid w:val="0"/>
        <w:spacing w:line="460" w:lineRule="exact"/>
        <w:ind w:firstLine="480" w:firstLineChars="200"/>
        <w:rPr>
          <w:rFonts w:ascii="宋体" w:hAnsi="宋体" w:cs="宋体"/>
          <w:sz w:val="24"/>
        </w:rPr>
      </w:pPr>
      <w:r>
        <w:rPr>
          <w:rFonts w:hint="eastAsia" w:ascii="宋体" w:hAnsi="宋体" w:cs="宋体"/>
          <w:sz w:val="24"/>
        </w:rPr>
        <w:t>2、若产品所用原材料或加工工艺造成的质量和内外观缺陷问题，由乙方负责解决并承担费用。</w:t>
      </w:r>
      <w:r>
        <w:rPr>
          <w:rFonts w:hint="eastAsia" w:ascii="宋体" w:hAnsi="宋体" w:cs="宋体"/>
          <w:bCs/>
          <w:sz w:val="24"/>
        </w:rPr>
        <w:t>（</w:t>
      </w:r>
      <w:r>
        <w:rPr>
          <w:rFonts w:hint="eastAsia" w:ascii="宋体" w:hAnsi="宋体" w:cs="宋体"/>
          <w:sz w:val="24"/>
        </w:rPr>
        <w:t>卖方保证货物是全新的、未曾使用过的、以优质工艺及材料制造，并保证所供产品的完整性，本合同产品为成套供货，合同总价中已包括满足产品完整运行的附件，备件，配套件等，产品质量应符合国标标准和本合同附件的要求,卖方应随机提供产品检验报告。）</w:t>
      </w:r>
    </w:p>
    <w:p w14:paraId="62B31E48">
      <w:pPr>
        <w:pStyle w:val="12"/>
        <w:snapToGrid w:val="0"/>
        <w:spacing w:line="460" w:lineRule="exact"/>
        <w:ind w:firstLine="480"/>
        <w:rPr>
          <w:rFonts w:ascii="宋体" w:hAnsi="宋体" w:cs="宋体"/>
          <w:sz w:val="24"/>
        </w:rPr>
      </w:pPr>
      <w:r>
        <w:rPr>
          <w:rFonts w:hint="eastAsia" w:ascii="宋体" w:hAnsi="宋体" w:cs="宋体"/>
          <w:sz w:val="24"/>
        </w:rPr>
        <w:t>3、产品整体质保为</w:t>
      </w:r>
      <w:r>
        <w:rPr>
          <w:rFonts w:hint="eastAsia" w:ascii="宋体" w:hAnsi="宋体" w:cs="宋体"/>
          <w:sz w:val="24"/>
          <w:u w:val="single"/>
        </w:rPr>
        <w:t xml:space="preserve">    </w:t>
      </w:r>
      <w:r>
        <w:rPr>
          <w:rFonts w:hint="eastAsia" w:ascii="宋体" w:hAnsi="宋体" w:cs="宋体"/>
          <w:sz w:val="24"/>
        </w:rPr>
        <w:t>年，自货物终验合格之日起计算，保修期内免费维护，并免费提供备品、备件，更换故障部件、设备等。保修期外不收维修费，只收零件费；终身售后服务。无论在保修期内或保修期外，供应商需提供上门维修服务，且在接到故障报修后能在</w:t>
      </w:r>
      <w:r>
        <w:rPr>
          <w:rFonts w:hint="eastAsia" w:ascii="宋体" w:hAnsi="宋体" w:cs="宋体"/>
          <w:sz w:val="24"/>
          <w:u w:val="single"/>
        </w:rPr>
        <w:t xml:space="preserve">   </w:t>
      </w:r>
      <w:r>
        <w:rPr>
          <w:rFonts w:hint="eastAsia" w:ascii="宋体" w:hAnsi="宋体" w:cs="宋体"/>
          <w:sz w:val="24"/>
        </w:rPr>
        <w:t>小时内到达现场，并于</w:t>
      </w:r>
      <w:r>
        <w:rPr>
          <w:rFonts w:hint="eastAsia" w:ascii="宋体" w:hAnsi="宋体" w:cs="宋体"/>
          <w:sz w:val="24"/>
          <w:u w:val="single"/>
        </w:rPr>
        <w:t xml:space="preserve">   </w:t>
      </w:r>
      <w:r>
        <w:rPr>
          <w:rFonts w:hint="eastAsia" w:ascii="宋体" w:hAnsi="宋体" w:cs="宋体"/>
          <w:sz w:val="24"/>
        </w:rPr>
        <w:t>小时内排除故障，否则甲方可采取必要补救措施（包括但不限于委托第三方进行处理），但其风险和费用将由乙方承担，甲方根据合同规定对乙方行使的其他权利不受影响</w:t>
      </w:r>
      <w:r>
        <w:rPr>
          <w:rFonts w:hint="eastAsia" w:ascii="宋体" w:hAnsi="宋体" w:cs="宋体"/>
          <w:sz w:val="24"/>
          <w:lang w:eastAsia="zh-CN"/>
        </w:rPr>
        <w:t>。</w:t>
      </w:r>
      <w:r>
        <w:rPr>
          <w:rFonts w:hint="eastAsia" w:ascii="宋体" w:hAnsi="宋体" w:cs="宋体"/>
          <w:sz w:val="24"/>
        </w:rPr>
        <w:t>提供上门免费维护和检查，随访频率不少于2次/年。</w:t>
      </w:r>
    </w:p>
    <w:p w14:paraId="5409D549">
      <w:pPr>
        <w:snapToGrid w:val="0"/>
        <w:spacing w:line="460" w:lineRule="exact"/>
        <w:ind w:firstLine="480" w:firstLineChars="200"/>
        <w:rPr>
          <w:rFonts w:ascii="宋体" w:hAnsi="宋体" w:cs="宋体"/>
          <w:bCs/>
          <w:sz w:val="24"/>
        </w:rPr>
      </w:pPr>
      <w:r>
        <w:rPr>
          <w:rFonts w:hint="eastAsia" w:ascii="宋体" w:hAnsi="宋体" w:cs="宋体"/>
          <w:sz w:val="24"/>
        </w:rPr>
        <w:t>4、产品</w:t>
      </w:r>
      <w:r>
        <w:rPr>
          <w:rFonts w:hint="eastAsia" w:ascii="宋体" w:hAnsi="宋体" w:cs="宋体"/>
          <w:bCs/>
          <w:sz w:val="24"/>
        </w:rPr>
        <w:t>性能未达到技术要求的，乙方限期内进行整改；整改仍达不到要求的，甲方有权单方解除合同，保留依法索赔的权利。</w:t>
      </w:r>
    </w:p>
    <w:p w14:paraId="11E88487">
      <w:pPr>
        <w:pStyle w:val="2"/>
        <w:spacing w:line="460" w:lineRule="exact"/>
        <w:rPr>
          <w:rFonts w:ascii="宋体" w:hAnsi="宋体"/>
          <w:sz w:val="24"/>
          <w:szCs w:val="24"/>
        </w:rPr>
      </w:pPr>
      <w:r>
        <w:rPr>
          <w:rFonts w:hint="eastAsia" w:ascii="宋体" w:hAnsi="宋体"/>
          <w:sz w:val="24"/>
          <w:szCs w:val="24"/>
        </w:rPr>
        <w:t>5、除合同另有规定外，乙方提供的全部货物，均应按标准保护措施进行包装，</w:t>
      </w:r>
      <w:r>
        <w:rPr>
          <w:rFonts w:hint="eastAsia" w:ascii="宋体" w:hAnsi="宋体" w:cs="宋体"/>
          <w:sz w:val="24"/>
          <w:szCs w:val="24"/>
        </w:rPr>
        <w:t>包装箱应用新的、坚固的、经过熏蒸后的木箱，并在木箱上施封IPPC标识，应具有原产国标识且标识清楚，</w:t>
      </w:r>
      <w:r>
        <w:rPr>
          <w:rFonts w:hint="eastAsia" w:ascii="宋体" w:hAnsi="宋体"/>
          <w:sz w:val="24"/>
        </w:rPr>
        <w:t>每件货物必须单独包装发运，不得捆扎并适用于长途运输，防潮、防锈、防震、防粗暴装卸，适用于海、空、陆运输和整体吊装，</w:t>
      </w:r>
      <w:r>
        <w:rPr>
          <w:rFonts w:hint="eastAsia" w:ascii="宋体" w:hAnsi="宋体"/>
          <w:sz w:val="24"/>
          <w:szCs w:val="24"/>
        </w:rPr>
        <w:t>以确保货物安全无损运抵甲方指定地点。每一个包装箱内应附有一份详细装箱单和质量合格证。乙方应保证甲方在使用该货物或其任何一部分时免受第三方提出侵犯其专利权、商标权或工业设计等知识产权的起诉，如导致甲方损失的，甲方有权向乙方索赔。</w:t>
      </w:r>
    </w:p>
    <w:p w14:paraId="5342C72B">
      <w:pPr>
        <w:adjustRightInd w:val="0"/>
        <w:snapToGrid w:val="0"/>
        <w:spacing w:line="460" w:lineRule="exact"/>
        <w:ind w:firstLine="359" w:firstLineChars="149"/>
        <w:rPr>
          <w:rFonts w:ascii="宋体" w:hAnsi="宋体" w:cs="宋体"/>
          <w:b/>
          <w:sz w:val="24"/>
        </w:rPr>
      </w:pPr>
      <w:r>
        <w:rPr>
          <w:rFonts w:hint="eastAsia" w:ascii="宋体" w:hAnsi="宋体" w:cs="宋体"/>
          <w:b/>
          <w:sz w:val="24"/>
        </w:rPr>
        <w:t>七、安装、调试及技术服务</w:t>
      </w:r>
    </w:p>
    <w:p w14:paraId="7C04F4DB">
      <w:pPr>
        <w:snapToGrid w:val="0"/>
        <w:spacing w:line="460" w:lineRule="exact"/>
        <w:ind w:firstLine="480" w:firstLineChars="200"/>
        <w:rPr>
          <w:rFonts w:ascii="宋体" w:hAnsi="宋体" w:cs="宋体"/>
          <w:sz w:val="24"/>
        </w:rPr>
      </w:pPr>
      <w:r>
        <w:rPr>
          <w:rFonts w:hint="eastAsia" w:ascii="宋体" w:hAnsi="宋体" w:cs="宋体"/>
          <w:sz w:val="24"/>
        </w:rPr>
        <w:t>1、技术资料包括：出厂检测报告、使用说明书、合格证等其它相关资料。</w:t>
      </w:r>
    </w:p>
    <w:p w14:paraId="24CF9CC1">
      <w:pPr>
        <w:snapToGrid w:val="0"/>
        <w:spacing w:line="460" w:lineRule="exact"/>
        <w:ind w:firstLine="480" w:firstLineChars="200"/>
        <w:rPr>
          <w:rFonts w:ascii="宋体" w:hAnsi="宋体" w:cs="宋体"/>
          <w:sz w:val="24"/>
        </w:rPr>
      </w:pPr>
      <w:r>
        <w:rPr>
          <w:rFonts w:hint="eastAsia" w:ascii="宋体" w:hAnsi="宋体" w:cs="宋体"/>
          <w:sz w:val="24"/>
        </w:rPr>
        <w:t>2、乙方保证产品完全按招标要求提供，若达不到要求，乙方须及时跟甲方沟通协商更换产品，并按照再次验收合格时间相应延长该产品保修期。</w:t>
      </w:r>
    </w:p>
    <w:p w14:paraId="0E882BFF">
      <w:pPr>
        <w:snapToGrid w:val="0"/>
        <w:spacing w:line="460" w:lineRule="exact"/>
        <w:ind w:firstLine="480" w:firstLineChars="200"/>
        <w:rPr>
          <w:rFonts w:ascii="宋体" w:hAnsi="宋体" w:cs="宋体"/>
          <w:sz w:val="24"/>
        </w:rPr>
      </w:pPr>
      <w:r>
        <w:rPr>
          <w:rFonts w:hint="eastAsia" w:ascii="宋体" w:hAnsi="宋体" w:cs="宋体"/>
          <w:sz w:val="24"/>
        </w:rPr>
        <w:t>3、技术培训</w:t>
      </w:r>
    </w:p>
    <w:p w14:paraId="676867FE">
      <w:pPr>
        <w:snapToGrid w:val="0"/>
        <w:spacing w:line="460" w:lineRule="exact"/>
        <w:ind w:firstLine="600" w:firstLineChars="250"/>
        <w:rPr>
          <w:rFonts w:ascii="宋体" w:hAnsi="宋体" w:cs="宋体"/>
          <w:sz w:val="24"/>
        </w:rPr>
      </w:pPr>
      <w:r>
        <w:rPr>
          <w:rFonts w:hint="eastAsia" w:ascii="宋体" w:hAnsi="宋体" w:cs="宋体"/>
          <w:sz w:val="24"/>
        </w:rPr>
        <w:t>1）内容：包括产品原理、使用操作、保养维修技术等，使受训人员达到独立使用、熟练操作的程度。</w:t>
      </w:r>
    </w:p>
    <w:p w14:paraId="45C514D5">
      <w:pPr>
        <w:snapToGrid w:val="0"/>
        <w:spacing w:line="460" w:lineRule="exact"/>
        <w:ind w:firstLine="600" w:firstLineChars="250"/>
        <w:rPr>
          <w:rFonts w:ascii="宋体" w:hAnsi="宋体" w:cs="宋体"/>
          <w:sz w:val="24"/>
        </w:rPr>
      </w:pPr>
      <w:r>
        <w:rPr>
          <w:rFonts w:hint="eastAsia" w:ascii="宋体" w:hAnsi="宋体" w:cs="宋体"/>
          <w:sz w:val="24"/>
        </w:rPr>
        <w:t>2）培训准备：被培训人数不限。</w:t>
      </w:r>
    </w:p>
    <w:p w14:paraId="0676C223">
      <w:pPr>
        <w:snapToGrid w:val="0"/>
        <w:spacing w:line="460" w:lineRule="exact"/>
        <w:ind w:firstLine="600" w:firstLineChars="250"/>
        <w:rPr>
          <w:rFonts w:ascii="宋体" w:hAnsi="宋体" w:cs="宋体"/>
          <w:sz w:val="24"/>
        </w:rPr>
      </w:pPr>
      <w:r>
        <w:rPr>
          <w:rFonts w:hint="eastAsia" w:ascii="宋体" w:hAnsi="宋体" w:cs="宋体"/>
          <w:sz w:val="24"/>
        </w:rPr>
        <w:t>3）地点：西安医学院附属宝鸡医院指定地点</w:t>
      </w:r>
    </w:p>
    <w:p w14:paraId="6EF3042D">
      <w:pPr>
        <w:snapToGrid w:val="0"/>
        <w:spacing w:line="460" w:lineRule="exact"/>
        <w:ind w:firstLine="600" w:firstLineChars="250"/>
        <w:rPr>
          <w:rFonts w:ascii="宋体" w:hAnsi="宋体" w:cs="宋体"/>
          <w:sz w:val="24"/>
        </w:rPr>
      </w:pPr>
      <w:r>
        <w:rPr>
          <w:rFonts w:hint="eastAsia" w:ascii="宋体" w:hAnsi="宋体" w:cs="宋体"/>
          <w:sz w:val="24"/>
        </w:rPr>
        <w:t>4）时间：在收到采购方通知后</w:t>
      </w:r>
      <w:r>
        <w:rPr>
          <w:rFonts w:hint="eastAsia" w:ascii="宋体" w:hAnsi="宋体" w:cs="宋体"/>
          <w:sz w:val="24"/>
          <w:u w:val="single"/>
        </w:rPr>
        <w:t>五</w:t>
      </w:r>
      <w:r>
        <w:rPr>
          <w:rFonts w:hint="eastAsia" w:ascii="宋体" w:hAnsi="宋体" w:cs="宋体"/>
          <w:sz w:val="24"/>
        </w:rPr>
        <w:t>个工作日内安排。</w:t>
      </w:r>
    </w:p>
    <w:p w14:paraId="0051CAA6">
      <w:pPr>
        <w:adjustRightInd w:val="0"/>
        <w:snapToGrid w:val="0"/>
        <w:spacing w:line="460" w:lineRule="exact"/>
        <w:ind w:firstLine="480" w:firstLineChars="200"/>
        <w:rPr>
          <w:rFonts w:ascii="宋体" w:hAnsi="宋体" w:cs="宋体"/>
          <w:sz w:val="24"/>
        </w:rPr>
      </w:pPr>
      <w:r>
        <w:rPr>
          <w:rFonts w:hint="eastAsia" w:ascii="宋体" w:hAnsi="宋体" w:cs="宋体"/>
          <w:sz w:val="24"/>
        </w:rPr>
        <w:t>4、服务承诺：按投标文件中的服务承诺执行。</w:t>
      </w:r>
    </w:p>
    <w:p w14:paraId="27191F1B">
      <w:pPr>
        <w:adjustRightInd w:val="0"/>
        <w:snapToGrid w:val="0"/>
        <w:spacing w:line="460" w:lineRule="exact"/>
        <w:ind w:firstLine="480" w:firstLineChars="200"/>
        <w:rPr>
          <w:rFonts w:ascii="宋体" w:hAnsi="宋体" w:cs="宋体"/>
          <w:sz w:val="24"/>
        </w:rPr>
      </w:pPr>
      <w:r>
        <w:rPr>
          <w:rFonts w:hint="eastAsia" w:ascii="宋体" w:hAnsi="宋体" w:cs="宋体"/>
          <w:sz w:val="24"/>
        </w:rPr>
        <w:t>5、安装调试过程中出现的安全责任问题由乙方全权负责。</w:t>
      </w:r>
    </w:p>
    <w:p w14:paraId="3B722FDB">
      <w:pPr>
        <w:tabs>
          <w:tab w:val="left" w:pos="5355"/>
        </w:tabs>
        <w:snapToGrid w:val="0"/>
        <w:spacing w:line="460" w:lineRule="exact"/>
        <w:ind w:firstLine="506" w:firstLineChars="210"/>
        <w:rPr>
          <w:rFonts w:ascii="宋体" w:hAnsi="宋体" w:cs="宋体"/>
          <w:b/>
          <w:sz w:val="24"/>
          <w:szCs w:val="24"/>
        </w:rPr>
      </w:pPr>
      <w:r>
        <w:rPr>
          <w:rFonts w:hint="eastAsia" w:ascii="宋体" w:hAnsi="宋体" w:cs="宋体"/>
          <w:b/>
          <w:sz w:val="24"/>
          <w:szCs w:val="24"/>
        </w:rPr>
        <w:t>八、违约责任：</w:t>
      </w:r>
    </w:p>
    <w:p w14:paraId="3DB141E0">
      <w:pPr>
        <w:adjustRightInd w:val="0"/>
        <w:snapToGrid w:val="0"/>
        <w:spacing w:line="460" w:lineRule="exact"/>
        <w:ind w:firstLine="480" w:firstLineChars="200"/>
        <w:rPr>
          <w:rFonts w:ascii="宋体" w:hAnsi="宋体" w:cs="宋体"/>
          <w:sz w:val="24"/>
        </w:rPr>
      </w:pPr>
      <w:r>
        <w:rPr>
          <w:rFonts w:hint="eastAsia" w:ascii="宋体" w:hAnsi="宋体" w:cs="宋体"/>
          <w:sz w:val="24"/>
        </w:rPr>
        <w:t>1、按《中华人民共和国民法典》中的相关条款执行。</w:t>
      </w:r>
    </w:p>
    <w:p w14:paraId="278969EA">
      <w:pPr>
        <w:adjustRightInd w:val="0"/>
        <w:snapToGrid w:val="0"/>
        <w:spacing w:line="460" w:lineRule="exact"/>
        <w:ind w:firstLine="480" w:firstLineChars="200"/>
        <w:rPr>
          <w:rFonts w:ascii="宋体" w:hAnsi="宋体" w:cs="宋体"/>
          <w:sz w:val="24"/>
        </w:rPr>
      </w:pPr>
      <w:r>
        <w:rPr>
          <w:rFonts w:hint="eastAsia" w:ascii="宋体" w:hAnsi="宋体" w:cs="宋体"/>
          <w:sz w:val="24"/>
        </w:rPr>
        <w:t>2、未按合同要求提供产品或产品质量不能满足招标文件的技术要求，甲方有权单方解除合同，并保留追究乙方违约责任的权利。</w:t>
      </w:r>
    </w:p>
    <w:p w14:paraId="3FC11198">
      <w:pPr>
        <w:adjustRightInd w:val="0"/>
        <w:snapToGrid w:val="0"/>
        <w:spacing w:line="460" w:lineRule="exact"/>
        <w:ind w:firstLine="480" w:firstLineChars="200"/>
        <w:rPr>
          <w:rFonts w:ascii="宋体" w:hAnsi="宋体" w:cs="宋体"/>
          <w:sz w:val="24"/>
        </w:rPr>
      </w:pPr>
      <w:r>
        <w:rPr>
          <w:rFonts w:hint="eastAsia" w:ascii="宋体" w:hAnsi="宋体" w:cs="宋体"/>
          <w:sz w:val="24"/>
        </w:rPr>
        <w:t>3、乙方未按照本合同第四条第</w:t>
      </w:r>
      <w:r>
        <w:rPr>
          <w:rFonts w:ascii="宋体" w:hAnsi="宋体" w:cs="宋体"/>
          <w:sz w:val="24"/>
        </w:rPr>
        <w:t>2</w:t>
      </w:r>
      <w:r>
        <w:rPr>
          <w:rFonts w:hint="eastAsia" w:ascii="宋体" w:hAnsi="宋体" w:cs="宋体"/>
          <w:sz w:val="24"/>
        </w:rPr>
        <w:t>款约定的交货期限完成供货导致期限迟延的，则乙方应每天按照合同总价的1‰向甲方承担违约责任，如乙方延期供货达20日的视为乙方根本违约，甲方有权单方解除合同，乙方按合同总价款的10</w:t>
      </w:r>
      <w:r>
        <w:rPr>
          <w:rFonts w:ascii="宋体" w:hAnsi="宋体" w:cs="宋体"/>
          <w:sz w:val="24"/>
        </w:rPr>
        <w:t>%</w:t>
      </w:r>
      <w:r>
        <w:rPr>
          <w:rFonts w:hint="eastAsia" w:ascii="宋体" w:hAnsi="宋体" w:cs="宋体"/>
          <w:sz w:val="24"/>
        </w:rPr>
        <w:t>向甲方支付违约金。</w:t>
      </w:r>
    </w:p>
    <w:p w14:paraId="5EEADC3E">
      <w:pPr>
        <w:adjustRightInd w:val="0"/>
        <w:snapToGrid w:val="0"/>
        <w:spacing w:line="460" w:lineRule="exact"/>
        <w:ind w:firstLine="480" w:firstLineChars="200"/>
        <w:rPr>
          <w:rFonts w:ascii="宋体" w:hAnsi="宋体" w:cs="宋体"/>
          <w:sz w:val="24"/>
        </w:rPr>
      </w:pPr>
      <w:r>
        <w:rPr>
          <w:rFonts w:ascii="宋体" w:hAnsi="宋体" w:cs="宋体"/>
          <w:sz w:val="24"/>
        </w:rPr>
        <w:t>4.</w:t>
      </w:r>
      <w:r>
        <w:rPr>
          <w:rFonts w:hint="eastAsia" w:ascii="宋体" w:hAnsi="宋体" w:cs="宋体"/>
          <w:sz w:val="24"/>
        </w:rPr>
        <w:t>产品质量问题违约的，乙方除了按照迟延时间以本条第</w:t>
      </w:r>
      <w:r>
        <w:rPr>
          <w:rFonts w:ascii="宋体" w:hAnsi="宋体" w:cs="宋体"/>
          <w:sz w:val="24"/>
        </w:rPr>
        <w:t>3</w:t>
      </w:r>
      <w:r>
        <w:rPr>
          <w:rFonts w:hint="eastAsia" w:ascii="宋体" w:hAnsi="宋体" w:cs="宋体"/>
          <w:sz w:val="24"/>
        </w:rPr>
        <w:t>款的标准计算违约金外，甲方另可以采取退货、换货等方式，</w:t>
      </w:r>
      <w:r>
        <w:rPr>
          <w:rFonts w:ascii="宋体" w:hAnsi="宋体" w:cs="宋体"/>
          <w:sz w:val="24"/>
        </w:rPr>
        <w:t>乙方必须无条件更换，提高技术，完善质量，否则，甲方有权单方面解除合同，解除合同书面通知书到达乙方之日视为合同解除，并按以下两种方式追究乙方的违约责任：</w:t>
      </w:r>
    </w:p>
    <w:p w14:paraId="1CEE7790">
      <w:pPr>
        <w:adjustRightInd w:val="0"/>
        <w:snapToGrid w:val="0"/>
        <w:spacing w:line="460" w:lineRule="exact"/>
        <w:ind w:firstLine="480" w:firstLineChars="200"/>
        <w:rPr>
          <w:rFonts w:ascii="宋体" w:hAnsi="宋体" w:cs="宋体"/>
          <w:sz w:val="24"/>
        </w:rPr>
      </w:pPr>
      <w:r>
        <w:rPr>
          <w:rFonts w:hint="eastAsia" w:ascii="宋体" w:hAnsi="宋体" w:cs="宋体"/>
          <w:sz w:val="24"/>
        </w:rPr>
        <w:t>（</w:t>
      </w:r>
      <w:r>
        <w:rPr>
          <w:rFonts w:ascii="宋体" w:hAnsi="宋体" w:cs="宋体"/>
          <w:sz w:val="24"/>
        </w:rPr>
        <w:t>1</w:t>
      </w:r>
      <w:r>
        <w:rPr>
          <w:rFonts w:hint="eastAsia" w:ascii="宋体" w:hAnsi="宋体" w:cs="宋体"/>
          <w:sz w:val="24"/>
        </w:rPr>
        <w:t>）</w:t>
      </w:r>
      <w:r>
        <w:rPr>
          <w:rFonts w:ascii="宋体" w:hAnsi="宋体" w:cs="宋体"/>
          <w:sz w:val="24"/>
        </w:rPr>
        <w:t>乙方赔偿甲方解除合同的全部损失（包括但不限于重新</w:t>
      </w:r>
      <w:r>
        <w:rPr>
          <w:rFonts w:hint="eastAsia" w:ascii="宋体" w:hAnsi="宋体" w:cs="宋体"/>
          <w:sz w:val="24"/>
        </w:rPr>
        <w:t>招标、</w:t>
      </w:r>
      <w:r>
        <w:rPr>
          <w:rFonts w:ascii="宋体" w:hAnsi="宋体" w:cs="宋体"/>
          <w:sz w:val="24"/>
        </w:rPr>
        <w:t>采购产生的费用、合同未履行导致设备不能按</w:t>
      </w:r>
      <w:r>
        <w:rPr>
          <w:rFonts w:hint="eastAsia" w:ascii="宋体" w:hAnsi="宋体" w:cs="宋体"/>
          <w:sz w:val="24"/>
        </w:rPr>
        <w:t>约定</w:t>
      </w:r>
      <w:r>
        <w:rPr>
          <w:rFonts w:ascii="宋体" w:hAnsi="宋体" w:cs="宋体"/>
          <w:sz w:val="24"/>
        </w:rPr>
        <w:t>交付使用可能产生的租赁费用及其它由此造成的甲方对第三方的违约损失）；</w:t>
      </w:r>
    </w:p>
    <w:p w14:paraId="10EDE105">
      <w:pPr>
        <w:snapToGrid w:val="0"/>
        <w:spacing w:line="460" w:lineRule="exact"/>
        <w:ind w:firstLine="532"/>
        <w:rPr>
          <w:rFonts w:ascii="宋体" w:hAnsi="宋体" w:cs="宋体"/>
          <w:b/>
          <w:sz w:val="24"/>
          <w:szCs w:val="24"/>
        </w:rPr>
      </w:pPr>
      <w:r>
        <w:rPr>
          <w:rFonts w:hint="eastAsia" w:ascii="宋体" w:hAnsi="宋体" w:cs="宋体"/>
          <w:sz w:val="24"/>
        </w:rPr>
        <w:t>（</w:t>
      </w:r>
      <w:r>
        <w:rPr>
          <w:rFonts w:ascii="宋体" w:hAnsi="宋体" w:cs="宋体"/>
          <w:sz w:val="24"/>
        </w:rPr>
        <w:t>2</w:t>
      </w:r>
      <w:r>
        <w:rPr>
          <w:rFonts w:hint="eastAsia" w:ascii="宋体" w:hAnsi="宋体" w:cs="宋体"/>
          <w:sz w:val="24"/>
        </w:rPr>
        <w:t>）</w:t>
      </w:r>
      <w:r>
        <w:rPr>
          <w:rFonts w:ascii="宋体" w:hAnsi="宋体" w:cs="宋体"/>
          <w:sz w:val="24"/>
        </w:rPr>
        <w:t>乙方支付甲方违约金，违约金计算方法：以合同总价为基数，支付甲方合同总价的</w:t>
      </w:r>
      <w:r>
        <w:rPr>
          <w:rFonts w:hint="eastAsia" w:ascii="宋体" w:hAnsi="宋体" w:cs="宋体"/>
          <w:sz w:val="24"/>
        </w:rPr>
        <w:t>10</w:t>
      </w:r>
      <w:r>
        <w:rPr>
          <w:rFonts w:ascii="宋体" w:hAnsi="宋体" w:cs="宋体"/>
          <w:sz w:val="24"/>
        </w:rPr>
        <w:t>%为违约金，同时甲方对乙方的违约行为上报监管机构进行相应的处罚。</w:t>
      </w:r>
    </w:p>
    <w:p w14:paraId="0AC3A05E">
      <w:pPr>
        <w:snapToGrid w:val="0"/>
        <w:spacing w:line="460" w:lineRule="exact"/>
        <w:ind w:firstLine="532"/>
        <w:rPr>
          <w:rFonts w:ascii="宋体" w:hAnsi="宋体" w:cs="宋体"/>
          <w:b/>
          <w:sz w:val="24"/>
          <w:szCs w:val="24"/>
        </w:rPr>
      </w:pPr>
      <w:r>
        <w:rPr>
          <w:rFonts w:hint="eastAsia" w:ascii="宋体" w:hAnsi="宋体" w:cs="宋体"/>
          <w:b/>
          <w:sz w:val="24"/>
          <w:szCs w:val="24"/>
        </w:rPr>
        <w:t>九、产品验收</w:t>
      </w:r>
    </w:p>
    <w:p w14:paraId="189BFE7D">
      <w:pPr>
        <w:pStyle w:val="8"/>
        <w:spacing w:line="460" w:lineRule="exact"/>
        <w:ind w:firstLine="480" w:firstLineChars="200"/>
      </w:pPr>
      <w:r>
        <w:rPr>
          <w:rFonts w:hint="eastAsia" w:ascii="宋体" w:hAnsi="宋体" w:cs="宋体"/>
          <w:sz w:val="24"/>
          <w:szCs w:val="24"/>
        </w:rPr>
        <w:t>甲乙双方共同进行验收。根据有关法规、文件规定,必须由环保、质量监督管理等部门出据检验合格证明的，此检验证明作为终验的依据。所有安装验收手续由乙方办理并承担费用，甲方提供相关协助。</w:t>
      </w:r>
      <w:r>
        <w:rPr>
          <w:rFonts w:hint="eastAsia" w:ascii="宋体" w:hAnsi="宋体" w:cs="宋体"/>
          <w:sz w:val="24"/>
        </w:rPr>
        <w:t>验收依据为本合同文本、招标文件、投标文件和国内相应的标准、规范。</w:t>
      </w:r>
    </w:p>
    <w:p w14:paraId="61572C70">
      <w:pPr>
        <w:spacing w:line="460" w:lineRule="exact"/>
        <w:ind w:firstLine="480" w:firstLineChars="200"/>
        <w:rPr>
          <w:rFonts w:ascii="宋体" w:hAnsi="宋体" w:cs="宋体"/>
          <w:sz w:val="24"/>
          <w:szCs w:val="24"/>
        </w:rPr>
      </w:pPr>
      <w:r>
        <w:rPr>
          <w:rFonts w:hint="eastAsia" w:ascii="宋体" w:hAnsi="宋体" w:cs="宋体"/>
          <w:sz w:val="24"/>
          <w:szCs w:val="24"/>
        </w:rPr>
        <w:t>1、初验：货物到达甲方指定交货地点后，由甲方</w:t>
      </w:r>
      <w:r>
        <w:rPr>
          <w:rFonts w:hint="eastAsia" w:ascii="宋体" w:hAnsi="宋体" w:cs="宋体"/>
          <w:sz w:val="24"/>
        </w:rPr>
        <w:t>根据合同要求对产品进行验收，确认产品的产地、规格、型号和数量</w:t>
      </w:r>
      <w:r>
        <w:rPr>
          <w:rFonts w:hint="eastAsia" w:ascii="宋体" w:hAnsi="宋体" w:cs="宋体"/>
          <w:sz w:val="24"/>
          <w:szCs w:val="24"/>
        </w:rPr>
        <w:t>等。</w:t>
      </w:r>
    </w:p>
    <w:p w14:paraId="0886CB2C">
      <w:pPr>
        <w:spacing w:line="460" w:lineRule="exact"/>
        <w:ind w:firstLine="544" w:firstLineChars="227"/>
        <w:rPr>
          <w:rFonts w:ascii="宋体" w:hAnsi="宋体" w:cs="宋体"/>
          <w:sz w:val="24"/>
          <w:szCs w:val="24"/>
        </w:rPr>
      </w:pPr>
      <w:r>
        <w:rPr>
          <w:rFonts w:hint="eastAsia" w:ascii="宋体" w:hAnsi="宋体" w:cs="宋体"/>
          <w:sz w:val="24"/>
          <w:szCs w:val="24"/>
        </w:rPr>
        <w:t>2、终验：所有货物（设备）安装调试完毕，正常使用</w:t>
      </w:r>
      <w:r>
        <w:rPr>
          <w:rFonts w:hint="eastAsia" w:ascii="宋体" w:hAnsi="宋体" w:cs="宋体"/>
          <w:sz w:val="24"/>
          <w:szCs w:val="24"/>
          <w:u w:val="single"/>
        </w:rPr>
        <w:t>30</w:t>
      </w:r>
      <w:r>
        <w:rPr>
          <w:rFonts w:hint="eastAsia" w:ascii="宋体" w:hAnsi="宋体" w:cs="宋体"/>
          <w:sz w:val="24"/>
          <w:szCs w:val="24"/>
        </w:rPr>
        <w:t>个日历日后，乙方向甲方设备管理部门提交终验申请，并向甲方移交与设备相关的所有资料（包含但不限于：</w:t>
      </w:r>
      <w:r>
        <w:rPr>
          <w:rFonts w:hint="eastAsia" w:ascii="宋体" w:hAnsi="宋体" w:cs="宋体"/>
          <w:sz w:val="24"/>
        </w:rPr>
        <w:t>提供完整的操作手册和安装、调试、维修手册；提供制造厂家的检验测试报告或产品出厂检测报告等）</w:t>
      </w:r>
      <w:r>
        <w:rPr>
          <w:rFonts w:hint="eastAsia" w:ascii="宋体" w:hAnsi="宋体" w:cs="宋体"/>
          <w:sz w:val="24"/>
          <w:szCs w:val="24"/>
        </w:rPr>
        <w:t>，由设备管理部门组织相关部门进行验收，验收合格签定验收表作为终验。</w:t>
      </w:r>
    </w:p>
    <w:p w14:paraId="0234B71E">
      <w:pPr>
        <w:pStyle w:val="8"/>
        <w:spacing w:line="460" w:lineRule="exact"/>
        <w:ind w:firstLine="480" w:firstLineChars="200"/>
        <w:rPr>
          <w:rFonts w:ascii="宋体" w:hAnsi="宋体" w:cs="宋体"/>
          <w:sz w:val="24"/>
          <w:szCs w:val="24"/>
        </w:rPr>
      </w:pPr>
      <w:r>
        <w:rPr>
          <w:rFonts w:hint="eastAsia" w:ascii="宋体" w:hAnsi="宋体" w:cs="宋体"/>
          <w:sz w:val="24"/>
          <w:szCs w:val="24"/>
        </w:rPr>
        <w:t>3、验收不合格的，乙方必须在接到通知后</w:t>
      </w:r>
      <w:r>
        <w:rPr>
          <w:rFonts w:hint="eastAsia" w:ascii="宋体" w:hAnsi="宋体" w:cs="宋体"/>
          <w:sz w:val="24"/>
          <w:szCs w:val="24"/>
          <w:u w:val="single"/>
        </w:rPr>
        <w:t xml:space="preserve"> 5 </w:t>
      </w:r>
      <w:r>
        <w:rPr>
          <w:rFonts w:hint="eastAsia" w:ascii="宋体" w:hAnsi="宋体" w:cs="宋体"/>
          <w:sz w:val="24"/>
          <w:szCs w:val="24"/>
        </w:rPr>
        <w:t>个日历日内完成整改提交二次验收申请，并承担二次验收费用。若二次验收仍不合格，乙方需按合同金额</w:t>
      </w:r>
      <w:r>
        <w:rPr>
          <w:rFonts w:hint="eastAsia" w:ascii="宋体" w:hAnsi="宋体"/>
          <w:sz w:val="24"/>
        </w:rPr>
        <w:t>5%</w:t>
      </w:r>
      <w:r>
        <w:rPr>
          <w:rFonts w:hint="eastAsia" w:ascii="宋体" w:hAnsi="宋体" w:cs="宋体"/>
          <w:sz w:val="24"/>
          <w:szCs w:val="24"/>
        </w:rPr>
        <w:t>支付违约金，并可解除本合同，还应赔偿因此给甲方造成的损失。</w:t>
      </w:r>
    </w:p>
    <w:p w14:paraId="4CB804DF">
      <w:pPr>
        <w:tabs>
          <w:tab w:val="left" w:pos="5355"/>
        </w:tabs>
        <w:snapToGrid w:val="0"/>
        <w:spacing w:line="460" w:lineRule="exact"/>
        <w:ind w:firstLine="482" w:firstLineChars="200"/>
        <w:rPr>
          <w:rFonts w:ascii="宋体" w:hAnsi="宋体" w:cs="宋体"/>
          <w:b/>
          <w:sz w:val="24"/>
          <w:szCs w:val="24"/>
        </w:rPr>
      </w:pPr>
      <w:r>
        <w:rPr>
          <w:rFonts w:hint="eastAsia" w:ascii="宋体" w:hAnsi="宋体" w:cs="宋体"/>
          <w:b/>
          <w:sz w:val="24"/>
          <w:szCs w:val="24"/>
        </w:rPr>
        <w:t>十、合同争议的解决：</w:t>
      </w:r>
    </w:p>
    <w:p w14:paraId="113B9BA4">
      <w:pPr>
        <w:tabs>
          <w:tab w:val="left" w:pos="5355"/>
        </w:tabs>
        <w:snapToGrid w:val="0"/>
        <w:spacing w:line="460" w:lineRule="exact"/>
        <w:ind w:firstLine="480" w:firstLineChars="200"/>
        <w:rPr>
          <w:rFonts w:ascii="宋体" w:hAnsi="宋体" w:cs="宋体"/>
          <w:b/>
          <w:sz w:val="24"/>
          <w:szCs w:val="24"/>
        </w:rPr>
      </w:pPr>
      <w:r>
        <w:rPr>
          <w:rFonts w:ascii="宋体" w:hAnsi="宋体" w:cs="宋体"/>
          <w:sz w:val="24"/>
          <w:szCs w:val="24"/>
        </w:rPr>
        <w:t>1.</w:t>
      </w:r>
      <w:r>
        <w:rPr>
          <w:rFonts w:hint="eastAsia" w:ascii="宋体" w:hAnsi="宋体" w:cs="宋体"/>
          <w:sz w:val="24"/>
          <w:szCs w:val="24"/>
        </w:rPr>
        <w:t>合同一经签订，不得随意变更、中止或终止。对确需变更、调整或者中止、终止合同的，应按规定履行相应的手续。</w:t>
      </w:r>
    </w:p>
    <w:p w14:paraId="58AD1BED">
      <w:pPr>
        <w:tabs>
          <w:tab w:val="left" w:pos="5355"/>
        </w:tabs>
        <w:snapToGrid w:val="0"/>
        <w:spacing w:line="460" w:lineRule="exact"/>
        <w:ind w:firstLine="480" w:firstLineChars="200"/>
        <w:rPr>
          <w:rFonts w:ascii="宋体" w:hAnsi="宋体" w:cs="宋体"/>
          <w:sz w:val="24"/>
        </w:rPr>
      </w:pPr>
      <w:r>
        <w:rPr>
          <w:rFonts w:ascii="宋体" w:hAnsi="宋体" w:cs="宋体"/>
          <w:sz w:val="24"/>
        </w:rPr>
        <w:t>2.</w:t>
      </w:r>
      <w:r>
        <w:rPr>
          <w:rFonts w:hint="eastAsia" w:ascii="宋体" w:hAnsi="宋体" w:cs="宋体"/>
          <w:sz w:val="24"/>
        </w:rPr>
        <w:t>合同执行中发生争议的，甲、乙双方应协商解决，协商达不成一致时，可向甲方所在地人民法院提请诉讼。</w:t>
      </w:r>
    </w:p>
    <w:p w14:paraId="7804297B">
      <w:pPr>
        <w:tabs>
          <w:tab w:val="left" w:pos="5355"/>
        </w:tabs>
        <w:snapToGrid w:val="0"/>
        <w:spacing w:line="460" w:lineRule="exact"/>
        <w:ind w:firstLine="422" w:firstLineChars="175"/>
        <w:rPr>
          <w:rFonts w:ascii="宋体" w:hAnsi="宋体" w:cs="宋体"/>
          <w:b/>
          <w:sz w:val="24"/>
          <w:szCs w:val="24"/>
        </w:rPr>
      </w:pPr>
      <w:r>
        <w:rPr>
          <w:rFonts w:hint="eastAsia" w:ascii="宋体" w:hAnsi="宋体" w:cs="宋体"/>
          <w:b/>
          <w:sz w:val="24"/>
          <w:szCs w:val="24"/>
        </w:rPr>
        <w:t>十一、其它事项</w:t>
      </w:r>
    </w:p>
    <w:p w14:paraId="790C4A6C">
      <w:pPr>
        <w:adjustRightInd w:val="0"/>
        <w:snapToGrid w:val="0"/>
        <w:spacing w:line="460" w:lineRule="exact"/>
        <w:ind w:firstLine="600" w:firstLineChars="250"/>
        <w:rPr>
          <w:rFonts w:ascii="宋体" w:hAnsi="宋体" w:cs="宋体"/>
          <w:sz w:val="24"/>
        </w:rPr>
      </w:pPr>
      <w:r>
        <w:rPr>
          <w:rFonts w:hint="eastAsia" w:ascii="宋体" w:hAnsi="宋体" w:cs="宋体"/>
          <w:sz w:val="24"/>
        </w:rPr>
        <w:t>1、甲、乙双方做为合同执行的主体，有义务及时完全履行合同。招标代理机构陕西万泽招标有限公司监督履行。</w:t>
      </w:r>
    </w:p>
    <w:p w14:paraId="29B8562B">
      <w:pPr>
        <w:adjustRightInd w:val="0"/>
        <w:snapToGrid w:val="0"/>
        <w:spacing w:line="460" w:lineRule="exact"/>
        <w:ind w:firstLine="600" w:firstLineChars="250"/>
        <w:rPr>
          <w:rFonts w:ascii="宋体" w:hAnsi="宋体" w:cs="宋体"/>
          <w:sz w:val="24"/>
          <w:szCs w:val="24"/>
        </w:rPr>
      </w:pPr>
      <w:r>
        <w:rPr>
          <w:rFonts w:hint="eastAsia" w:ascii="宋体" w:hAnsi="宋体" w:cs="宋体"/>
          <w:sz w:val="24"/>
          <w:szCs w:val="24"/>
        </w:rPr>
        <w:t>2、按照本协议规定应该偿付的违约金、赔偿金和各种经济损失，应当在明确责任十天内，按照银行规定的结算办法付清，否则按逾期付款处理。</w:t>
      </w:r>
    </w:p>
    <w:p w14:paraId="4AB96519">
      <w:pPr>
        <w:adjustRightInd w:val="0"/>
        <w:snapToGrid w:val="0"/>
        <w:spacing w:line="460" w:lineRule="exact"/>
        <w:ind w:firstLine="600" w:firstLineChars="250"/>
        <w:rPr>
          <w:rFonts w:ascii="宋体" w:hAnsi="宋体" w:cs="宋体"/>
          <w:sz w:val="24"/>
        </w:rPr>
      </w:pPr>
      <w:r>
        <w:rPr>
          <w:rFonts w:hint="eastAsia" w:ascii="宋体" w:hAnsi="宋体" w:cs="宋体"/>
          <w:sz w:val="24"/>
        </w:rPr>
        <w:t>3、合同未尽事宜，由甲、乙双方协商，协商方案作为本合同不可分割的组成部分，与本合同具有同等法律效力。</w:t>
      </w:r>
    </w:p>
    <w:p w14:paraId="7433196C">
      <w:pPr>
        <w:adjustRightInd w:val="0"/>
        <w:snapToGrid w:val="0"/>
        <w:spacing w:line="460" w:lineRule="exact"/>
        <w:ind w:firstLine="600" w:firstLineChars="250"/>
        <w:rPr>
          <w:rFonts w:ascii="宋体" w:hAnsi="宋体" w:cs="宋体"/>
          <w:sz w:val="24"/>
        </w:rPr>
      </w:pPr>
      <w:r>
        <w:rPr>
          <w:rFonts w:hint="eastAsia" w:ascii="宋体" w:hAnsi="宋体" w:cs="宋体"/>
          <w:sz w:val="24"/>
        </w:rPr>
        <w:t>4、招标文件和乙方的投标文件以及合同附件均为合同不可分割的部分。</w:t>
      </w:r>
    </w:p>
    <w:p w14:paraId="690BB6B4">
      <w:pPr>
        <w:adjustRightInd w:val="0"/>
        <w:snapToGrid w:val="0"/>
        <w:spacing w:line="460" w:lineRule="exact"/>
        <w:ind w:firstLine="600" w:firstLineChars="250"/>
        <w:rPr>
          <w:rFonts w:ascii="宋体" w:hAnsi="宋体" w:cs="宋体"/>
          <w:sz w:val="24"/>
          <w:szCs w:val="24"/>
        </w:rPr>
      </w:pPr>
      <w:r>
        <w:rPr>
          <w:rFonts w:hint="eastAsia" w:ascii="宋体" w:hAnsi="宋体" w:cs="宋体"/>
          <w:sz w:val="24"/>
        </w:rPr>
        <w:t>5、合同一式陆份，甲方持肆份、乙方执壹份，招标代理机构壹份。双方签字盖章后生效，合同执行完毕自动终止。（合同的服务承诺长期有效）。</w:t>
      </w:r>
    </w:p>
    <w:p w14:paraId="450CE34C">
      <w:pPr>
        <w:adjustRightInd w:val="0"/>
        <w:snapToGrid w:val="0"/>
        <w:spacing w:line="460" w:lineRule="exact"/>
        <w:ind w:firstLine="600" w:firstLineChars="250"/>
        <w:rPr>
          <w:rFonts w:ascii="宋体" w:hAnsi="宋体" w:cs="宋体"/>
          <w:sz w:val="24"/>
        </w:rPr>
      </w:pPr>
      <w:r>
        <w:rPr>
          <w:rFonts w:hint="eastAsia" w:ascii="宋体" w:hAnsi="宋体" w:cs="宋体"/>
          <w:sz w:val="24"/>
        </w:rPr>
        <w:t>6、因产品质量及售后服务、售后服务质量所造成的医疗事故或纠纷，乙方负全部法律及经济责任。</w:t>
      </w:r>
    </w:p>
    <w:p w14:paraId="084AF163">
      <w:pPr>
        <w:adjustRightInd w:val="0"/>
        <w:snapToGrid w:val="0"/>
        <w:spacing w:line="460" w:lineRule="exact"/>
        <w:rPr>
          <w:rFonts w:ascii="宋体" w:hAnsi="宋体" w:cs="宋体"/>
          <w:sz w:val="24"/>
        </w:rPr>
      </w:pPr>
      <w:r>
        <w:rPr>
          <w:rFonts w:hint="eastAsia" w:ascii="宋体" w:hAnsi="宋体" w:cs="宋体"/>
          <w:sz w:val="24"/>
        </w:rPr>
        <w:t xml:space="preserve">    7、本“合同附件”附后：设备的基本配置清单。</w:t>
      </w:r>
    </w:p>
    <w:p w14:paraId="5A9CB5D9">
      <w:pPr>
        <w:tabs>
          <w:tab w:val="left" w:pos="5355"/>
        </w:tabs>
        <w:spacing w:line="460" w:lineRule="exact"/>
        <w:rPr>
          <w:rFonts w:ascii="宋体" w:hAnsi="宋体" w:cs="宋体"/>
        </w:rPr>
      </w:pPr>
      <w:r>
        <w:rPr>
          <w:rFonts w:hint="eastAsia" w:ascii="宋体" w:hAnsi="宋体" w:cs="宋体"/>
          <w:sz w:val="24"/>
        </w:rPr>
        <w:t xml:space="preserve">    8、使用单位收货、验货人员：____________  电话：_______________</w:t>
      </w:r>
    </w:p>
    <w:tbl>
      <w:tblPr>
        <w:tblStyle w:val="9"/>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0"/>
        <w:gridCol w:w="4560"/>
      </w:tblGrid>
      <w:tr w14:paraId="262F7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4560" w:type="dxa"/>
            <w:tcBorders>
              <w:top w:val="single" w:color="auto" w:sz="4" w:space="0"/>
              <w:left w:val="single" w:color="auto" w:sz="4" w:space="0"/>
              <w:bottom w:val="single" w:color="auto" w:sz="4" w:space="0"/>
              <w:right w:val="single" w:color="auto" w:sz="4" w:space="0"/>
            </w:tcBorders>
            <w:noWrap w:val="0"/>
            <w:vAlign w:val="center"/>
          </w:tcPr>
          <w:p w14:paraId="66C3953B">
            <w:pPr>
              <w:snapToGrid w:val="0"/>
              <w:spacing w:line="300" w:lineRule="auto"/>
              <w:rPr>
                <w:rFonts w:ascii="宋体" w:hAnsi="宋体" w:cs="宋体"/>
                <w:sz w:val="24"/>
              </w:rPr>
            </w:pPr>
            <w:r>
              <w:rPr>
                <w:rFonts w:hint="eastAsia" w:ascii="宋体" w:hAnsi="宋体" w:cs="宋体"/>
                <w:sz w:val="24"/>
              </w:rPr>
              <w:t>甲方：</w:t>
            </w:r>
          </w:p>
        </w:tc>
        <w:tc>
          <w:tcPr>
            <w:tcW w:w="4560" w:type="dxa"/>
            <w:tcBorders>
              <w:top w:val="single" w:color="auto" w:sz="4" w:space="0"/>
              <w:left w:val="single" w:color="auto" w:sz="4" w:space="0"/>
              <w:bottom w:val="single" w:color="auto" w:sz="4" w:space="0"/>
              <w:right w:val="single" w:color="auto" w:sz="4" w:space="0"/>
            </w:tcBorders>
            <w:noWrap w:val="0"/>
            <w:vAlign w:val="center"/>
          </w:tcPr>
          <w:p w14:paraId="1348C31C">
            <w:pPr>
              <w:snapToGrid w:val="0"/>
              <w:spacing w:line="300" w:lineRule="auto"/>
              <w:rPr>
                <w:rFonts w:ascii="宋体" w:hAnsi="宋体" w:cs="宋体"/>
                <w:sz w:val="24"/>
              </w:rPr>
            </w:pPr>
            <w:r>
              <w:rPr>
                <w:rFonts w:hint="eastAsia" w:ascii="宋体" w:hAnsi="宋体" w:cs="宋体"/>
                <w:sz w:val="24"/>
              </w:rPr>
              <w:t>乙方：</w:t>
            </w:r>
          </w:p>
        </w:tc>
      </w:tr>
      <w:tr w14:paraId="6FF97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4560" w:type="dxa"/>
            <w:tcBorders>
              <w:top w:val="single" w:color="auto" w:sz="4" w:space="0"/>
              <w:left w:val="single" w:color="auto" w:sz="4" w:space="0"/>
              <w:bottom w:val="single" w:color="auto" w:sz="4" w:space="0"/>
              <w:right w:val="single" w:color="auto" w:sz="4" w:space="0"/>
            </w:tcBorders>
            <w:noWrap w:val="0"/>
            <w:vAlign w:val="center"/>
          </w:tcPr>
          <w:p w14:paraId="5ECDDF29">
            <w:pPr>
              <w:snapToGrid w:val="0"/>
              <w:spacing w:line="300" w:lineRule="auto"/>
              <w:rPr>
                <w:rFonts w:ascii="宋体" w:hAnsi="宋体" w:cs="宋体"/>
                <w:sz w:val="24"/>
              </w:rPr>
            </w:pPr>
            <w:r>
              <w:rPr>
                <w:rFonts w:hint="eastAsia" w:ascii="宋体" w:hAnsi="宋体" w:cs="宋体"/>
                <w:sz w:val="24"/>
              </w:rPr>
              <w:t>地址：</w:t>
            </w:r>
          </w:p>
        </w:tc>
        <w:tc>
          <w:tcPr>
            <w:tcW w:w="4560" w:type="dxa"/>
            <w:tcBorders>
              <w:top w:val="single" w:color="auto" w:sz="4" w:space="0"/>
              <w:left w:val="single" w:color="auto" w:sz="4" w:space="0"/>
              <w:bottom w:val="single" w:color="auto" w:sz="4" w:space="0"/>
              <w:right w:val="single" w:color="auto" w:sz="4" w:space="0"/>
            </w:tcBorders>
            <w:noWrap w:val="0"/>
            <w:vAlign w:val="center"/>
          </w:tcPr>
          <w:p w14:paraId="27B2B989">
            <w:pPr>
              <w:snapToGrid w:val="0"/>
              <w:spacing w:line="300" w:lineRule="auto"/>
              <w:rPr>
                <w:rFonts w:ascii="宋体" w:hAnsi="宋体" w:cs="宋体"/>
                <w:sz w:val="24"/>
              </w:rPr>
            </w:pPr>
            <w:r>
              <w:rPr>
                <w:rFonts w:hint="eastAsia" w:ascii="宋体" w:hAnsi="宋体" w:cs="宋体"/>
                <w:sz w:val="24"/>
              </w:rPr>
              <w:t>地址：</w:t>
            </w:r>
          </w:p>
        </w:tc>
      </w:tr>
      <w:tr w14:paraId="4F300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4560" w:type="dxa"/>
            <w:tcBorders>
              <w:top w:val="single" w:color="auto" w:sz="4" w:space="0"/>
              <w:left w:val="single" w:color="auto" w:sz="4" w:space="0"/>
              <w:bottom w:val="single" w:color="auto" w:sz="4" w:space="0"/>
              <w:right w:val="single" w:color="auto" w:sz="4" w:space="0"/>
            </w:tcBorders>
            <w:noWrap w:val="0"/>
            <w:vAlign w:val="center"/>
          </w:tcPr>
          <w:p w14:paraId="28345FF9">
            <w:pPr>
              <w:snapToGrid w:val="0"/>
              <w:spacing w:line="300" w:lineRule="auto"/>
              <w:rPr>
                <w:rFonts w:ascii="宋体" w:hAnsi="宋体" w:cs="宋体"/>
                <w:sz w:val="24"/>
              </w:rPr>
            </w:pPr>
            <w:r>
              <w:rPr>
                <w:rFonts w:hint="eastAsia" w:ascii="宋体" w:hAnsi="宋体" w:cs="宋体"/>
                <w:sz w:val="24"/>
              </w:rPr>
              <w:t>代理人：</w:t>
            </w:r>
          </w:p>
        </w:tc>
        <w:tc>
          <w:tcPr>
            <w:tcW w:w="4560" w:type="dxa"/>
            <w:tcBorders>
              <w:top w:val="single" w:color="auto" w:sz="4" w:space="0"/>
              <w:left w:val="single" w:color="auto" w:sz="4" w:space="0"/>
              <w:bottom w:val="single" w:color="auto" w:sz="4" w:space="0"/>
              <w:right w:val="single" w:color="auto" w:sz="4" w:space="0"/>
            </w:tcBorders>
            <w:noWrap w:val="0"/>
            <w:vAlign w:val="center"/>
          </w:tcPr>
          <w:p w14:paraId="27F05FAA">
            <w:pPr>
              <w:tabs>
                <w:tab w:val="left" w:pos="5355"/>
              </w:tabs>
              <w:snapToGrid w:val="0"/>
              <w:spacing w:line="300" w:lineRule="auto"/>
              <w:rPr>
                <w:rFonts w:ascii="宋体" w:hAnsi="宋体" w:cs="宋体"/>
                <w:sz w:val="24"/>
              </w:rPr>
            </w:pPr>
            <w:r>
              <w:rPr>
                <w:rFonts w:hint="eastAsia" w:ascii="宋体" w:hAnsi="宋体" w:cs="宋体"/>
                <w:sz w:val="24"/>
              </w:rPr>
              <w:t>代理人：</w:t>
            </w:r>
          </w:p>
        </w:tc>
      </w:tr>
      <w:tr w14:paraId="3BB48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4560" w:type="dxa"/>
            <w:tcBorders>
              <w:top w:val="single" w:color="auto" w:sz="4" w:space="0"/>
              <w:left w:val="single" w:color="auto" w:sz="4" w:space="0"/>
              <w:bottom w:val="single" w:color="auto" w:sz="4" w:space="0"/>
              <w:right w:val="single" w:color="auto" w:sz="4" w:space="0"/>
            </w:tcBorders>
            <w:noWrap w:val="0"/>
            <w:vAlign w:val="center"/>
          </w:tcPr>
          <w:p w14:paraId="70F58B8A">
            <w:pPr>
              <w:snapToGrid w:val="0"/>
              <w:spacing w:line="300" w:lineRule="auto"/>
              <w:rPr>
                <w:rFonts w:ascii="宋体" w:hAnsi="宋体" w:cs="宋体"/>
                <w:sz w:val="24"/>
              </w:rPr>
            </w:pPr>
            <w:r>
              <w:rPr>
                <w:rFonts w:hint="eastAsia" w:ascii="宋体" w:hAnsi="宋体" w:cs="宋体"/>
                <w:sz w:val="24"/>
              </w:rPr>
              <w:t>技术确认：</w:t>
            </w:r>
          </w:p>
        </w:tc>
        <w:tc>
          <w:tcPr>
            <w:tcW w:w="4560" w:type="dxa"/>
            <w:tcBorders>
              <w:top w:val="single" w:color="auto" w:sz="4" w:space="0"/>
              <w:left w:val="single" w:color="auto" w:sz="4" w:space="0"/>
              <w:bottom w:val="single" w:color="auto" w:sz="4" w:space="0"/>
              <w:right w:val="single" w:color="auto" w:sz="4" w:space="0"/>
            </w:tcBorders>
            <w:noWrap w:val="0"/>
            <w:vAlign w:val="center"/>
          </w:tcPr>
          <w:p w14:paraId="37D287BA">
            <w:pPr>
              <w:tabs>
                <w:tab w:val="left" w:pos="5355"/>
              </w:tabs>
              <w:snapToGrid w:val="0"/>
              <w:spacing w:line="300" w:lineRule="auto"/>
              <w:rPr>
                <w:rFonts w:ascii="宋体" w:hAnsi="宋体" w:cs="宋体"/>
                <w:sz w:val="24"/>
              </w:rPr>
            </w:pPr>
            <w:r>
              <w:rPr>
                <w:rFonts w:hint="eastAsia" w:ascii="宋体" w:hAnsi="宋体" w:cs="宋体"/>
                <w:sz w:val="24"/>
              </w:rPr>
              <w:t>技术确认：</w:t>
            </w:r>
          </w:p>
        </w:tc>
      </w:tr>
      <w:tr w14:paraId="2B7F2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4560" w:type="dxa"/>
            <w:tcBorders>
              <w:top w:val="single" w:color="auto" w:sz="4" w:space="0"/>
              <w:left w:val="single" w:color="auto" w:sz="4" w:space="0"/>
              <w:bottom w:val="single" w:color="auto" w:sz="4" w:space="0"/>
              <w:right w:val="single" w:color="auto" w:sz="4" w:space="0"/>
            </w:tcBorders>
            <w:noWrap w:val="0"/>
            <w:vAlign w:val="center"/>
          </w:tcPr>
          <w:p w14:paraId="09C2D81A">
            <w:pPr>
              <w:snapToGrid w:val="0"/>
              <w:spacing w:line="300" w:lineRule="auto"/>
              <w:rPr>
                <w:rFonts w:ascii="宋体" w:hAnsi="宋体" w:cs="宋体"/>
                <w:sz w:val="24"/>
              </w:rPr>
            </w:pPr>
            <w:r>
              <w:rPr>
                <w:rFonts w:hint="eastAsia" w:ascii="宋体" w:hAnsi="宋体" w:cs="宋体"/>
                <w:sz w:val="24"/>
              </w:rPr>
              <w:t>联系电话：</w:t>
            </w:r>
          </w:p>
        </w:tc>
        <w:tc>
          <w:tcPr>
            <w:tcW w:w="4560" w:type="dxa"/>
            <w:tcBorders>
              <w:top w:val="single" w:color="auto" w:sz="4" w:space="0"/>
              <w:left w:val="single" w:color="auto" w:sz="4" w:space="0"/>
              <w:bottom w:val="single" w:color="auto" w:sz="4" w:space="0"/>
              <w:right w:val="single" w:color="auto" w:sz="4" w:space="0"/>
            </w:tcBorders>
            <w:noWrap w:val="0"/>
            <w:vAlign w:val="center"/>
          </w:tcPr>
          <w:p w14:paraId="4A77BE16">
            <w:pPr>
              <w:snapToGrid w:val="0"/>
              <w:spacing w:line="300" w:lineRule="auto"/>
              <w:rPr>
                <w:rFonts w:ascii="宋体" w:hAnsi="宋体" w:cs="宋体"/>
                <w:sz w:val="24"/>
              </w:rPr>
            </w:pPr>
            <w:r>
              <w:rPr>
                <w:rFonts w:hint="eastAsia" w:ascii="宋体" w:hAnsi="宋体" w:cs="宋体"/>
                <w:sz w:val="24"/>
              </w:rPr>
              <w:t>联系电话：</w:t>
            </w:r>
          </w:p>
        </w:tc>
      </w:tr>
      <w:tr w14:paraId="720F5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4560" w:type="dxa"/>
            <w:tcBorders>
              <w:top w:val="single" w:color="auto" w:sz="4" w:space="0"/>
              <w:left w:val="single" w:color="auto" w:sz="4" w:space="0"/>
              <w:bottom w:val="single" w:color="auto" w:sz="4" w:space="0"/>
              <w:right w:val="single" w:color="auto" w:sz="4" w:space="0"/>
            </w:tcBorders>
            <w:noWrap w:val="0"/>
            <w:vAlign w:val="center"/>
          </w:tcPr>
          <w:p w14:paraId="7561F0EC">
            <w:pPr>
              <w:snapToGrid w:val="0"/>
              <w:spacing w:line="300" w:lineRule="auto"/>
              <w:rPr>
                <w:rFonts w:ascii="宋体" w:hAnsi="宋体" w:cs="宋体"/>
                <w:sz w:val="24"/>
              </w:rPr>
            </w:pPr>
            <w:r>
              <w:rPr>
                <w:rFonts w:hint="eastAsia" w:ascii="宋体" w:hAnsi="宋体" w:cs="宋体"/>
                <w:sz w:val="24"/>
              </w:rPr>
              <w:t>开户行：</w:t>
            </w:r>
          </w:p>
        </w:tc>
        <w:tc>
          <w:tcPr>
            <w:tcW w:w="4560" w:type="dxa"/>
            <w:tcBorders>
              <w:top w:val="single" w:color="auto" w:sz="4" w:space="0"/>
              <w:left w:val="single" w:color="auto" w:sz="4" w:space="0"/>
              <w:bottom w:val="single" w:color="auto" w:sz="4" w:space="0"/>
              <w:right w:val="single" w:color="auto" w:sz="4" w:space="0"/>
            </w:tcBorders>
            <w:noWrap w:val="0"/>
            <w:vAlign w:val="center"/>
          </w:tcPr>
          <w:p w14:paraId="5F013FF9">
            <w:pPr>
              <w:tabs>
                <w:tab w:val="left" w:pos="5355"/>
              </w:tabs>
              <w:snapToGrid w:val="0"/>
              <w:spacing w:line="300" w:lineRule="auto"/>
              <w:rPr>
                <w:rFonts w:ascii="宋体" w:hAnsi="宋体" w:cs="宋体"/>
                <w:sz w:val="24"/>
              </w:rPr>
            </w:pPr>
            <w:r>
              <w:rPr>
                <w:rFonts w:hint="eastAsia" w:ascii="宋体" w:hAnsi="宋体" w:cs="宋体"/>
                <w:sz w:val="24"/>
              </w:rPr>
              <w:t>开户行：</w:t>
            </w:r>
          </w:p>
        </w:tc>
      </w:tr>
      <w:tr w14:paraId="06B95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4560" w:type="dxa"/>
            <w:tcBorders>
              <w:top w:val="single" w:color="auto" w:sz="4" w:space="0"/>
              <w:left w:val="single" w:color="auto" w:sz="4" w:space="0"/>
              <w:bottom w:val="single" w:color="auto" w:sz="4" w:space="0"/>
              <w:right w:val="single" w:color="auto" w:sz="4" w:space="0"/>
            </w:tcBorders>
            <w:noWrap w:val="0"/>
            <w:vAlign w:val="center"/>
          </w:tcPr>
          <w:p w14:paraId="53AF081D">
            <w:pPr>
              <w:snapToGrid w:val="0"/>
              <w:spacing w:line="300" w:lineRule="auto"/>
              <w:rPr>
                <w:rFonts w:ascii="宋体" w:hAnsi="宋体" w:cs="宋体"/>
                <w:sz w:val="24"/>
              </w:rPr>
            </w:pPr>
            <w:r>
              <w:rPr>
                <w:rFonts w:hint="eastAsia" w:ascii="宋体" w:hAnsi="宋体" w:cs="宋体"/>
                <w:sz w:val="24"/>
              </w:rPr>
              <w:t>账号：</w:t>
            </w:r>
          </w:p>
        </w:tc>
        <w:tc>
          <w:tcPr>
            <w:tcW w:w="4560" w:type="dxa"/>
            <w:tcBorders>
              <w:top w:val="single" w:color="auto" w:sz="4" w:space="0"/>
              <w:left w:val="single" w:color="auto" w:sz="4" w:space="0"/>
              <w:bottom w:val="single" w:color="auto" w:sz="4" w:space="0"/>
              <w:right w:val="single" w:color="auto" w:sz="4" w:space="0"/>
            </w:tcBorders>
            <w:noWrap w:val="0"/>
            <w:vAlign w:val="center"/>
          </w:tcPr>
          <w:p w14:paraId="61D2D347">
            <w:pPr>
              <w:tabs>
                <w:tab w:val="left" w:pos="5355"/>
              </w:tabs>
              <w:snapToGrid w:val="0"/>
              <w:spacing w:line="300" w:lineRule="auto"/>
              <w:rPr>
                <w:rFonts w:ascii="宋体" w:hAnsi="宋体" w:cs="宋体"/>
                <w:sz w:val="24"/>
              </w:rPr>
            </w:pPr>
            <w:r>
              <w:rPr>
                <w:rFonts w:hint="eastAsia" w:ascii="宋体" w:hAnsi="宋体" w:cs="宋体"/>
                <w:sz w:val="24"/>
              </w:rPr>
              <w:t>账号：</w:t>
            </w:r>
          </w:p>
        </w:tc>
      </w:tr>
      <w:tr w14:paraId="3B62C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4560" w:type="dxa"/>
            <w:tcBorders>
              <w:top w:val="single" w:color="auto" w:sz="4" w:space="0"/>
              <w:left w:val="single" w:color="auto" w:sz="4" w:space="0"/>
              <w:bottom w:val="single" w:color="auto" w:sz="4" w:space="0"/>
              <w:right w:val="single" w:color="auto" w:sz="4" w:space="0"/>
            </w:tcBorders>
            <w:noWrap w:val="0"/>
            <w:vAlign w:val="center"/>
          </w:tcPr>
          <w:p w14:paraId="4CDD1632">
            <w:pPr>
              <w:snapToGrid w:val="0"/>
              <w:spacing w:line="300" w:lineRule="auto"/>
              <w:rPr>
                <w:rFonts w:ascii="宋体" w:hAnsi="宋体" w:cs="宋体"/>
                <w:sz w:val="24"/>
              </w:rPr>
            </w:pPr>
            <w:r>
              <w:rPr>
                <w:rFonts w:hint="eastAsia" w:ascii="宋体" w:hAnsi="宋体" w:cs="宋体"/>
                <w:sz w:val="24"/>
              </w:rPr>
              <w:t>日期：年 月  日</w:t>
            </w:r>
          </w:p>
        </w:tc>
        <w:tc>
          <w:tcPr>
            <w:tcW w:w="4560" w:type="dxa"/>
            <w:tcBorders>
              <w:top w:val="single" w:color="auto" w:sz="4" w:space="0"/>
              <w:left w:val="single" w:color="auto" w:sz="4" w:space="0"/>
              <w:bottom w:val="single" w:color="auto" w:sz="4" w:space="0"/>
              <w:right w:val="single" w:color="auto" w:sz="4" w:space="0"/>
            </w:tcBorders>
            <w:noWrap w:val="0"/>
            <w:vAlign w:val="center"/>
          </w:tcPr>
          <w:p w14:paraId="766835FE">
            <w:pPr>
              <w:snapToGrid w:val="0"/>
              <w:spacing w:line="300" w:lineRule="auto"/>
              <w:rPr>
                <w:rFonts w:ascii="宋体" w:hAnsi="宋体" w:cs="宋体"/>
                <w:sz w:val="24"/>
              </w:rPr>
            </w:pPr>
            <w:r>
              <w:rPr>
                <w:rFonts w:hint="eastAsia" w:ascii="宋体" w:hAnsi="宋体" w:cs="宋体"/>
                <w:sz w:val="24"/>
              </w:rPr>
              <w:t>日期：年 月 日</w:t>
            </w:r>
          </w:p>
        </w:tc>
      </w:tr>
    </w:tbl>
    <w:p w14:paraId="63C8BA5C">
      <w:pPr>
        <w:pStyle w:val="11"/>
      </w:pPr>
      <w:r>
        <w:t xml:space="preserve"> </w:t>
      </w:r>
    </w:p>
    <w:p w14:paraId="16A52C11">
      <w:pPr>
        <w:pStyle w:val="11"/>
        <w:rPr>
          <w:rFonts w:hint="eastAsia"/>
          <w:lang w:val="en-US" w:eastAsia="zh-Hans"/>
        </w:rPr>
      </w:pPr>
    </w:p>
    <w:p w14:paraId="1D8324AF">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FA795">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5B93CB">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25B93CB">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6724DA"/>
    <w:multiLevelType w:val="singleLevel"/>
    <w:tmpl w:val="596724DA"/>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241C84"/>
    <w:rsid w:val="14241C84"/>
    <w:rsid w:val="3E1D0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pPr>
    <w:rPr>
      <w:szCs w:val="20"/>
    </w:rPr>
  </w:style>
  <w:style w:type="paragraph" w:styleId="3">
    <w:name w:val="Body Text First Indent 2"/>
    <w:basedOn w:val="4"/>
    <w:unhideWhenUsed/>
    <w:qFormat/>
    <w:uiPriority w:val="0"/>
    <w:pPr>
      <w:ind w:firstLine="420" w:firstLineChars="200"/>
    </w:pPr>
    <w:rPr>
      <w:szCs w:val="20"/>
    </w:rPr>
  </w:style>
  <w:style w:type="paragraph" w:styleId="4">
    <w:name w:val="Body Text Indent"/>
    <w:basedOn w:val="1"/>
    <w:qFormat/>
    <w:uiPriority w:val="99"/>
    <w:pPr>
      <w:ind w:left="420" w:leftChars="200"/>
    </w:pPr>
  </w:style>
  <w:style w:type="paragraph" w:styleId="5">
    <w:name w:val="Body Text"/>
    <w:basedOn w:val="1"/>
    <w:next w:val="1"/>
    <w:qFormat/>
    <w:uiPriority w:val="0"/>
    <w:rPr>
      <w:color w:val="993300"/>
      <w:kern w:val="0"/>
      <w:sz w:val="24"/>
      <w:szCs w:val="24"/>
    </w:rPr>
  </w:style>
  <w:style w:type="paragraph" w:styleId="6">
    <w:name w:val="Plain Text"/>
    <w:basedOn w:val="1"/>
    <w:qFormat/>
    <w:uiPriority w:val="99"/>
    <w:rPr>
      <w:rFonts w:ascii="宋体" w:hAnsi="Courier New"/>
      <w:szCs w:val="21"/>
    </w:rPr>
  </w:style>
  <w:style w:type="paragraph" w:styleId="7">
    <w:name w:val="footer"/>
    <w:basedOn w:val="1"/>
    <w:qFormat/>
    <w:uiPriority w:val="99"/>
    <w:pPr>
      <w:tabs>
        <w:tab w:val="center" w:pos="4153"/>
        <w:tab w:val="right" w:pos="8306"/>
      </w:tabs>
      <w:snapToGrid w:val="0"/>
      <w:jc w:val="left"/>
    </w:pPr>
    <w:rPr>
      <w:rFonts w:ascii="Times New Roman"/>
      <w:kern w:val="2"/>
      <w:sz w:val="18"/>
      <w:szCs w:val="18"/>
    </w:rPr>
  </w:style>
  <w:style w:type="paragraph" w:styleId="8">
    <w:name w:val="Body Text Indent 3"/>
    <w:basedOn w:val="1"/>
    <w:qFormat/>
    <w:uiPriority w:val="99"/>
    <w:pPr>
      <w:tabs>
        <w:tab w:val="left" w:pos="12780"/>
      </w:tabs>
      <w:spacing w:line="480" w:lineRule="atLeast"/>
      <w:ind w:firstLine="570"/>
    </w:pPr>
    <w:rPr>
      <w:sz w:val="16"/>
      <w:szCs w:val="16"/>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1477</Words>
  <Characters>1709</Characters>
  <Lines>0</Lines>
  <Paragraphs>0</Paragraphs>
  <TotalTime>0</TotalTime>
  <ScaleCrop>false</ScaleCrop>
  <LinksUpToDate>false</LinksUpToDate>
  <CharactersWithSpaces>1823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2024-11-19T08:15:00Z</dcterms:created>
  <dc:creator>  </dc:creator>
  <cp:lastModifiedBy>  </cp:lastModifiedBy>
  <dcterms:modified xsi:type="dcterms:W3CDTF">2024-11-19T08:30:32Z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2DC723460FBB4AB9BB1E2A40C64DC7F9_13</vt:lpwstr>
  </property>
</Properties>
</file>