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版本号：241119001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高清电子支气管镜系统采购项目</w:t>
      </w:r>
    </w:p>
    <w:p>
      <w:pPr>
        <w:pStyle w:val="null3"/>
        <w:jc w:val="center"/>
        <w:outlineLvl w:val="2"/>
      </w:pPr>
      <w:r>
        <w:rPr>
          <w:sz w:val="28"/>
          <w:b/>
        </w:rPr>
        <w:t>采购项目编号：</w:t>
      </w:r>
      <w:r>
        <w:rPr>
          <w:sz w:val="28"/>
          <w:b/>
        </w:rPr>
        <w:t>SXWZ2024ZB-BJYY-294</w:t>
      </w:r>
      <w:r>
        <w:br/>
      </w:r>
      <w:r>
        <w:br/>
      </w:r>
      <w:r>
        <w:br/>
      </w:r>
    </w:p>
    <w:p>
      <w:pPr>
        <w:pStyle w:val="null3"/>
        <w:jc w:val="center"/>
        <w:outlineLvl w:val="2"/>
      </w:pPr>
      <w:r>
        <w:rPr>
          <w:sz w:val="28"/>
          <w:b/>
        </w:rPr>
        <w:t>西安医学院附属宝鸡医院</w:t>
      </w:r>
    </w:p>
    <w:p>
      <w:pPr>
        <w:pStyle w:val="null3"/>
        <w:jc w:val="center"/>
        <w:outlineLvl w:val="2"/>
      </w:pPr>
      <w:r>
        <w:rPr>
          <w:sz w:val="28"/>
          <w:b/>
        </w:rPr>
        <w:t>陕西万泽招标有限公司</w:t>
      </w:r>
      <w:r>
        <w:rPr>
          <w:sz w:val="28"/>
          <w:b/>
        </w:rPr>
        <w:t>共同编制</w:t>
      </w:r>
    </w:p>
    <w:p>
      <w:pPr>
        <w:pStyle w:val="null3"/>
        <w:jc w:val="center"/>
        <w:outlineLvl w:val="2"/>
      </w:pPr>
      <w:r>
        <w:rPr>
          <w:sz w:val="28"/>
          <w:b/>
        </w:rPr>
        <w:t>2024年11月19日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陕西万泽招标有限公司</w:t>
      </w:r>
      <w:r>
        <w:rPr/>
        <w:t>（以下简称“代理机构”）受</w:t>
      </w:r>
      <w:r>
        <w:rPr/>
        <w:t>西安医学院附属宝鸡医院</w:t>
      </w:r>
      <w:r>
        <w:rPr/>
        <w:t>委托，拟对</w:t>
      </w:r>
      <w:r>
        <w:rPr/>
        <w:t>高清电子支气管镜系统采购项目</w:t>
      </w:r>
      <w:r>
        <w:rPr/>
        <w:t>进行国内公开招标，兹邀请符合本次招标要求的供应商参加投标。</w:t>
      </w:r>
    </w:p>
    <w:p>
      <w:pPr>
        <w:pStyle w:val="null3"/>
        <w:outlineLvl w:val="2"/>
      </w:pPr>
      <w:r>
        <w:rPr>
          <w:sz w:val="28"/>
          <w:b/>
        </w:rPr>
        <w:t>一、采购项目编号：</w:t>
      </w:r>
      <w:r>
        <w:rPr>
          <w:sz w:val="28"/>
          <w:b/>
        </w:rPr>
        <w:t>SXWZ2024ZB-BJYY-294</w:t>
      </w:r>
    </w:p>
    <w:p>
      <w:pPr>
        <w:pStyle w:val="null3"/>
        <w:outlineLvl w:val="2"/>
      </w:pPr>
      <w:r>
        <w:rPr>
          <w:sz w:val="28"/>
          <w:b/>
        </w:rPr>
        <w:t>二、采购项目名称：</w:t>
      </w:r>
      <w:r>
        <w:rPr>
          <w:sz w:val="28"/>
          <w:b/>
        </w:rPr>
        <w:t>高清电子支气管镜系统采购项目</w:t>
      </w:r>
    </w:p>
    <w:p>
      <w:pPr>
        <w:pStyle w:val="null3"/>
        <w:outlineLvl w:val="2"/>
      </w:pPr>
      <w:r>
        <w:rPr>
          <w:sz w:val="28"/>
          <w:b/>
        </w:rPr>
        <w:t>三、招标项目简介</w:t>
      </w:r>
    </w:p>
    <w:p>
      <w:pPr>
        <w:pStyle w:val="null3"/>
        <w:ind w:firstLine="480"/>
      </w:pPr>
      <w:r>
        <w:rPr/>
        <w:t>项目名称：高清电子支气管镜系统采购项目 采购方式：公开招标 预算金额：130万元。 采购需求：详见采购需求附件 合同履行期限：交货期：进口产品合同签订后90日历日，国产产品合同签订后60日历日。 本项目是否接受联合体投标：不接受联合体投标；</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1、有效的主体资格证明：提供合格有效的法人或其他组织的营业执照等证明文件，自然人参与的提供其身份证</w:t>
      </w:r>
    </w:p>
    <w:p>
      <w:pPr>
        <w:pStyle w:val="null3"/>
      </w:pPr>
      <w:r>
        <w:rPr/>
        <w:t>2、法定代表人委托授权书：非法定代表人参加投标的，须提供法定代表人授权委托书及被授权人身份证；法定代表人参加投标时,只须提供法定代表人身份证；</w:t>
      </w:r>
    </w:p>
    <w:p>
      <w:pPr>
        <w:pStyle w:val="null3"/>
      </w:pPr>
      <w:r>
        <w:rPr/>
        <w:t>3、无重大违法记录的书面声明：投标人应出具参加政府采购活动前3年内在经营活动中没有重大违法记录的书面声明</w:t>
      </w:r>
    </w:p>
    <w:p>
      <w:pPr>
        <w:pStyle w:val="null3"/>
      </w:pPr>
      <w:r>
        <w:rPr/>
        <w:t>4、供应商信誉证明：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t>5、财务状况证明：提供经会计师事务所审计的2023年财务审计报告，或在开标日期前六个月内其基本开户银行出具的资信证明；</w:t>
      </w:r>
    </w:p>
    <w:p>
      <w:pPr>
        <w:pStyle w:val="null3"/>
      </w:pPr>
      <w:r>
        <w:rPr/>
        <w:t>6、社保缴纳证明：提供已缴存的2024年1月1日以来至少一个月的社会保障资金缴存单据或社保机构开具的社会保险参保缴费情况证明。依法不需要缴纳社会保障资金的供应商应提供相关文件证明</w:t>
      </w:r>
    </w:p>
    <w:p>
      <w:pPr>
        <w:pStyle w:val="null3"/>
      </w:pPr>
      <w:r>
        <w:rPr/>
        <w:t>7、税收缴纳证明：提供已缴纳的2024年1月1日以来至少一个月的纳税证明或完税证明（提供增值税、企业所得税至少一种），纳税证明或完税证明上应有代收机构或税务机关的公章或业务专用章。依法免税的供应商应提供相关文件证明（时间以税款所属时期为准）。</w:t>
      </w:r>
    </w:p>
    <w:p>
      <w:pPr>
        <w:pStyle w:val="null3"/>
      </w:pPr>
      <w:r>
        <w:rPr/>
        <w:t>8、进口设备证明资料：所投设备为进口设备则须提供针对本项目所投设备的厂家授权书或总代理商授权书及厂家售后服务承诺函（厂家直投只须提供售后服务承诺函）（提供总代理商授权的须出具有效授权权限的相关证明文件，证明文件须能显示设备制造厂家对所投设备授权链条的完整性，且授权范围须包含本次采购项目内容）</w:t>
      </w:r>
    </w:p>
    <w:p>
      <w:pPr>
        <w:pStyle w:val="null3"/>
      </w:pPr>
      <w:r>
        <w:rPr/>
        <w:t>9、供应商资质证明：供应商为经销商须提供医疗器械经营许可证或备案凭证（所投产品须在其经营范围内）和所投产品（采购清单中被标注为医疗器械的）的医疗器械产品注册证及其附件或备案凭证；供应商为制造厂家的应出具医疗器械生产许可证（所投产品须在其生产范围内）（进口产品除外）和医疗器械注册证及其附件或备案凭证；</w:t>
      </w:r>
    </w:p>
    <w:p>
      <w:pPr>
        <w:pStyle w:val="null3"/>
      </w:pPr>
      <w:r>
        <w:rPr/>
        <w:t>10、非联合体声明：本项目不接受联合体投标。</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西安医学院附属宝鸡医院</w:t>
      </w:r>
    </w:p>
    <w:p>
      <w:pPr>
        <w:pStyle w:val="null3"/>
      </w:pPr>
      <w:r>
        <w:rPr/>
        <w:t xml:space="preserve"> 地址： </w:t>
      </w:r>
      <w:r>
        <w:rPr/>
        <w:t>陕西省宝鸡市渭滨区清姜路4号</w:t>
      </w:r>
    </w:p>
    <w:p>
      <w:pPr>
        <w:pStyle w:val="null3"/>
      </w:pPr>
      <w:r>
        <w:rPr/>
        <w:t xml:space="preserve"> 邮编： </w:t>
      </w:r>
      <w:r>
        <w:rPr/>
        <w:t>721000</w:t>
      </w:r>
    </w:p>
    <w:p>
      <w:pPr>
        <w:pStyle w:val="null3"/>
      </w:pPr>
      <w:r>
        <w:rPr/>
        <w:t xml:space="preserve"> 联系人： </w:t>
      </w:r>
      <w:r>
        <w:rPr/>
        <w:t>西安医学院附属宝鸡医院</w:t>
      </w:r>
    </w:p>
    <w:p>
      <w:pPr>
        <w:pStyle w:val="null3"/>
      </w:pPr>
      <w:r>
        <w:rPr/>
        <w:t xml:space="preserve"> 联系电话： </w:t>
      </w:r>
      <w:r>
        <w:rPr/>
        <w:t>0917-3619990</w:t>
      </w:r>
    </w:p>
    <w:p>
      <w:pPr>
        <w:pStyle w:val="null3"/>
        <w:outlineLvl w:val="2"/>
      </w:pPr>
      <w:r>
        <w:rPr>
          <w:sz w:val="28"/>
          <w:b/>
        </w:rPr>
        <w:t>代理机构：</w:t>
      </w:r>
      <w:r>
        <w:rPr>
          <w:sz w:val="28"/>
          <w:b/>
        </w:rPr>
        <w:t>陕西万泽招标有限公司</w:t>
      </w:r>
    </w:p>
    <w:p>
      <w:pPr>
        <w:pStyle w:val="null3"/>
      </w:pPr>
      <w:r>
        <w:rPr/>
        <w:t xml:space="preserve"> 地址： </w:t>
      </w:r>
      <w:r>
        <w:rPr/>
        <w:t>西安市高新区唐延路旺座现代城C座25楼2504室</w:t>
      </w:r>
    </w:p>
    <w:p>
      <w:pPr>
        <w:pStyle w:val="null3"/>
      </w:pPr>
      <w:r>
        <w:rPr/>
        <w:t xml:space="preserve"> 邮编： </w:t>
      </w:r>
      <w:r>
        <w:rPr/>
        <w:t>710065</w:t>
      </w:r>
    </w:p>
    <w:p>
      <w:pPr>
        <w:pStyle w:val="null3"/>
      </w:pPr>
      <w:r>
        <w:rPr/>
        <w:t xml:space="preserve"> 联系人： </w:t>
      </w:r>
      <w:r>
        <w:rPr/>
        <w:t>黄茜 郝思思</w:t>
      </w:r>
    </w:p>
    <w:p>
      <w:pPr>
        <w:pStyle w:val="null3"/>
      </w:pPr>
      <w:r>
        <w:rPr/>
        <w:t xml:space="preserve"> 联系电话： </w:t>
      </w:r>
      <w:r>
        <w:rPr/>
        <w:t>029-88319689-8006</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采购包1：1,300,000.00元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采购包1保证金金额：20,000.00元</w:t>
            </w:r>
          </w:p>
          <w:p>
            <w:pPr>
              <w:pStyle w:val="null3"/>
            </w:pPr>
            <w:r>
              <w:rPr/>
              <w:t>缴交渠道：电子保函,转账、支票、汇票等（需通过实体账户、户名及开户行信息）</w:t>
            </w:r>
          </w:p>
          <w:p>
            <w:pPr>
              <w:pStyle w:val="null3"/>
            </w:pPr>
            <w:r>
              <w:rPr/>
              <w:t>开户名称：陕西万泽招标有限公司</w:t>
            </w:r>
          </w:p>
          <w:p>
            <w:pPr>
              <w:pStyle w:val="null3"/>
            </w:pPr>
            <w:r>
              <w:rPr/>
              <w:t>开户银行：招商银行西安枫林绿洲支行</w:t>
            </w:r>
          </w:p>
          <w:p>
            <w:pPr>
              <w:pStyle w:val="null3"/>
            </w:pPr>
            <w:r>
              <w:rPr/>
              <w:t>银行账号：129906492210000</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代理服务费收费标准：按国家计委颁发的《招标代理服务收费管理暂行办法》（计价格[2002]1980号）的标准下浮25%收取。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西安医学院附属宝鸡医院</w:t>
      </w:r>
      <w:r>
        <w:rPr/>
        <w:t>和</w:t>
      </w:r>
      <w:r>
        <w:rPr/>
        <w:t>陕西万泽招标有限公司</w:t>
      </w:r>
      <w:r>
        <w:rPr/>
        <w:t>享有。对招标文件中供应商参加本次政府采购活动应当具备的条件，招标项目技术、服务、商务及其他要求，评标细则及标准由</w:t>
      </w:r>
      <w:r>
        <w:rPr/>
        <w:t>西安医学院附属宝鸡医院</w:t>
      </w:r>
      <w:r>
        <w:rPr/>
        <w:t>负责解释。除上述招标文件内容，其他内容由</w:t>
      </w:r>
      <w:r>
        <w:rPr/>
        <w:t>陕西万泽招标有限公司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西安医学院附属宝鸡医院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陕西万泽招标有限公司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详见采购文件</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陕西万泽招标有限公司</w:t>
      </w:r>
      <w:r>
        <w:rPr/>
        <w:t xml:space="preserve"> 负责答复；供应商对除采购需求外的采购文件的询问、质疑由</w:t>
      </w:r>
      <w:r>
        <w:rPr/>
        <w:t>陕西万泽招标有限公司</w:t>
      </w:r>
      <w:r>
        <w:rPr/>
        <w:t xml:space="preserve"> 负责答复；供应商对采购过程、采购结果的询问、质疑由 </w:t>
      </w:r>
      <w:r>
        <w:rPr/>
        <w:t>陕西万泽招标有限公司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联系人：黄茜 郝思思</w:t>
      </w:r>
    </w:p>
    <w:p>
      <w:pPr>
        <w:pStyle w:val="null3"/>
      </w:pPr>
      <w:r>
        <w:rPr/>
        <w:t>联系电话：029-88319689-8005</w:t>
      </w:r>
    </w:p>
    <w:p>
      <w:pPr>
        <w:pStyle w:val="null3"/>
      </w:pPr>
      <w:r>
        <w:rPr/>
        <w:t>地址：西安市高新区唐延路旺座现代城C座25楼2502室</w:t>
      </w:r>
    </w:p>
    <w:p>
      <w:pPr>
        <w:pStyle w:val="null3"/>
      </w:pPr>
      <w:r>
        <w:rPr/>
        <w:t>邮编：710065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高清电子支气管镜系统 1 套 130万元 已做进口产品论证</w:t>
      </w:r>
    </w:p>
    <w:p>
      <w:pPr>
        <w:pStyle w:val="null3"/>
        <w:outlineLvl w:val="2"/>
      </w:pPr>
      <w:r>
        <w:rPr>
          <w:sz w:val="28"/>
          <w:b/>
        </w:rPr>
        <w:t>3.2采购内容</w:t>
      </w:r>
    </w:p>
    <w:p>
      <w:pPr>
        <w:pStyle w:val="null3"/>
      </w:pPr>
      <w:r>
        <w:rPr/>
        <w:t>采购包1：</w:t>
      </w:r>
    </w:p>
    <w:p>
      <w:pPr>
        <w:pStyle w:val="null3"/>
      </w:pPr>
      <w:r>
        <w:rPr/>
        <w:t>采购包预算金额（元）: 1,300,000.00</w:t>
      </w:r>
    </w:p>
    <w:p>
      <w:pPr>
        <w:pStyle w:val="null3"/>
      </w:pPr>
      <w:r>
        <w:rPr/>
        <w:t>采购包最高限价（元）: 1,300,000.00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高清电子支气管镜系统</w:t>
            </w:r>
          </w:p>
        </w:tc>
        <w:tc>
          <w:tcPr>
            <w:tcW w:type="dxa" w:w="831"/>
          </w:tcPr>
          <w:p>
            <w:pPr>
              <w:pStyle w:val="null3"/>
              <w:jc w:val="right"/>
            </w:pPr>
            <w:r>
              <w:rPr/>
              <w:t>1.00</w:t>
            </w:r>
          </w:p>
        </w:tc>
        <w:tc>
          <w:tcPr>
            <w:tcW w:type="dxa" w:w="831"/>
          </w:tcPr>
          <w:p>
            <w:pPr>
              <w:pStyle w:val="null3"/>
              <w:jc w:val="right"/>
            </w:pPr>
            <w:r>
              <w:rPr/>
              <w:t>1,300,000.00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标的名称：高清电子支气管镜系统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0"/>
                <w:b/>
              </w:rPr>
              <w:t>一、商务条款</w:t>
            </w:r>
          </w:p>
          <w:p>
            <w:pPr>
              <w:pStyle w:val="null3"/>
              <w:jc w:val="left"/>
            </w:pPr>
            <w:r>
              <w:rPr>
                <w:rFonts w:ascii="宋体" w:hAnsi="宋体" w:cs="宋体" w:eastAsia="宋体"/>
                <w:sz w:val="20"/>
              </w:rPr>
              <w:t>1、交货期：进口产品合同签订后90日历日，国产产品合同签订后60日历日；</w:t>
            </w:r>
          </w:p>
          <w:p>
            <w:pPr>
              <w:pStyle w:val="null3"/>
              <w:jc w:val="left"/>
            </w:pPr>
            <w:r>
              <w:rPr>
                <w:rFonts w:ascii="宋体" w:hAnsi="宋体" w:cs="宋体" w:eastAsia="宋体"/>
                <w:sz w:val="20"/>
              </w:rPr>
              <w:t>2、质保期：验收合格后不少于两年。</w:t>
            </w:r>
          </w:p>
          <w:p>
            <w:pPr>
              <w:pStyle w:val="null3"/>
              <w:jc w:val="left"/>
            </w:pPr>
            <w:r>
              <w:rPr>
                <w:rFonts w:ascii="宋体" w:hAnsi="宋体" w:cs="宋体" w:eastAsia="宋体"/>
                <w:sz w:val="20"/>
              </w:rPr>
              <w:t>3、安装地点：西安医学院附属宝鸡医院指定地点；</w:t>
            </w:r>
          </w:p>
          <w:p>
            <w:pPr>
              <w:pStyle w:val="null3"/>
              <w:jc w:val="left"/>
            </w:pPr>
            <w:r>
              <w:rPr>
                <w:rFonts w:ascii="宋体" w:hAnsi="宋体" w:cs="宋体" w:eastAsia="宋体"/>
                <w:sz w:val="20"/>
              </w:rPr>
              <w:t>4、付款方式：</w:t>
            </w:r>
          </w:p>
          <w:p>
            <w:pPr>
              <w:pStyle w:val="null3"/>
            </w:pPr>
            <w:r>
              <w:rPr>
                <w:rFonts w:ascii="calibri" w:hAnsi="calibri" w:cs="calibri" w:eastAsia="calibri"/>
              </w:rPr>
              <w:t>4.1</w:t>
            </w:r>
            <w:r>
              <w:rPr>
                <w:rFonts w:ascii="宋体" w:hAnsi="宋体" w:cs="宋体" w:eastAsia="宋体"/>
              </w:rPr>
              <w:t>分期付款：</w:t>
            </w:r>
            <w:r>
              <w:rPr>
                <w:rFonts w:ascii="宋体" w:hAnsi="宋体" w:cs="宋体" w:eastAsia="宋体"/>
              </w:rPr>
              <w:t>（</w:t>
            </w:r>
            <w:r>
              <w:rPr>
                <w:rFonts w:ascii="calibri" w:hAnsi="calibri" w:cs="calibri" w:eastAsia="calibri"/>
              </w:rPr>
              <w:t>1</w:t>
            </w:r>
            <w:r>
              <w:rPr>
                <w:rFonts w:ascii="宋体" w:hAnsi="宋体" w:cs="宋体" w:eastAsia="宋体"/>
              </w:rPr>
              <w:t>）</w:t>
            </w:r>
            <w:r>
              <w:rPr>
                <w:rFonts w:ascii="宋体" w:hAnsi="宋体" w:cs="宋体" w:eastAsia="宋体"/>
              </w:rPr>
              <w:t>签订合同且安装调试终验合格并出具全额税务发票，运行期间无质量问</w:t>
            </w:r>
            <w:r>
              <w:rPr>
                <w:rFonts w:ascii="宋体" w:hAnsi="宋体" w:cs="宋体" w:eastAsia="宋体"/>
              </w:rPr>
              <w:t>题</w:t>
            </w:r>
            <w:r>
              <w:rPr>
                <w:rFonts w:ascii="宋体" w:hAnsi="宋体" w:cs="宋体" w:eastAsia="宋体"/>
              </w:rPr>
              <w:t>，达到付款条件起</w:t>
            </w:r>
            <w:r>
              <w:rPr>
                <w:rFonts w:ascii="calibri" w:hAnsi="calibri" w:cs="calibri" w:eastAsia="calibri"/>
              </w:rPr>
              <w:t xml:space="preserve">90 </w:t>
            </w:r>
            <w:r>
              <w:rPr>
                <w:rFonts w:ascii="宋体" w:hAnsi="宋体" w:cs="宋体" w:eastAsia="宋体"/>
              </w:rPr>
              <w:t xml:space="preserve">日内，支付合同总金额的 </w:t>
            </w:r>
            <w:r>
              <w:rPr>
                <w:rFonts w:ascii="calibri" w:hAnsi="calibri" w:cs="calibri" w:eastAsia="calibri"/>
              </w:rPr>
              <w:t>50.00%</w:t>
            </w:r>
            <w:r>
              <w:rPr>
                <w:rFonts w:ascii="宋体" w:hAnsi="宋体" w:cs="宋体" w:eastAsia="宋体"/>
              </w:rPr>
              <w:t>。</w:t>
            </w:r>
          </w:p>
          <w:p>
            <w:pPr>
              <w:pStyle w:val="null3"/>
            </w:pPr>
            <w:r>
              <w:rPr>
                <w:rFonts w:ascii="宋体" w:hAnsi="宋体" w:cs="宋体" w:eastAsia="宋体"/>
              </w:rPr>
              <w:t>（</w:t>
            </w:r>
            <w:r>
              <w:rPr>
                <w:rFonts w:ascii="calibri" w:hAnsi="calibri" w:cs="calibri" w:eastAsia="calibri"/>
              </w:rPr>
              <w:t>2</w:t>
            </w:r>
            <w:r>
              <w:rPr>
                <w:rFonts w:ascii="宋体" w:hAnsi="宋体" w:cs="宋体" w:eastAsia="宋体"/>
              </w:rPr>
              <w:t>）</w:t>
            </w:r>
            <w:r>
              <w:rPr>
                <w:rFonts w:ascii="宋体" w:hAnsi="宋体" w:cs="宋体" w:eastAsia="宋体"/>
              </w:rPr>
              <w:t xml:space="preserve"> </w:t>
            </w:r>
            <w:r>
              <w:rPr>
                <w:rFonts w:ascii="宋体" w:hAnsi="宋体" w:cs="宋体" w:eastAsia="宋体"/>
              </w:rPr>
              <w:t>签订合同且安装调试终验合格并出具全额税务发票，运行期间无质量问</w:t>
            </w:r>
            <w:r>
              <w:rPr>
                <w:rFonts w:ascii="宋体" w:hAnsi="宋体" w:cs="宋体" w:eastAsia="宋体"/>
              </w:rPr>
              <w:t>题</w:t>
            </w:r>
            <w:r>
              <w:rPr>
                <w:rFonts w:ascii="宋体" w:hAnsi="宋体" w:cs="宋体" w:eastAsia="宋体"/>
              </w:rPr>
              <w:t>，六个月后，达到付款条件起</w:t>
            </w:r>
            <w:r>
              <w:rPr>
                <w:rFonts w:ascii="calibri" w:hAnsi="calibri" w:cs="calibri" w:eastAsia="calibri"/>
              </w:rPr>
              <w:t xml:space="preserve">90 </w:t>
            </w:r>
            <w:r>
              <w:rPr>
                <w:rFonts w:ascii="宋体" w:hAnsi="宋体" w:cs="宋体" w:eastAsia="宋体"/>
              </w:rPr>
              <w:t>日内，支付合同总金额</w:t>
            </w:r>
            <w:r>
              <w:rPr>
                <w:rFonts w:ascii="calibri" w:hAnsi="calibri" w:cs="calibri" w:eastAsia="calibri"/>
              </w:rPr>
              <w:t>40.00%</w:t>
            </w:r>
            <w:r>
              <w:rPr>
                <w:rFonts w:ascii="宋体" w:hAnsi="宋体" w:cs="宋体" w:eastAsia="宋体"/>
              </w:rPr>
              <w:t>。</w:t>
            </w:r>
          </w:p>
          <w:p>
            <w:pPr>
              <w:pStyle w:val="null3"/>
            </w:pPr>
            <w:r>
              <w:rPr>
                <w:rFonts w:ascii="宋体" w:hAnsi="宋体" w:cs="宋体" w:eastAsia="宋体"/>
              </w:rPr>
              <w:t>（</w:t>
            </w:r>
            <w:r>
              <w:rPr>
                <w:rFonts w:ascii="calibri" w:hAnsi="calibri" w:cs="calibri" w:eastAsia="calibri"/>
              </w:rPr>
              <w:t>3</w:t>
            </w:r>
            <w:r>
              <w:rPr>
                <w:rFonts w:ascii="宋体" w:hAnsi="宋体" w:cs="宋体" w:eastAsia="宋体"/>
              </w:rPr>
              <w:t>）</w:t>
            </w:r>
            <w:r>
              <w:rPr>
                <w:rFonts w:ascii="宋体" w:hAnsi="宋体" w:cs="宋体" w:eastAsia="宋体"/>
              </w:rPr>
              <w:t>签订合同且安装调试终验合格并出具全额税务发票，运行期间无质量问</w:t>
            </w:r>
            <w:r>
              <w:rPr>
                <w:rFonts w:ascii="宋体" w:hAnsi="宋体" w:cs="宋体" w:eastAsia="宋体"/>
              </w:rPr>
              <w:t>题</w:t>
            </w:r>
            <w:r>
              <w:rPr>
                <w:rFonts w:ascii="宋体" w:hAnsi="宋体" w:cs="宋体" w:eastAsia="宋体"/>
              </w:rPr>
              <w:t>，二年后</w:t>
            </w:r>
            <w:r>
              <w:rPr>
                <w:rFonts w:ascii="宋体" w:hAnsi="宋体" w:cs="宋体" w:eastAsia="宋体"/>
              </w:rPr>
              <w:t>，达到付款条件起</w:t>
            </w:r>
            <w:r>
              <w:rPr>
                <w:rFonts w:ascii="calibri" w:hAnsi="calibri" w:cs="calibri" w:eastAsia="calibri"/>
              </w:rPr>
              <w:t xml:space="preserve">90 </w:t>
            </w:r>
            <w:r>
              <w:rPr>
                <w:rFonts w:ascii="宋体" w:hAnsi="宋体" w:cs="宋体" w:eastAsia="宋体"/>
              </w:rPr>
              <w:t xml:space="preserve">日内，支付合同总金额的 </w:t>
            </w:r>
            <w:r>
              <w:rPr>
                <w:rFonts w:ascii="calibri" w:hAnsi="calibri" w:cs="calibri" w:eastAsia="calibri"/>
              </w:rPr>
              <w:t>10.00%</w:t>
            </w:r>
            <w:r>
              <w:rPr>
                <w:rFonts w:ascii="宋体" w:hAnsi="宋体" w:cs="宋体" w:eastAsia="宋体"/>
              </w:rPr>
              <w:t>。</w:t>
            </w:r>
          </w:p>
          <w:p>
            <w:pPr>
              <w:pStyle w:val="null3"/>
              <w:jc w:val="left"/>
            </w:pPr>
            <w:r>
              <w:rPr>
                <w:rFonts w:ascii="宋体" w:hAnsi="宋体" w:cs="宋体" w:eastAsia="宋体"/>
                <w:sz w:val="20"/>
              </w:rPr>
              <w:t>4.2支付方式：银行转帐；</w:t>
            </w:r>
          </w:p>
          <w:p>
            <w:pPr>
              <w:pStyle w:val="null3"/>
              <w:jc w:val="left"/>
            </w:pPr>
            <w:r>
              <w:rPr>
                <w:rFonts w:ascii="宋体" w:hAnsi="宋体" w:cs="宋体" w:eastAsia="宋体"/>
                <w:sz w:val="20"/>
                <w:b/>
              </w:rPr>
              <w:t>二、电子支气管镜系统采购要求</w:t>
            </w:r>
          </w:p>
          <w:p>
            <w:pPr>
              <w:pStyle w:val="null3"/>
              <w:jc w:val="left"/>
            </w:pPr>
            <w:r>
              <w:rPr>
                <w:rFonts w:ascii="宋体" w:hAnsi="宋体" w:cs="宋体" w:eastAsia="宋体"/>
                <w:sz w:val="20"/>
                <w:b/>
              </w:rPr>
              <w:t>1、</w:t>
            </w:r>
            <w:r>
              <w:rPr>
                <w:rFonts w:ascii="宋体" w:hAnsi="宋体" w:cs="宋体" w:eastAsia="宋体"/>
                <w:sz w:val="20"/>
                <w:b/>
              </w:rPr>
              <w:t>电子影像处理系统</w:t>
            </w:r>
          </w:p>
          <w:p>
            <w:pPr>
              <w:pStyle w:val="null3"/>
              <w:jc w:val="left"/>
            </w:pPr>
            <w:r>
              <w:rPr>
                <w:rFonts w:ascii="宋体" w:hAnsi="宋体" w:cs="宋体" w:eastAsia="宋体"/>
                <w:sz w:val="20"/>
              </w:rPr>
              <w:t>1.1光源与图像处理一体式或分体式设计。图像处理具有数字化信号处理功能及高清信号输出，图像分辨率≥1920×1080</w:t>
            </w:r>
            <w:r>
              <w:rPr>
                <w:rFonts w:ascii="宋体" w:hAnsi="宋体" w:cs="宋体" w:eastAsia="宋体"/>
                <w:sz w:val="20"/>
              </w:rPr>
              <w:t>；</w:t>
            </w:r>
          </w:p>
          <w:p>
            <w:pPr>
              <w:pStyle w:val="null3"/>
              <w:jc w:val="left"/>
            </w:pPr>
            <w:r>
              <w:rPr>
                <w:rFonts w:ascii="宋体" w:hAnsi="宋体" w:cs="宋体" w:eastAsia="宋体"/>
                <w:sz w:val="20"/>
              </w:rPr>
              <w:t>1.2图像信号输出方式：SDI或DVI</w:t>
            </w:r>
            <w:r>
              <w:rPr>
                <w:rFonts w:ascii="宋体" w:hAnsi="宋体" w:cs="宋体" w:eastAsia="宋体"/>
                <w:sz w:val="20"/>
              </w:rPr>
              <w:t>；</w:t>
            </w:r>
          </w:p>
          <w:p>
            <w:pPr>
              <w:pStyle w:val="null3"/>
              <w:jc w:val="both"/>
            </w:pPr>
            <w:r>
              <w:rPr>
                <w:rFonts w:ascii="courier new" w:hAnsi="courier new" w:cs="courier new" w:eastAsia="courier new"/>
                <w:sz w:val="24"/>
              </w:rPr>
              <w:t>▲</w:t>
            </w:r>
            <w:r>
              <w:rPr>
                <w:rFonts w:ascii="宋体" w:hAnsi="宋体" w:cs="宋体" w:eastAsia="宋体"/>
                <w:sz w:val="20"/>
              </w:rPr>
              <w:t>1.3具备光学染色功能</w:t>
            </w:r>
            <w:r>
              <w:rPr>
                <w:rFonts w:ascii="宋体" w:hAnsi="宋体" w:cs="宋体" w:eastAsia="宋体"/>
                <w:sz w:val="20"/>
              </w:rPr>
              <w:t>；</w:t>
            </w:r>
          </w:p>
          <w:p>
            <w:pPr>
              <w:pStyle w:val="null3"/>
              <w:jc w:val="both"/>
            </w:pPr>
            <w:r>
              <w:rPr>
                <w:rFonts w:ascii="宋体" w:hAnsi="宋体" w:cs="宋体" w:eastAsia="宋体"/>
                <w:sz w:val="20"/>
              </w:rPr>
              <w:t>1.4具备自动白平衡功能</w:t>
            </w:r>
            <w:r>
              <w:rPr>
                <w:rFonts w:ascii="宋体" w:hAnsi="宋体" w:cs="宋体" w:eastAsia="宋体"/>
                <w:sz w:val="20"/>
              </w:rPr>
              <w:t>；</w:t>
            </w:r>
          </w:p>
          <w:p>
            <w:pPr>
              <w:pStyle w:val="null3"/>
              <w:jc w:val="left"/>
            </w:pPr>
            <w:r>
              <w:rPr>
                <w:rFonts w:ascii="calibri" w:hAnsi="calibri" w:cs="calibri" w:eastAsia="calibri"/>
                <w:sz w:val="21"/>
              </w:rPr>
              <w:t>▲</w:t>
            </w:r>
            <w:r>
              <w:rPr>
                <w:rFonts w:ascii="宋体" w:hAnsi="宋体" w:cs="宋体" w:eastAsia="宋体"/>
                <w:sz w:val="20"/>
              </w:rPr>
              <w:t>1.5具备构造强调和轮廓强调功能或表面增强功能和色调增强功能</w:t>
            </w:r>
            <w:r>
              <w:rPr>
                <w:rFonts w:ascii="宋体" w:hAnsi="宋体" w:cs="宋体" w:eastAsia="宋体"/>
                <w:sz w:val="20"/>
              </w:rPr>
              <w:t>；</w:t>
            </w:r>
          </w:p>
          <w:p>
            <w:pPr>
              <w:pStyle w:val="null3"/>
              <w:jc w:val="left"/>
            </w:pPr>
            <w:r>
              <w:rPr>
                <w:rFonts w:ascii="宋体" w:hAnsi="宋体" w:cs="宋体" w:eastAsia="宋体"/>
                <w:sz w:val="20"/>
              </w:rPr>
              <w:t>1.6具备特殊光观察模式，能对拟观察的被照物体的构造和区域进行观察</w:t>
            </w:r>
            <w:r>
              <w:rPr>
                <w:rFonts w:ascii="宋体" w:hAnsi="宋体" w:cs="宋体" w:eastAsia="宋体"/>
                <w:sz w:val="20"/>
              </w:rPr>
              <w:t>；</w:t>
            </w:r>
          </w:p>
          <w:p>
            <w:pPr>
              <w:pStyle w:val="null3"/>
              <w:jc w:val="left"/>
            </w:pPr>
            <w:r>
              <w:rPr>
                <w:rFonts w:ascii="宋体" w:hAnsi="宋体" w:cs="宋体" w:eastAsia="宋体"/>
                <w:sz w:val="20"/>
              </w:rPr>
              <w:t>1.7测光模式：平均测光、峰值测光、自动测光</w:t>
            </w:r>
            <w:r>
              <w:rPr>
                <w:rFonts w:ascii="宋体" w:hAnsi="宋体" w:cs="宋体" w:eastAsia="宋体"/>
                <w:sz w:val="20"/>
              </w:rPr>
              <w:t>；</w:t>
            </w:r>
          </w:p>
          <w:p>
            <w:pPr>
              <w:pStyle w:val="null3"/>
              <w:jc w:val="left"/>
            </w:pPr>
            <w:r>
              <w:rPr>
                <w:rFonts w:ascii="宋体" w:hAnsi="宋体" w:cs="宋体" w:eastAsia="宋体"/>
                <w:sz w:val="20"/>
              </w:rPr>
              <w:t>1.8</w:t>
            </w:r>
            <w:r>
              <w:rPr>
                <w:rFonts w:ascii="宋体" w:hAnsi="宋体" w:cs="宋体" w:eastAsia="宋体"/>
                <w:sz w:val="20"/>
              </w:rPr>
              <w:t>增益</w:t>
            </w:r>
            <w:r>
              <w:rPr>
                <w:rFonts w:ascii="宋体" w:hAnsi="宋体" w:cs="宋体" w:eastAsia="宋体"/>
                <w:sz w:val="20"/>
              </w:rPr>
              <w:t>控制：自动；</w:t>
            </w:r>
          </w:p>
          <w:p>
            <w:pPr>
              <w:pStyle w:val="null3"/>
              <w:jc w:val="left"/>
            </w:pPr>
            <w:r>
              <w:rPr>
                <w:rFonts w:ascii="宋体" w:hAnsi="宋体" w:cs="宋体" w:eastAsia="宋体"/>
                <w:sz w:val="20"/>
              </w:rPr>
              <w:t>1.9支持图像实时冻结等三种冻结模式选择，高清图像冻结，冻结时候可自动出现小画面，实时监控内镜图像，确保病人安全</w:t>
            </w:r>
            <w:r>
              <w:rPr>
                <w:rFonts w:ascii="宋体" w:hAnsi="宋体" w:cs="宋体" w:eastAsia="宋体"/>
                <w:sz w:val="20"/>
              </w:rPr>
              <w:t>；</w:t>
            </w:r>
          </w:p>
          <w:p>
            <w:pPr>
              <w:pStyle w:val="null3"/>
              <w:jc w:val="left"/>
            </w:pPr>
            <w:r>
              <w:rPr>
                <w:rFonts w:ascii="宋体" w:hAnsi="宋体" w:cs="宋体" w:eastAsia="宋体"/>
                <w:sz w:val="20"/>
              </w:rPr>
              <w:t>1.10具备内镜信息记忆存储和图片及视频记录功能</w:t>
            </w:r>
            <w:r>
              <w:rPr>
                <w:rFonts w:ascii="宋体" w:hAnsi="宋体" w:cs="宋体" w:eastAsia="宋体"/>
                <w:sz w:val="20"/>
              </w:rPr>
              <w:t>；</w:t>
            </w:r>
          </w:p>
          <w:p>
            <w:pPr>
              <w:pStyle w:val="null3"/>
              <w:jc w:val="left"/>
            </w:pPr>
            <w:r>
              <w:rPr>
                <w:rFonts w:ascii="宋体" w:hAnsi="宋体" w:cs="宋体" w:eastAsia="宋体"/>
                <w:sz w:val="20"/>
              </w:rPr>
              <w:t>1.11光源：氙气灯光源≥150W（平均寿命≥500小时），具有备用灯数量≥1个</w:t>
            </w:r>
            <w:r>
              <w:rPr>
                <w:rFonts w:ascii="宋体" w:hAnsi="宋体" w:cs="宋体" w:eastAsia="宋体"/>
                <w:sz w:val="20"/>
              </w:rPr>
              <w:t>；</w:t>
            </w:r>
          </w:p>
          <w:p>
            <w:pPr>
              <w:pStyle w:val="null3"/>
              <w:jc w:val="left"/>
            </w:pPr>
            <w:r>
              <w:rPr>
                <w:rFonts w:ascii="宋体" w:hAnsi="宋体" w:cs="宋体" w:eastAsia="宋体"/>
                <w:sz w:val="20"/>
              </w:rPr>
              <w:t>1.12具备自动光源控制，具备普通光和特殊光观察功能</w:t>
            </w:r>
            <w:r>
              <w:rPr>
                <w:rFonts w:ascii="宋体" w:hAnsi="宋体" w:cs="宋体" w:eastAsia="宋体"/>
                <w:sz w:val="20"/>
              </w:rPr>
              <w:t>；</w:t>
            </w:r>
          </w:p>
          <w:p>
            <w:pPr>
              <w:pStyle w:val="null3"/>
              <w:jc w:val="left"/>
            </w:pPr>
            <w:r>
              <w:rPr>
                <w:rFonts w:ascii="calibri" w:hAnsi="calibri" w:cs="calibri" w:eastAsia="calibri"/>
                <w:sz w:val="21"/>
              </w:rPr>
              <w:t>▲</w:t>
            </w:r>
            <w:r>
              <w:rPr>
                <w:rFonts w:ascii="宋体" w:hAnsi="宋体" w:cs="宋体" w:eastAsia="宋体"/>
                <w:sz w:val="20"/>
              </w:rPr>
              <w:t>1.13具备通用输出接口，负责与医院的HIS、LIS、PACS网络连接</w:t>
            </w:r>
            <w:r>
              <w:rPr>
                <w:rFonts w:ascii="宋体" w:hAnsi="宋体" w:cs="宋体" w:eastAsia="宋体"/>
                <w:sz w:val="20"/>
              </w:rPr>
              <w:t>；</w:t>
            </w:r>
          </w:p>
          <w:p>
            <w:pPr>
              <w:pStyle w:val="null3"/>
              <w:jc w:val="both"/>
            </w:pPr>
            <w:r>
              <w:rPr>
                <w:rFonts w:ascii="courier new" w:hAnsi="courier new" w:cs="courier new" w:eastAsia="courier new"/>
                <w:sz w:val="24"/>
              </w:rPr>
              <w:t>▲</w:t>
            </w:r>
            <w:r>
              <w:rPr>
                <w:rFonts w:ascii="宋体" w:hAnsi="宋体" w:cs="宋体" w:eastAsia="宋体"/>
                <w:sz w:val="20"/>
              </w:rPr>
              <w:t>1.14兼容性：可兼容高清电子鼻咽喉镜、超细电子支气管镜、超声支气管镜、电子胃肠镜、超声小探头等适应建立内镜中心的需要</w:t>
            </w:r>
            <w:r>
              <w:rPr>
                <w:rFonts w:ascii="宋体" w:hAnsi="宋体" w:cs="宋体" w:eastAsia="宋体"/>
                <w:sz w:val="20"/>
              </w:rPr>
              <w:t>。</w:t>
            </w:r>
          </w:p>
          <w:p>
            <w:pPr>
              <w:pStyle w:val="null3"/>
              <w:jc w:val="left"/>
            </w:pPr>
            <w:r>
              <w:rPr>
                <w:rFonts w:ascii="宋体" w:hAnsi="宋体" w:cs="宋体" w:eastAsia="宋体"/>
                <w:sz w:val="20"/>
                <w:b/>
              </w:rPr>
              <w:t>2、</w:t>
            </w:r>
            <w:r>
              <w:rPr>
                <w:rFonts w:ascii="宋体" w:hAnsi="宋体" w:cs="宋体" w:eastAsia="宋体"/>
                <w:sz w:val="20"/>
                <w:b/>
              </w:rPr>
              <w:t>高清电子支气管镜（检查型）</w:t>
            </w:r>
          </w:p>
          <w:p>
            <w:pPr>
              <w:pStyle w:val="null3"/>
              <w:jc w:val="left"/>
            </w:pPr>
            <w:r>
              <w:rPr>
                <w:rFonts w:ascii="宋体" w:hAnsi="宋体" w:cs="宋体" w:eastAsia="宋体"/>
                <w:sz w:val="20"/>
              </w:rPr>
              <w:t>2.1</w:t>
            </w:r>
            <w:r>
              <w:rPr>
                <w:rFonts w:ascii="宋体" w:hAnsi="宋体" w:cs="宋体" w:eastAsia="宋体"/>
                <w:sz w:val="20"/>
              </w:rPr>
              <w:t>满足特殊光观察，激光、高频兼容性良好，全高清输出，全身防水，</w:t>
            </w:r>
            <w:r>
              <w:rPr>
                <w:rFonts w:ascii="宋体" w:hAnsi="宋体" w:cs="宋体" w:eastAsia="宋体"/>
                <w:sz w:val="20"/>
              </w:rPr>
              <w:t>具有</w:t>
            </w:r>
            <w:r>
              <w:rPr>
                <w:rFonts w:ascii="宋体" w:hAnsi="宋体" w:cs="宋体" w:eastAsia="宋体"/>
                <w:sz w:val="20"/>
              </w:rPr>
              <w:t>内镜信息记忆功能；</w:t>
            </w:r>
          </w:p>
          <w:p>
            <w:pPr>
              <w:pStyle w:val="null3"/>
              <w:jc w:val="left"/>
            </w:pPr>
            <w:r>
              <w:rPr>
                <w:rFonts w:ascii="宋体" w:hAnsi="宋体" w:cs="宋体" w:eastAsia="宋体"/>
                <w:sz w:val="20"/>
              </w:rPr>
              <w:t>2</w:t>
            </w:r>
            <w:r>
              <w:rPr>
                <w:rFonts w:ascii="宋体" w:hAnsi="宋体" w:cs="宋体" w:eastAsia="宋体"/>
                <w:sz w:val="20"/>
              </w:rPr>
              <w:t>.2</w:t>
            </w:r>
            <w:r>
              <w:rPr>
                <w:rFonts w:ascii="宋体" w:hAnsi="宋体" w:cs="宋体" w:eastAsia="宋体"/>
                <w:sz w:val="20"/>
              </w:rPr>
              <w:t>视野方向：</w:t>
            </w:r>
            <w:r>
              <w:rPr>
                <w:rFonts w:ascii="宋体" w:hAnsi="宋体" w:cs="宋体" w:eastAsia="宋体"/>
                <w:sz w:val="20"/>
              </w:rPr>
              <w:t>0</w:t>
            </w:r>
            <w:r>
              <w:rPr>
                <w:rFonts w:ascii="宋体" w:hAnsi="宋体" w:cs="宋体" w:eastAsia="宋体"/>
                <w:sz w:val="20"/>
              </w:rPr>
              <w:t>°直视；</w:t>
            </w:r>
          </w:p>
          <w:p>
            <w:pPr>
              <w:pStyle w:val="null3"/>
              <w:jc w:val="left"/>
            </w:pPr>
            <w:r>
              <w:rPr>
                <w:rFonts w:ascii="宋体" w:hAnsi="宋体" w:cs="宋体" w:eastAsia="宋体"/>
                <w:sz w:val="20"/>
              </w:rPr>
              <w:t>2.</w:t>
            </w:r>
            <w:r>
              <w:rPr>
                <w:rFonts w:ascii="宋体" w:hAnsi="宋体" w:cs="宋体" w:eastAsia="宋体"/>
                <w:sz w:val="20"/>
              </w:rPr>
              <w:t>3视野角度：≥120°；</w:t>
            </w:r>
          </w:p>
          <w:p>
            <w:pPr>
              <w:pStyle w:val="null3"/>
              <w:jc w:val="left"/>
            </w:pPr>
            <w:r>
              <w:rPr>
                <w:rFonts w:ascii="宋体" w:hAnsi="宋体" w:cs="宋体" w:eastAsia="宋体"/>
                <w:sz w:val="20"/>
              </w:rPr>
              <w:t>2.</w:t>
            </w:r>
            <w:r>
              <w:rPr>
                <w:rFonts w:ascii="宋体" w:hAnsi="宋体" w:cs="宋体" w:eastAsia="宋体"/>
                <w:sz w:val="20"/>
              </w:rPr>
              <w:t>4景深：3-100mm；</w:t>
            </w:r>
          </w:p>
          <w:p>
            <w:pPr>
              <w:pStyle w:val="null3"/>
              <w:jc w:val="left"/>
            </w:pPr>
            <w:r>
              <w:rPr>
                <w:rFonts w:ascii="宋体" w:hAnsi="宋体" w:cs="宋体" w:eastAsia="宋体"/>
                <w:sz w:val="20"/>
              </w:rPr>
              <w:t>2.</w:t>
            </w:r>
            <w:r>
              <w:rPr>
                <w:rFonts w:ascii="宋体" w:hAnsi="宋体" w:cs="宋体" w:eastAsia="宋体"/>
                <w:sz w:val="20"/>
              </w:rPr>
              <w:t>5先端部外径：≤</w:t>
            </w:r>
            <w:r>
              <w:rPr>
                <w:rFonts w:ascii="宋体" w:hAnsi="宋体" w:cs="宋体" w:eastAsia="宋体"/>
                <w:sz w:val="20"/>
              </w:rPr>
              <w:t>5.5</w:t>
            </w:r>
            <w:r>
              <w:rPr>
                <w:rFonts w:ascii="宋体" w:hAnsi="宋体" w:cs="宋体" w:eastAsia="宋体"/>
                <w:sz w:val="20"/>
              </w:rPr>
              <w:t>mm；</w:t>
            </w:r>
          </w:p>
          <w:p>
            <w:pPr>
              <w:pStyle w:val="null3"/>
              <w:jc w:val="left"/>
            </w:pPr>
            <w:r>
              <w:rPr>
                <w:rFonts w:ascii="宋体" w:hAnsi="宋体" w:cs="宋体" w:eastAsia="宋体"/>
                <w:sz w:val="20"/>
              </w:rPr>
              <w:t>2.</w:t>
            </w:r>
            <w:r>
              <w:rPr>
                <w:rFonts w:ascii="宋体" w:hAnsi="宋体" w:cs="宋体" w:eastAsia="宋体"/>
                <w:sz w:val="20"/>
              </w:rPr>
              <w:t>6插入部外径：≤</w:t>
            </w:r>
            <w:r>
              <w:rPr>
                <w:rFonts w:ascii="宋体" w:hAnsi="宋体" w:cs="宋体" w:eastAsia="宋体"/>
                <w:sz w:val="20"/>
              </w:rPr>
              <w:t>5.2</w:t>
            </w:r>
            <w:r>
              <w:rPr>
                <w:rFonts w:ascii="宋体" w:hAnsi="宋体" w:cs="宋体" w:eastAsia="宋体"/>
                <w:sz w:val="20"/>
              </w:rPr>
              <w:t>mm；</w:t>
            </w:r>
          </w:p>
          <w:p>
            <w:pPr>
              <w:pStyle w:val="null3"/>
              <w:jc w:val="left"/>
            </w:pPr>
            <w:r>
              <w:rPr>
                <w:rFonts w:ascii="宋体" w:hAnsi="宋体" w:cs="宋体" w:eastAsia="宋体"/>
                <w:sz w:val="20"/>
              </w:rPr>
              <w:t>2.</w:t>
            </w:r>
            <w:r>
              <w:rPr>
                <w:rFonts w:ascii="宋体" w:hAnsi="宋体" w:cs="宋体" w:eastAsia="宋体"/>
                <w:sz w:val="20"/>
              </w:rPr>
              <w:t>7有效长度：≥600mm；</w:t>
            </w:r>
          </w:p>
          <w:p>
            <w:pPr>
              <w:pStyle w:val="null3"/>
              <w:jc w:val="left"/>
            </w:pPr>
            <w:r>
              <w:rPr>
                <w:rFonts w:ascii="宋体" w:hAnsi="宋体" w:cs="宋体" w:eastAsia="宋体"/>
                <w:sz w:val="20"/>
              </w:rPr>
              <w:t>2.</w:t>
            </w:r>
            <w:r>
              <w:rPr>
                <w:rFonts w:ascii="宋体" w:hAnsi="宋体" w:cs="宋体" w:eastAsia="宋体"/>
                <w:sz w:val="20"/>
              </w:rPr>
              <w:t>8全长：≥800mm；</w:t>
            </w:r>
          </w:p>
          <w:p>
            <w:pPr>
              <w:pStyle w:val="null3"/>
              <w:jc w:val="left"/>
            </w:pPr>
            <w:r>
              <w:rPr>
                <w:rFonts w:ascii="calibri" w:hAnsi="calibri" w:cs="calibri" w:eastAsia="calibri"/>
                <w:sz w:val="21"/>
              </w:rPr>
              <w:t>▲</w:t>
            </w:r>
            <w:r>
              <w:rPr>
                <w:rFonts w:ascii="宋体" w:hAnsi="宋体" w:cs="宋体" w:eastAsia="宋体"/>
                <w:sz w:val="20"/>
              </w:rPr>
              <w:t>2.</w:t>
            </w:r>
            <w:r>
              <w:rPr>
                <w:rFonts w:ascii="宋体" w:hAnsi="宋体" w:cs="宋体" w:eastAsia="宋体"/>
                <w:sz w:val="20"/>
              </w:rPr>
              <w:t>9弯曲角度：上≥</w:t>
            </w:r>
            <w:r>
              <w:rPr>
                <w:rFonts w:ascii="宋体" w:hAnsi="宋体" w:cs="宋体" w:eastAsia="宋体"/>
                <w:sz w:val="20"/>
              </w:rPr>
              <w:t>210</w:t>
            </w:r>
            <w:r>
              <w:rPr>
                <w:rFonts w:ascii="宋体" w:hAnsi="宋体" w:cs="宋体" w:eastAsia="宋体"/>
                <w:sz w:val="20"/>
              </w:rPr>
              <w:t>°、下≥130°；</w:t>
            </w:r>
          </w:p>
          <w:p>
            <w:pPr>
              <w:pStyle w:val="null3"/>
              <w:jc w:val="left"/>
            </w:pPr>
            <w:r>
              <w:rPr>
                <w:rFonts w:ascii="宋体" w:hAnsi="宋体" w:cs="宋体" w:eastAsia="宋体"/>
                <w:sz w:val="20"/>
              </w:rPr>
              <w:t>2.</w:t>
            </w:r>
            <w:r>
              <w:rPr>
                <w:rFonts w:ascii="宋体" w:hAnsi="宋体" w:cs="宋体" w:eastAsia="宋体"/>
                <w:sz w:val="20"/>
              </w:rPr>
              <w:t>10</w:t>
            </w:r>
            <w:r>
              <w:rPr>
                <w:rFonts w:ascii="宋体" w:hAnsi="宋体" w:cs="宋体" w:eastAsia="宋体"/>
                <w:sz w:val="20"/>
              </w:rPr>
              <w:t>器械孔道内径</w:t>
            </w:r>
            <w:r>
              <w:rPr>
                <w:rFonts w:ascii="宋体" w:hAnsi="宋体" w:cs="宋体" w:eastAsia="宋体"/>
                <w:sz w:val="20"/>
              </w:rPr>
              <w:t>：</w:t>
            </w:r>
            <w:r>
              <w:rPr>
                <w:rFonts w:ascii="宋体" w:hAnsi="宋体" w:cs="宋体" w:eastAsia="宋体"/>
                <w:sz w:val="20"/>
              </w:rPr>
              <w:t>≥</w:t>
            </w:r>
            <w:r>
              <w:rPr>
                <w:rFonts w:ascii="宋体" w:hAnsi="宋体" w:cs="宋体" w:eastAsia="宋体"/>
                <w:sz w:val="20"/>
              </w:rPr>
              <w:t>1.8</w:t>
            </w:r>
            <w:r>
              <w:rPr>
                <w:rFonts w:ascii="宋体" w:hAnsi="宋体" w:cs="宋体" w:eastAsia="宋体"/>
                <w:sz w:val="20"/>
              </w:rPr>
              <w:t>mm</w:t>
            </w:r>
            <w:r>
              <w:rPr>
                <w:rFonts w:ascii="宋体" w:hAnsi="宋体" w:cs="宋体" w:eastAsia="宋体"/>
                <w:sz w:val="20"/>
              </w:rPr>
              <w:t>。</w:t>
            </w:r>
          </w:p>
          <w:p>
            <w:pPr>
              <w:pStyle w:val="null3"/>
              <w:jc w:val="left"/>
            </w:pPr>
            <w:r>
              <w:rPr>
                <w:rFonts w:ascii="宋体" w:hAnsi="宋体" w:cs="宋体" w:eastAsia="宋体"/>
                <w:sz w:val="20"/>
                <w:b/>
              </w:rPr>
              <w:t>3、</w:t>
            </w:r>
            <w:r>
              <w:rPr>
                <w:rFonts w:ascii="宋体" w:hAnsi="宋体" w:cs="宋体" w:eastAsia="宋体"/>
                <w:sz w:val="20"/>
                <w:b/>
              </w:rPr>
              <w:t>高清电子支气管镜（治疗型）</w:t>
            </w:r>
          </w:p>
          <w:p>
            <w:pPr>
              <w:pStyle w:val="null3"/>
              <w:jc w:val="left"/>
            </w:pPr>
            <w:r>
              <w:rPr>
                <w:rFonts w:ascii="calibri" w:hAnsi="calibri" w:cs="calibri" w:eastAsia="calibri"/>
                <w:sz w:val="21"/>
              </w:rPr>
              <w:t>▲</w:t>
            </w:r>
            <w:r>
              <w:rPr>
                <w:rFonts w:ascii="宋体" w:hAnsi="宋体" w:cs="宋体" w:eastAsia="宋体"/>
                <w:sz w:val="20"/>
              </w:rPr>
              <w:t>3.1能够满足特殊光观察，激光、高频兼容性良好，全高清输出，全身防水，具有内镜信息记忆功能</w:t>
            </w:r>
            <w:r>
              <w:rPr>
                <w:rFonts w:ascii="宋体" w:hAnsi="宋体" w:cs="宋体" w:eastAsia="宋体"/>
                <w:sz w:val="20"/>
              </w:rPr>
              <w:t>；</w:t>
            </w:r>
          </w:p>
          <w:p>
            <w:pPr>
              <w:pStyle w:val="null3"/>
              <w:jc w:val="left"/>
            </w:pPr>
            <w:r>
              <w:rPr>
                <w:rFonts w:ascii="宋体" w:hAnsi="宋体" w:cs="宋体" w:eastAsia="宋体"/>
                <w:sz w:val="20"/>
              </w:rPr>
              <w:t>3.2</w:t>
            </w:r>
            <w:r>
              <w:rPr>
                <w:rFonts w:ascii="宋体" w:hAnsi="宋体" w:cs="宋体" w:eastAsia="宋体"/>
                <w:sz w:val="20"/>
              </w:rPr>
              <w:t>视</w:t>
            </w:r>
            <w:r>
              <w:rPr>
                <w:rFonts w:ascii="宋体" w:hAnsi="宋体" w:cs="宋体" w:eastAsia="宋体"/>
                <w:sz w:val="20"/>
              </w:rPr>
              <w:t>向</w:t>
            </w:r>
            <w:r>
              <w:rPr>
                <w:rFonts w:ascii="宋体" w:hAnsi="宋体" w:cs="宋体" w:eastAsia="宋体"/>
                <w:sz w:val="20"/>
              </w:rPr>
              <w:t>方向：</w:t>
            </w:r>
            <w:r>
              <w:rPr>
                <w:rFonts w:ascii="宋体" w:hAnsi="宋体" w:cs="宋体" w:eastAsia="宋体"/>
                <w:sz w:val="20"/>
              </w:rPr>
              <w:t>0</w:t>
            </w:r>
            <w:r>
              <w:rPr>
                <w:rFonts w:ascii="宋体" w:hAnsi="宋体" w:cs="宋体" w:eastAsia="宋体"/>
                <w:sz w:val="20"/>
              </w:rPr>
              <w:t>°直视；</w:t>
            </w:r>
          </w:p>
          <w:p>
            <w:pPr>
              <w:pStyle w:val="null3"/>
              <w:jc w:val="left"/>
            </w:pPr>
            <w:r>
              <w:rPr>
                <w:rFonts w:ascii="宋体" w:hAnsi="宋体" w:cs="宋体" w:eastAsia="宋体"/>
                <w:sz w:val="20"/>
              </w:rPr>
              <w:t>3.3视野角度：≥120°；</w:t>
            </w:r>
          </w:p>
          <w:p>
            <w:pPr>
              <w:pStyle w:val="null3"/>
              <w:jc w:val="left"/>
            </w:pPr>
            <w:r>
              <w:rPr>
                <w:rFonts w:ascii="宋体" w:hAnsi="宋体" w:cs="宋体" w:eastAsia="宋体"/>
                <w:sz w:val="20"/>
              </w:rPr>
              <w:t>3.4景深范围：3-100mm；</w:t>
            </w:r>
          </w:p>
          <w:p>
            <w:pPr>
              <w:pStyle w:val="null3"/>
              <w:jc w:val="left"/>
            </w:pPr>
            <w:r>
              <w:rPr>
                <w:rFonts w:ascii="宋体" w:hAnsi="宋体" w:cs="宋体" w:eastAsia="宋体"/>
                <w:sz w:val="20"/>
              </w:rPr>
              <w:t>3.5先端部外径：≤6.1mm；</w:t>
            </w:r>
          </w:p>
          <w:p>
            <w:pPr>
              <w:pStyle w:val="null3"/>
              <w:jc w:val="left"/>
            </w:pPr>
            <w:r>
              <w:rPr>
                <w:rFonts w:ascii="宋体" w:hAnsi="宋体" w:cs="宋体" w:eastAsia="宋体"/>
                <w:sz w:val="20"/>
              </w:rPr>
              <w:t>3.6插入部外径：≤6.5mm；</w:t>
            </w:r>
          </w:p>
          <w:p>
            <w:pPr>
              <w:pStyle w:val="null3"/>
              <w:jc w:val="left"/>
            </w:pPr>
            <w:r>
              <w:rPr>
                <w:rFonts w:ascii="宋体" w:hAnsi="宋体" w:cs="宋体" w:eastAsia="宋体"/>
                <w:sz w:val="20"/>
              </w:rPr>
              <w:t>3.7有效长度：≥600mm；</w:t>
            </w:r>
          </w:p>
          <w:p>
            <w:pPr>
              <w:pStyle w:val="null3"/>
              <w:jc w:val="left"/>
            </w:pPr>
            <w:r>
              <w:rPr>
                <w:rFonts w:ascii="宋体" w:hAnsi="宋体" w:cs="宋体" w:eastAsia="宋体"/>
                <w:sz w:val="20"/>
              </w:rPr>
              <w:t>3.8全长：≥800mm；</w:t>
            </w:r>
          </w:p>
          <w:p>
            <w:pPr>
              <w:pStyle w:val="null3"/>
              <w:jc w:val="left"/>
            </w:pPr>
            <w:r>
              <w:rPr>
                <w:rFonts w:ascii="宋体" w:hAnsi="宋体" w:cs="宋体" w:eastAsia="宋体"/>
                <w:sz w:val="20"/>
              </w:rPr>
              <w:t>3.9</w:t>
            </w:r>
            <w:r>
              <w:rPr>
                <w:rFonts w:ascii="宋体" w:hAnsi="宋体" w:cs="宋体" w:eastAsia="宋体"/>
                <w:sz w:val="20"/>
              </w:rPr>
              <w:t>弯曲角度：上</w:t>
            </w:r>
            <w:r>
              <w:rPr>
                <w:rFonts w:ascii="宋体" w:hAnsi="宋体" w:cs="宋体" w:eastAsia="宋体"/>
                <w:sz w:val="20"/>
              </w:rPr>
              <w:t>≥180°、下≥130°；</w:t>
            </w:r>
          </w:p>
          <w:p>
            <w:pPr>
              <w:pStyle w:val="null3"/>
              <w:jc w:val="both"/>
            </w:pPr>
            <w:r>
              <w:rPr>
                <w:rFonts w:ascii="宋体" w:hAnsi="宋体" w:cs="宋体" w:eastAsia="宋体"/>
                <w:sz w:val="20"/>
              </w:rPr>
              <w:t>3.10</w:t>
            </w:r>
            <w:r>
              <w:rPr>
                <w:rFonts w:ascii="宋体" w:hAnsi="宋体" w:cs="宋体" w:eastAsia="宋体"/>
                <w:sz w:val="20"/>
              </w:rPr>
              <w:t>内镜管道：</w:t>
            </w:r>
            <w:r>
              <w:rPr>
                <w:rFonts w:ascii="宋体" w:hAnsi="宋体" w:cs="宋体" w:eastAsia="宋体"/>
                <w:sz w:val="20"/>
              </w:rPr>
              <w:t>≥2.</w:t>
            </w:r>
            <w:r>
              <w:rPr>
                <w:rFonts w:ascii="宋体" w:hAnsi="宋体" w:cs="宋体" w:eastAsia="宋体"/>
                <w:sz w:val="20"/>
              </w:rPr>
              <w:t>7</w:t>
            </w:r>
            <w:r>
              <w:rPr>
                <w:rFonts w:ascii="宋体" w:hAnsi="宋体" w:cs="宋体" w:eastAsia="宋体"/>
                <w:sz w:val="20"/>
              </w:rPr>
              <w:t>mm</w:t>
            </w:r>
            <w:r>
              <w:rPr>
                <w:rFonts w:ascii="宋体" w:hAnsi="宋体" w:cs="宋体" w:eastAsia="宋体"/>
                <w:sz w:val="20"/>
              </w:rPr>
              <w:t>。</w:t>
            </w:r>
          </w:p>
          <w:p>
            <w:pPr>
              <w:pStyle w:val="null3"/>
              <w:jc w:val="left"/>
            </w:pPr>
            <w:r>
              <w:rPr>
                <w:rFonts w:ascii="宋体" w:hAnsi="宋体" w:cs="宋体" w:eastAsia="宋体"/>
                <w:sz w:val="20"/>
                <w:b/>
              </w:rPr>
              <w:t>4、</w:t>
            </w:r>
            <w:r>
              <w:rPr>
                <w:rFonts w:ascii="宋体" w:hAnsi="宋体" w:cs="宋体" w:eastAsia="宋体"/>
                <w:sz w:val="20"/>
                <w:b/>
              </w:rPr>
              <w:t>医用高清监视器</w:t>
            </w:r>
          </w:p>
          <w:p>
            <w:pPr>
              <w:pStyle w:val="null3"/>
              <w:jc w:val="left"/>
            </w:pPr>
            <w:r>
              <w:rPr>
                <w:rFonts w:ascii="宋体" w:hAnsi="宋体" w:cs="宋体" w:eastAsia="宋体"/>
                <w:sz w:val="20"/>
              </w:rPr>
              <w:t>4.1</w:t>
            </w:r>
            <w:r>
              <w:rPr>
                <w:rFonts w:ascii="宋体" w:hAnsi="宋体" w:cs="宋体" w:eastAsia="宋体"/>
                <w:sz w:val="20"/>
              </w:rPr>
              <w:t>全高清屏幕，尺寸</w:t>
            </w:r>
            <w:r>
              <w:rPr>
                <w:rFonts w:ascii="宋体" w:hAnsi="宋体" w:cs="宋体" w:eastAsia="宋体"/>
                <w:sz w:val="20"/>
              </w:rPr>
              <w:t>≥24英寸，分辨率≥1920*1080；</w:t>
            </w:r>
          </w:p>
          <w:p>
            <w:pPr>
              <w:pStyle w:val="null3"/>
              <w:jc w:val="left"/>
            </w:pPr>
            <w:r>
              <w:rPr>
                <w:rFonts w:ascii="宋体" w:hAnsi="宋体" w:cs="宋体" w:eastAsia="宋体"/>
                <w:sz w:val="20"/>
              </w:rPr>
              <w:t>4.2</w:t>
            </w:r>
            <w:r>
              <w:rPr>
                <w:rFonts w:ascii="宋体" w:hAnsi="宋体" w:cs="宋体" w:eastAsia="宋体"/>
                <w:sz w:val="20"/>
              </w:rPr>
              <w:t>具有水平翻转、</w:t>
            </w:r>
            <w:r>
              <w:rPr>
                <w:rFonts w:ascii="宋体" w:hAnsi="宋体" w:cs="宋体" w:eastAsia="宋体"/>
                <w:sz w:val="20"/>
              </w:rPr>
              <w:t>180°旋转等功能；</w:t>
            </w:r>
          </w:p>
          <w:p>
            <w:pPr>
              <w:pStyle w:val="null3"/>
              <w:jc w:val="left"/>
            </w:pPr>
            <w:r>
              <w:rPr>
                <w:rFonts w:ascii="宋体" w:hAnsi="宋体" w:cs="宋体" w:eastAsia="宋体"/>
                <w:sz w:val="20"/>
              </w:rPr>
              <w:t>4.3</w:t>
            </w:r>
            <w:r>
              <w:rPr>
                <w:rFonts w:ascii="宋体" w:hAnsi="宋体" w:cs="宋体" w:eastAsia="宋体"/>
                <w:sz w:val="20"/>
              </w:rPr>
              <w:t>支持多种显示模式：画中画、画外画等；</w:t>
            </w:r>
          </w:p>
          <w:p>
            <w:pPr>
              <w:pStyle w:val="null3"/>
              <w:jc w:val="left"/>
            </w:pPr>
            <w:r>
              <w:rPr>
                <w:rFonts w:ascii="宋体" w:hAnsi="宋体" w:cs="宋体" w:eastAsia="宋体"/>
                <w:sz w:val="20"/>
              </w:rPr>
              <w:t>4.4</w:t>
            </w:r>
            <w:r>
              <w:rPr>
                <w:rFonts w:ascii="宋体" w:hAnsi="宋体" w:cs="宋体" w:eastAsia="宋体"/>
                <w:sz w:val="20"/>
              </w:rPr>
              <w:t>输入</w:t>
            </w:r>
            <w:r>
              <w:rPr>
                <w:rFonts w:ascii="宋体" w:hAnsi="宋体" w:cs="宋体" w:eastAsia="宋体"/>
                <w:sz w:val="20"/>
              </w:rPr>
              <w:t>/出端口能兼容数字和模拟视频信号。</w:t>
            </w:r>
          </w:p>
          <w:p>
            <w:pPr>
              <w:pStyle w:val="null3"/>
              <w:jc w:val="left"/>
            </w:pPr>
            <w:r>
              <w:rPr>
                <w:rFonts w:ascii="宋体" w:hAnsi="宋体" w:cs="宋体" w:eastAsia="宋体"/>
                <w:sz w:val="20"/>
                <w:b/>
              </w:rPr>
              <w:t>5、</w:t>
            </w:r>
            <w:r>
              <w:rPr>
                <w:rFonts w:ascii="宋体" w:hAnsi="宋体" w:cs="宋体" w:eastAsia="宋体"/>
                <w:sz w:val="20"/>
                <w:b/>
              </w:rPr>
              <w:t>内镜专用台车</w:t>
            </w:r>
            <w:r>
              <w:rPr>
                <w:rFonts w:ascii="宋体" w:hAnsi="宋体" w:cs="宋体" w:eastAsia="宋体"/>
                <w:sz w:val="20"/>
                <w:b/>
              </w:rPr>
              <w:t>：</w:t>
            </w:r>
            <w:r>
              <w:rPr>
                <w:rFonts w:ascii="宋体" w:hAnsi="宋体" w:cs="宋体" w:eastAsia="宋体"/>
                <w:sz w:val="20"/>
              </w:rPr>
              <w:t>台车具有内镜专用挂架。</w:t>
            </w:r>
          </w:p>
          <w:p>
            <w:pPr>
              <w:pStyle w:val="null3"/>
              <w:jc w:val="left"/>
            </w:pPr>
            <w:r>
              <w:rPr>
                <w:rFonts w:ascii="宋体" w:hAnsi="宋体" w:cs="宋体" w:eastAsia="宋体"/>
                <w:sz w:val="20"/>
                <w:b/>
              </w:rPr>
              <w:t>6、配</w:t>
            </w:r>
            <w:r>
              <w:rPr>
                <w:rFonts w:ascii="宋体" w:hAnsi="宋体" w:cs="宋体" w:eastAsia="宋体"/>
                <w:sz w:val="20"/>
                <w:b/>
              </w:rPr>
              <w:t>测漏器</w:t>
            </w:r>
            <w:r>
              <w:rPr>
                <w:rFonts w:ascii="宋体" w:hAnsi="宋体" w:cs="宋体" w:eastAsia="宋体"/>
                <w:sz w:val="20"/>
                <w:b/>
              </w:rPr>
              <w:t>：</w:t>
            </w:r>
            <w:r>
              <w:rPr>
                <w:rFonts w:ascii="宋体" w:hAnsi="宋体" w:cs="宋体" w:eastAsia="宋体"/>
                <w:sz w:val="20"/>
              </w:rPr>
              <w:t>要求配备至少</w:t>
            </w:r>
            <w:r>
              <w:rPr>
                <w:rFonts w:ascii="宋体" w:hAnsi="宋体" w:cs="宋体" w:eastAsia="宋体"/>
                <w:sz w:val="20"/>
              </w:rPr>
              <w:t>1套原装配套测漏设备，测试精准，便于操作。</w:t>
            </w:r>
          </w:p>
          <w:p>
            <w:pPr>
              <w:pStyle w:val="null3"/>
              <w:jc w:val="left"/>
            </w:pPr>
            <w:r>
              <w:rPr>
                <w:rFonts w:ascii="宋体" w:hAnsi="宋体" w:cs="宋体" w:eastAsia="宋体"/>
                <w:sz w:val="20"/>
                <w:b/>
              </w:rPr>
              <w:t>7、</w:t>
            </w:r>
            <w:r>
              <w:rPr>
                <w:rFonts w:ascii="宋体" w:hAnsi="宋体" w:cs="宋体" w:eastAsia="宋体"/>
                <w:sz w:val="20"/>
                <w:b/>
              </w:rPr>
              <w:t>图文工作站</w:t>
            </w:r>
          </w:p>
          <w:p>
            <w:pPr>
              <w:pStyle w:val="null3"/>
              <w:jc w:val="left"/>
            </w:pPr>
            <w:r>
              <w:rPr>
                <w:rFonts w:ascii="宋体" w:hAnsi="宋体" w:cs="宋体" w:eastAsia="宋体"/>
                <w:sz w:val="20"/>
              </w:rPr>
              <w:t>7.1主机：</w:t>
            </w:r>
          </w:p>
          <w:p>
            <w:pPr>
              <w:pStyle w:val="null3"/>
              <w:ind w:firstLine="200"/>
              <w:jc w:val="left"/>
            </w:pPr>
            <w:r>
              <w:rPr>
                <w:rFonts w:ascii="宋体" w:hAnsi="宋体" w:cs="宋体" w:eastAsia="宋体"/>
                <w:sz w:val="20"/>
              </w:rPr>
              <w:t>Intel G3900 双核 CPU 或同档次及以上</w:t>
            </w:r>
          </w:p>
          <w:p>
            <w:pPr>
              <w:pStyle w:val="null3"/>
              <w:ind w:firstLine="200"/>
              <w:jc w:val="left"/>
            </w:pPr>
            <w:r>
              <w:rPr>
                <w:rFonts w:ascii="宋体" w:hAnsi="宋体" w:cs="宋体" w:eastAsia="宋体"/>
                <w:sz w:val="20"/>
              </w:rPr>
              <w:t>内存</w:t>
            </w:r>
            <w:r>
              <w:rPr>
                <w:rFonts w:ascii="宋体" w:hAnsi="宋体" w:cs="宋体" w:eastAsia="宋体"/>
                <w:sz w:val="20"/>
              </w:rPr>
              <w:t xml:space="preserve">≥4096M DDRAM  </w:t>
            </w:r>
          </w:p>
          <w:p>
            <w:pPr>
              <w:pStyle w:val="null3"/>
              <w:ind w:firstLine="200"/>
              <w:jc w:val="left"/>
            </w:pPr>
            <w:r>
              <w:rPr>
                <w:rFonts w:ascii="宋体" w:hAnsi="宋体" w:cs="宋体" w:eastAsia="宋体"/>
                <w:sz w:val="20"/>
              </w:rPr>
              <w:t>硬盘</w:t>
            </w:r>
            <w:r>
              <w:rPr>
                <w:rFonts w:ascii="宋体" w:hAnsi="宋体" w:cs="宋体" w:eastAsia="宋体"/>
                <w:sz w:val="20"/>
              </w:rPr>
              <w:t>≥500G</w:t>
            </w:r>
          </w:p>
          <w:p>
            <w:pPr>
              <w:pStyle w:val="null3"/>
              <w:ind w:firstLine="200"/>
              <w:jc w:val="left"/>
            </w:pPr>
            <w:r>
              <w:rPr>
                <w:rFonts w:ascii="宋体" w:hAnsi="宋体" w:cs="宋体" w:eastAsia="宋体"/>
                <w:sz w:val="20"/>
              </w:rPr>
              <w:t>主板集成高性能显卡</w:t>
            </w:r>
          </w:p>
          <w:p>
            <w:pPr>
              <w:pStyle w:val="null3"/>
              <w:ind w:firstLine="200"/>
              <w:jc w:val="left"/>
            </w:pPr>
            <w:r>
              <w:rPr>
                <w:rFonts w:ascii="宋体" w:hAnsi="宋体" w:cs="宋体" w:eastAsia="宋体"/>
                <w:sz w:val="20"/>
              </w:rPr>
              <w:t>DVD 光盘驱动器</w:t>
            </w:r>
          </w:p>
          <w:p>
            <w:pPr>
              <w:pStyle w:val="null3"/>
              <w:ind w:firstLine="200"/>
              <w:jc w:val="left"/>
            </w:pPr>
            <w:r>
              <w:rPr>
                <w:rFonts w:ascii="宋体" w:hAnsi="宋体" w:cs="宋体" w:eastAsia="宋体"/>
                <w:sz w:val="20"/>
              </w:rPr>
              <w:t>专业静</w:t>
            </w:r>
            <w:r>
              <w:rPr>
                <w:rFonts w:ascii="宋体" w:hAnsi="宋体" w:cs="宋体" w:eastAsia="宋体"/>
                <w:sz w:val="20"/>
              </w:rPr>
              <w:t>/动态图像采集卡</w:t>
            </w:r>
          </w:p>
          <w:p>
            <w:pPr>
              <w:pStyle w:val="null3"/>
              <w:ind w:firstLine="200"/>
              <w:jc w:val="left"/>
            </w:pPr>
            <w:r>
              <w:rPr>
                <w:rFonts w:ascii="宋体" w:hAnsi="宋体" w:cs="宋体" w:eastAsia="宋体"/>
                <w:sz w:val="20"/>
              </w:rPr>
              <w:t>内窥镜医学影像信息管理系统</w:t>
            </w:r>
          </w:p>
          <w:p>
            <w:pPr>
              <w:pStyle w:val="null3"/>
              <w:jc w:val="both"/>
            </w:pPr>
            <w:r>
              <w:rPr>
                <w:rFonts w:ascii="宋体" w:hAnsi="宋体" w:cs="宋体" w:eastAsia="宋体"/>
                <w:sz w:val="20"/>
              </w:rPr>
              <w:t>7.2</w:t>
            </w:r>
            <w:r>
              <w:rPr>
                <w:rFonts w:ascii="宋体" w:hAnsi="宋体" w:cs="宋体" w:eastAsia="宋体"/>
                <w:sz w:val="20"/>
              </w:rPr>
              <w:t>显示器</w:t>
            </w:r>
            <w:r>
              <w:rPr>
                <w:rFonts w:ascii="宋体" w:hAnsi="宋体" w:cs="宋体" w:eastAsia="宋体"/>
                <w:sz w:val="20"/>
              </w:rPr>
              <w:t>≥22英寸。</w:t>
            </w:r>
          </w:p>
          <w:p>
            <w:pPr>
              <w:pStyle w:val="null3"/>
              <w:jc w:val="left"/>
            </w:pPr>
            <w:r>
              <w:rPr>
                <w:rFonts w:ascii="宋体" w:hAnsi="宋体" w:cs="宋体" w:eastAsia="宋体"/>
                <w:sz w:val="20"/>
              </w:rPr>
              <w:t>7.3</w:t>
            </w:r>
            <w:r>
              <w:rPr>
                <w:rFonts w:ascii="宋体" w:hAnsi="宋体" w:cs="宋体" w:eastAsia="宋体"/>
                <w:sz w:val="20"/>
              </w:rPr>
              <w:t>打印机：彩色喷墨打印机</w:t>
            </w:r>
          </w:p>
          <w:p>
            <w:pPr>
              <w:pStyle w:val="null3"/>
              <w:jc w:val="both"/>
            </w:pPr>
            <w:r>
              <w:rPr>
                <w:rFonts w:ascii="宋体" w:hAnsi="宋体" w:cs="宋体" w:eastAsia="宋体"/>
                <w:sz w:val="20"/>
              </w:rPr>
              <w:t>7.4附件：视频线，辅助图像采集脚踏开关</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进口产品合同签订后90日历日，国产产品合同签订后60日历日</w:t>
      </w:r>
    </w:p>
    <w:p>
      <w:pPr>
        <w:pStyle w:val="null3"/>
        <w:outlineLvl w:val="3"/>
      </w:pPr>
      <w:r>
        <w:rPr>
          <w:sz w:val="24"/>
          <w:b/>
        </w:rPr>
        <w:t>3.4.2交货地点</w:t>
      </w:r>
    </w:p>
    <w:p>
      <w:pPr>
        <w:pStyle w:val="null3"/>
      </w:pPr>
      <w:r>
        <w:rPr/>
        <w:t>采购包1：</w:t>
      </w:r>
    </w:p>
    <w:p>
      <w:pPr>
        <w:pStyle w:val="null3"/>
      </w:pPr>
      <w:r>
        <w:rPr/>
        <w:t>西安医学院附属宝鸡医院指定地点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签订合同且安装调试终验合格并出具全额税务发票，运行期间无质量问题</w:t>
      </w:r>
      <w:r>
        <w:rPr/>
        <w:t xml:space="preserve"> ，达到付款条件起 </w:t>
      </w:r>
      <w:r>
        <w:rPr/>
        <w:t>90</w:t>
      </w:r>
      <w:r>
        <w:rPr/>
        <w:t xml:space="preserve"> 日内，支付合同总金额的 </w:t>
      </w:r>
      <w:r>
        <w:rPr/>
        <w:t>50.00</w:t>
      </w:r>
      <w:r>
        <w:rPr/>
        <w:t>%。</w:t>
      </w:r>
    </w:p>
    <w:p>
      <w:pPr>
        <w:pStyle w:val="null3"/>
      </w:pPr>
      <w:r>
        <w:rPr/>
        <w:t>采购包1：</w:t>
      </w:r>
      <w:r>
        <w:rPr/>
        <w:t xml:space="preserve"> 付款条件说明： </w:t>
      </w:r>
      <w:r>
        <w:rPr/>
        <w:t>签订合同且安装调试终验合格并出具全额税务发票，运行期间无质量问题，六个月后</w:t>
      </w:r>
      <w:r>
        <w:rPr/>
        <w:t xml:space="preserve"> ，达到付款条件起 </w:t>
      </w:r>
      <w:r>
        <w:rPr/>
        <w:t>90</w:t>
      </w:r>
      <w:r>
        <w:rPr/>
        <w:t xml:space="preserve"> 日内，支付合同总金额的 </w:t>
      </w:r>
      <w:r>
        <w:rPr/>
        <w:t>40.00</w:t>
      </w:r>
      <w:r>
        <w:rPr/>
        <w:t>%。</w:t>
      </w:r>
    </w:p>
    <w:p>
      <w:pPr>
        <w:pStyle w:val="null3"/>
      </w:pPr>
      <w:r>
        <w:rPr/>
        <w:t>采购包1：</w:t>
      </w:r>
      <w:r>
        <w:rPr/>
        <w:t xml:space="preserve"> 付款条件说明： </w:t>
      </w:r>
      <w:r>
        <w:rPr/>
        <w:t>签订合同且安装调试终验合格并出具全额税务发票，运行期间无质量问题，二年后</w:t>
      </w:r>
      <w:r>
        <w:rPr/>
        <w:t xml:space="preserve"> ，达到付款条件起 </w:t>
      </w:r>
      <w:r>
        <w:rPr/>
        <w:t>90</w:t>
      </w:r>
      <w:r>
        <w:rPr/>
        <w:t xml:space="preserve"> 日内，支付合同总金额的 </w:t>
      </w:r>
      <w:r>
        <w:rPr/>
        <w:t>10.00</w:t>
      </w:r>
      <w:r>
        <w:rPr/>
        <w:t>%。</w:t>
      </w:r>
    </w:p>
    <w:p>
      <w:pPr>
        <w:pStyle w:val="null3"/>
        <w:outlineLvl w:val="3"/>
      </w:pPr>
      <w:r>
        <w:rPr>
          <w:sz w:val="24"/>
          <w:b/>
        </w:rPr>
        <w:t>3.4.5验收标准和方法</w:t>
      </w:r>
    </w:p>
    <w:p>
      <w:pPr>
        <w:pStyle w:val="null3"/>
      </w:pPr>
      <w:r>
        <w:rPr/>
        <w:t>采购包1：</w:t>
      </w:r>
    </w:p>
    <w:p>
      <w:pPr>
        <w:pStyle w:val="null3"/>
      </w:pPr>
      <w:r>
        <w:rPr/>
        <w:t>1、国家相关法规规定；2、甲乙双方签订的合同；3、招标文件、投标文件 验收方法：甲乙双方共同进行验收。根据有关法规、文件规定,必须由环保、质量监督管理等部门出据检验合格证明的，此检验证明作为终验的依据。所有安装验收手续由乙方办理并承担费用，甲方提供相关协助。验收依据为本合同文本、招标文件、投标文件和国内相应的标准、规范。 1、初验：货物到达甲方指定交货地点后，由甲方根据合同要求对产品进行验收，确认产品的产地、规格、型号和数量等。 2、终验：所有货物（设备）安装调试完毕，正常使用30个日历日后，乙方向甲方设备管理部门提交终验申请，并向甲方移交与设备相关的所有资料（包含但不限于：提供完整的操作手册和安装、调试、维修手册；提供制造厂家的检验测试报告或产品出厂检测报告等），由设备管理部门组织相关部门进行验收，验收合格签定验收表作为终验。 3、验收不合格的，乙方必须在接到通知后 5 个日历日内完成整改提交二次验收申请，并承担二次验收费用。若二次验收仍不合格，乙方需按合同金额5%支付违约金，并可解除本合同，还应赔偿因此给甲方造成的损失。</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自货物终验合格之日起计算，质保期不小于2年 1、乙方保证所提供的产品质量可靠，进货渠道正常，配置合理，技术性能完全满足招标文件要求； 2、若产品所用原材料或加工工艺造成的质量和内外观缺陷问题，由乙方负责解决并承担费用。（卖方保证货物是全新的、未曾使用过的、以优质工艺及材料制造，并保证所供产品的完整性，本合同产品为成套供货，合同总价中已包括满足产品完整运行的附件，备件，配套件等，产品质量应符合国标标准和本合同附件的要求,卖方应随机提供产品检验报告。） 3、产品整体质保为 年，自货物终验合格之日起计算，保修期内免费维护，并免费提供备品、备件，更换故障部件、设备等。保修期外不收维修费，只收零件费；终身售后服务。无论在保修期内或保修期外，供应商需提供上门维修服务，且在接到故障报修后能在 小时内到达现场，并于 小时内排除故障，否则甲方可采取必要补救措施（包括但不限于委托第三方进行处理），但其风险和费用将由乙方承担，甲方根据合同规定对乙方行使的其他权利不受影响，甲方亦可从质保金中扣除由此产生的全部费用。提供上门免费维护和检查，随访频率不少于2次/年。 4、产品性能未达到技术要求的，乙方限期内进行整改；整改仍达不到要求的，甲方有权单方解除合同，保留依法索赔的权利。 5、除合同另有规定外，乙方提供的全部货物，均应按标准保护措施进行包装，包装箱应用新的、坚固的、经过熏蒸后的木箱，并在木箱上施封IPPC标识，应具有原产国标识且标识清楚，每件货物必须单独包装发运，不得捆扎并适用于长途运输，防潮、防锈、防震、防粗暴装卸，适用于海、空、陆运输和整体吊装，以确保货物安全无损运抵甲方指定地点。每一个包装箱内应附有一份详细装箱单和质量合格证。乙方应保证甲方在使用该货物或其任何一部分时免受第三方提出侵犯其专利权、商标权或工业设计等知识产权的起诉，如导致甲方损失的，甲方有权向乙方索赔。</w:t>
      </w:r>
    </w:p>
    <w:p>
      <w:pPr>
        <w:pStyle w:val="null3"/>
        <w:outlineLvl w:val="3"/>
      </w:pPr>
      <w:r>
        <w:rPr>
          <w:sz w:val="24"/>
          <w:b/>
        </w:rPr>
        <w:t>3.4.8违约责任与解决争议的方法</w:t>
      </w:r>
    </w:p>
    <w:p>
      <w:pPr>
        <w:pStyle w:val="null3"/>
      </w:pPr>
      <w:r>
        <w:rPr/>
        <w:t>采购包1：</w:t>
      </w:r>
    </w:p>
    <w:p>
      <w:pPr>
        <w:pStyle w:val="null3"/>
      </w:pPr>
      <w:r>
        <w:rPr/>
        <w:t>1、按《中华人民共和国民法典》中的相关条款执行。 2、未按合同要求提供产品或产品质量不能满足招标文件的技术要求，甲方有权单方解除合同，并保留追究乙方违约责任的权利。 3、乙方未按照本合同第四条第2款约定的交货期限完成供货导致期限迟延的，则乙方应每天按照合同总价的1‰向甲方承担违约责任，如乙方延期供货达20日的视为乙方根本违约，甲方有权单方解除合同，乙方按合同总价款的10%向甲方支付违约金。 4、产品质量问题违约的，乙方除了按照迟延时间以本条第3款的标准计算违约金外，甲方另可以采取退货、换货等方式，乙方必须无条件更换，提高技术，完善质量，否则，甲方有权单方面解除合同，解除合同书面通知书到达乙方之日视为合同解除，并按以下两种方式追究乙方的违约责任： （1）乙方赔偿甲方解除合同的全部损失（包括但不限于重新招标、采购产生的费用、合同未履行导致设备不能按约定交付使用可能产生的租赁费用及其它由此造成的甲方对第三方的违约损失）； （2）乙方支付甲方违约金，违约金计算方法：以合同总价为基数，支付甲方合同总价的10%为违约金，同时甲方对乙方的违约行为上报监管机构进行相应的处罚。 解决争议的方法：1、合同一经签订，不得随意变更、中止或终止。对确需变更、调整或者中止、终止合同的，应按规定履行相应的手续。 2、合同执行中发生争议的，甲、乙双方应协商解决，协商达不成一致时，可向甲方所在地人民法院提请诉讼。</w:t>
      </w:r>
    </w:p>
    <w:p>
      <w:pPr>
        <w:pStyle w:val="null3"/>
        <w:jc w:val="left"/>
        <w:outlineLvl w:val="2"/>
      </w:pPr>
      <w:r>
        <w:rPr>
          <w:sz w:val="28"/>
          <w:b/>
        </w:rPr>
        <w:t>3.5其他要求</w:t>
      </w:r>
    </w:p>
    <w:p>
      <w:pPr>
        <w:pStyle w:val="null3"/>
      </w:pPr>
      <w:r>
        <w:rPr/>
        <w:t>供应商需要在线提交所有通过电子化交易平台实施的政府采购项目的投标文件，同时，线下提交投标 文件正本 壹 份、副本 贰份。若电子投标文件 与纸质投标文件不一致的，以线上提交的电子投标文件为准。 1.线下提交投标文件地点：西安市高新区唐延路旺座现代城C座25楼2502室 2.联系电话：029-88319689转8006 邮箱：sxwzzb123@163.com 3.保证金汇款时请备注项目编号（例如备注为：宝鸡医院-294）</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第一部分资格证明文件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第一部分资格证明文件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第一部分资格证明文件</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提供合格有效的法人或其他组织的营业执照等证明文件，自然人参与的提供其身份证</w:t>
            </w:r>
          </w:p>
        </w:tc>
        <w:tc>
          <w:tcPr>
            <w:tcW w:type="dxa" w:w="1661"/>
          </w:tcPr>
          <w:p>
            <w:pPr>
              <w:pStyle w:val="null3"/>
            </w:pPr>
            <w:r>
              <w:rPr/>
              <w:t>第一部分资格证明文件</w:t>
            </w:r>
          </w:p>
        </w:tc>
      </w:tr>
      <w:tr>
        <w:tc>
          <w:tcPr>
            <w:tcW w:type="dxa" w:w="831"/>
          </w:tcPr>
          <w:p>
            <w:pPr>
              <w:pStyle w:val="null3"/>
            </w:pPr>
            <w:r>
              <w:rPr/>
              <w:t>2</w:t>
            </w:r>
          </w:p>
        </w:tc>
        <w:tc>
          <w:tcPr>
            <w:tcW w:type="dxa" w:w="2492"/>
          </w:tcPr>
          <w:p>
            <w:pPr>
              <w:pStyle w:val="null3"/>
            </w:pPr>
            <w:r>
              <w:rPr/>
              <w:t>法定代表人委托授权书</w:t>
            </w:r>
          </w:p>
        </w:tc>
        <w:tc>
          <w:tcPr>
            <w:tcW w:type="dxa" w:w="3322"/>
          </w:tcPr>
          <w:p>
            <w:pPr>
              <w:pStyle w:val="null3"/>
            </w:pPr>
            <w:r>
              <w:rPr/>
              <w:t>非法定代表人参加投标的，须提供法定代表人授权委托书及被授权人身份证；法定代表人参加投标时,只须提供法定代表人身份证；</w:t>
            </w:r>
          </w:p>
        </w:tc>
        <w:tc>
          <w:tcPr>
            <w:tcW w:type="dxa" w:w="1661"/>
          </w:tcPr>
          <w:p>
            <w:pPr>
              <w:pStyle w:val="null3"/>
            </w:pPr>
            <w:r>
              <w:rPr/>
              <w:t>第一部分资格证明文件</w:t>
            </w:r>
          </w:p>
        </w:tc>
      </w:tr>
      <w:tr>
        <w:tc>
          <w:tcPr>
            <w:tcW w:type="dxa" w:w="831"/>
          </w:tcPr>
          <w:p>
            <w:pPr>
              <w:pStyle w:val="null3"/>
            </w:pPr>
            <w:r>
              <w:rPr/>
              <w:t>3</w:t>
            </w:r>
          </w:p>
        </w:tc>
        <w:tc>
          <w:tcPr>
            <w:tcW w:type="dxa" w:w="2492"/>
          </w:tcPr>
          <w:p>
            <w:pPr>
              <w:pStyle w:val="null3"/>
            </w:pPr>
            <w:r>
              <w:rPr/>
              <w:t>无重大违法记录的书面声明</w:t>
            </w:r>
          </w:p>
        </w:tc>
        <w:tc>
          <w:tcPr>
            <w:tcW w:type="dxa" w:w="3322"/>
          </w:tcPr>
          <w:p>
            <w:pPr>
              <w:pStyle w:val="null3"/>
            </w:pPr>
            <w:r>
              <w:rPr/>
              <w:t>投标人应出具参加政府采购活动前3年内在经营活动中没有重大违法记录的书面声明</w:t>
            </w:r>
          </w:p>
        </w:tc>
        <w:tc>
          <w:tcPr>
            <w:tcW w:type="dxa" w:w="1661"/>
          </w:tcPr>
          <w:p>
            <w:pPr>
              <w:pStyle w:val="null3"/>
            </w:pPr>
            <w:r>
              <w:rPr/>
              <w:t>第一部分资格证明文件</w:t>
            </w:r>
          </w:p>
        </w:tc>
      </w:tr>
      <w:tr>
        <w:tc>
          <w:tcPr>
            <w:tcW w:type="dxa" w:w="831"/>
          </w:tcPr>
          <w:p>
            <w:pPr>
              <w:pStyle w:val="null3"/>
            </w:pPr>
            <w:r>
              <w:rPr/>
              <w:t>4</w:t>
            </w:r>
          </w:p>
        </w:tc>
        <w:tc>
          <w:tcPr>
            <w:tcW w:type="dxa" w:w="2492"/>
          </w:tcPr>
          <w:p>
            <w:pPr>
              <w:pStyle w:val="null3"/>
            </w:pPr>
            <w:r>
              <w:rPr/>
              <w:t>供应商信誉证明</w:t>
            </w:r>
          </w:p>
        </w:tc>
        <w:tc>
          <w:tcPr>
            <w:tcW w:type="dxa" w:w="3322"/>
          </w:tcPr>
          <w:p>
            <w:pPr>
              <w:pStyle w:val="null3"/>
            </w:pPr>
            <w:r>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t>第一部分资格证明文件</w:t>
            </w:r>
          </w:p>
        </w:tc>
      </w:tr>
      <w:tr>
        <w:tc>
          <w:tcPr>
            <w:tcW w:type="dxa" w:w="831"/>
          </w:tcPr>
          <w:p>
            <w:pPr>
              <w:pStyle w:val="null3"/>
            </w:pPr>
            <w:r>
              <w:rPr/>
              <w:t>5</w:t>
            </w:r>
          </w:p>
        </w:tc>
        <w:tc>
          <w:tcPr>
            <w:tcW w:type="dxa" w:w="2492"/>
          </w:tcPr>
          <w:p>
            <w:pPr>
              <w:pStyle w:val="null3"/>
            </w:pPr>
            <w:r>
              <w:rPr/>
              <w:t>财务状况证明</w:t>
            </w:r>
          </w:p>
        </w:tc>
        <w:tc>
          <w:tcPr>
            <w:tcW w:type="dxa" w:w="3322"/>
          </w:tcPr>
          <w:p>
            <w:pPr>
              <w:pStyle w:val="null3"/>
            </w:pPr>
            <w:r>
              <w:rPr/>
              <w:t>提供经会计师事务所审计的2023年财务审计报告，或在开标日期前六个月内其基本开户银行出具的资信证明；</w:t>
            </w:r>
          </w:p>
        </w:tc>
        <w:tc>
          <w:tcPr>
            <w:tcW w:type="dxa" w:w="1661"/>
          </w:tcPr>
          <w:p>
            <w:pPr>
              <w:pStyle w:val="null3"/>
            </w:pPr>
            <w:r>
              <w:rPr/>
              <w:t>第一部分资格证明文件</w:t>
            </w:r>
          </w:p>
        </w:tc>
      </w:tr>
      <w:tr>
        <w:tc>
          <w:tcPr>
            <w:tcW w:type="dxa" w:w="831"/>
          </w:tcPr>
          <w:p>
            <w:pPr>
              <w:pStyle w:val="null3"/>
            </w:pPr>
            <w:r>
              <w:rPr/>
              <w:t>6</w:t>
            </w:r>
          </w:p>
        </w:tc>
        <w:tc>
          <w:tcPr>
            <w:tcW w:type="dxa" w:w="2492"/>
          </w:tcPr>
          <w:p>
            <w:pPr>
              <w:pStyle w:val="null3"/>
            </w:pPr>
            <w:r>
              <w:rPr/>
              <w:t>社保缴纳证明</w:t>
            </w:r>
          </w:p>
        </w:tc>
        <w:tc>
          <w:tcPr>
            <w:tcW w:type="dxa" w:w="3322"/>
          </w:tcPr>
          <w:p>
            <w:pPr>
              <w:pStyle w:val="null3"/>
            </w:pPr>
            <w:r>
              <w:rPr/>
              <w:t>提供已缴存的2024年1月1日以来至少一个月的社会保障资金缴存单据或社保机构开具的社会保险参保缴费情况证明。依法不需要缴纳社会保障资金的供应商应提供相关文件证明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t>第一部分资格证明文件</w:t>
            </w:r>
          </w:p>
        </w:tc>
      </w:tr>
      <w:tr>
        <w:tc>
          <w:tcPr>
            <w:tcW w:type="dxa" w:w="831"/>
          </w:tcPr>
          <w:p>
            <w:pPr>
              <w:pStyle w:val="null3"/>
            </w:pPr>
            <w:r>
              <w:rPr/>
              <w:t>7</w:t>
            </w:r>
          </w:p>
        </w:tc>
        <w:tc>
          <w:tcPr>
            <w:tcW w:type="dxa" w:w="2492"/>
          </w:tcPr>
          <w:p>
            <w:pPr>
              <w:pStyle w:val="null3"/>
            </w:pPr>
            <w:r>
              <w:rPr/>
              <w:t>税收缴纳证明</w:t>
            </w:r>
          </w:p>
        </w:tc>
        <w:tc>
          <w:tcPr>
            <w:tcW w:type="dxa" w:w="3322"/>
          </w:tcPr>
          <w:p>
            <w:pPr>
              <w:pStyle w:val="null3"/>
            </w:pPr>
            <w:r>
              <w:rPr/>
              <w:t>提供已缴纳的2024年1月1日以来至少一个月的纳税证明或完税证明（提供增值税、企业所得税至少一种），纳税证明或完税证明上应有代收机构或税务机关的公章或业务专用章。依法免税的供应商应提供相关文件证明（时间以税款所属时期为准）。</w:t>
            </w:r>
          </w:p>
        </w:tc>
        <w:tc>
          <w:tcPr>
            <w:tcW w:type="dxa" w:w="1661"/>
          </w:tcPr>
          <w:p>
            <w:pPr>
              <w:pStyle w:val="null3"/>
            </w:pPr>
            <w:r>
              <w:rPr/>
              <w:t>第一部分资格证明文件</w:t>
            </w:r>
          </w:p>
        </w:tc>
      </w:tr>
      <w:tr>
        <w:tc>
          <w:tcPr>
            <w:tcW w:type="dxa" w:w="831"/>
          </w:tcPr>
          <w:p>
            <w:pPr>
              <w:pStyle w:val="null3"/>
            </w:pPr>
            <w:r>
              <w:rPr/>
              <w:t>8</w:t>
            </w:r>
          </w:p>
        </w:tc>
        <w:tc>
          <w:tcPr>
            <w:tcW w:type="dxa" w:w="2492"/>
          </w:tcPr>
          <w:p>
            <w:pPr>
              <w:pStyle w:val="null3"/>
            </w:pPr>
            <w:r>
              <w:rPr/>
              <w:t>进口设备证明资料</w:t>
            </w:r>
          </w:p>
        </w:tc>
        <w:tc>
          <w:tcPr>
            <w:tcW w:type="dxa" w:w="3322"/>
          </w:tcPr>
          <w:p>
            <w:pPr>
              <w:pStyle w:val="null3"/>
            </w:pPr>
            <w:r>
              <w:rPr/>
              <w:t>所投设备为进口设备则须提供针对本项目所投设备的厂家授权书或总代理商授权书及厂家售后服务承诺函（厂家直投只须提供售后服务承诺函）（提供总代理商授权的须出具有效授权权限的相关证明文件，证明文件须能显示设备制造厂家对所投设备授权链条的完整性，且授权范围须包含本次采购项目内容）</w:t>
            </w:r>
          </w:p>
        </w:tc>
        <w:tc>
          <w:tcPr>
            <w:tcW w:type="dxa" w:w="1661"/>
          </w:tcPr>
          <w:p>
            <w:pPr>
              <w:pStyle w:val="null3"/>
            </w:pPr>
            <w:r>
              <w:rPr/>
              <w:t>第一部分资格证明文件</w:t>
            </w:r>
          </w:p>
        </w:tc>
      </w:tr>
      <w:tr>
        <w:tc>
          <w:tcPr>
            <w:tcW w:type="dxa" w:w="831"/>
          </w:tcPr>
          <w:p>
            <w:pPr>
              <w:pStyle w:val="null3"/>
            </w:pPr>
            <w:r>
              <w:rPr/>
              <w:t>9</w:t>
            </w:r>
          </w:p>
        </w:tc>
        <w:tc>
          <w:tcPr>
            <w:tcW w:type="dxa" w:w="2492"/>
          </w:tcPr>
          <w:p>
            <w:pPr>
              <w:pStyle w:val="null3"/>
            </w:pPr>
            <w:r>
              <w:rPr/>
              <w:t>供应商资质证明</w:t>
            </w:r>
          </w:p>
        </w:tc>
        <w:tc>
          <w:tcPr>
            <w:tcW w:type="dxa" w:w="3322"/>
          </w:tcPr>
          <w:p>
            <w:pPr>
              <w:pStyle w:val="null3"/>
            </w:pPr>
            <w:r>
              <w:rPr/>
              <w:t>供应商为经销商须提供医疗器械经营许可证或备案凭证（所投产品须在其经营范围内）和所投产品（采购清单中被标注为医疗器械的）的医疗器械产品注册证及其附件或备案凭证；供应商为制造厂家的应出具医疗器械生产许可证（所投产品须在其生产范围内）（进口产品除外）和医疗器械注册证及其附件或备案凭证；</w:t>
            </w:r>
          </w:p>
        </w:tc>
        <w:tc>
          <w:tcPr>
            <w:tcW w:type="dxa" w:w="1661"/>
          </w:tcPr>
          <w:p>
            <w:pPr>
              <w:pStyle w:val="null3"/>
            </w:pPr>
            <w:r>
              <w:rPr/>
              <w:t>第一部分资格证明文件</w:t>
            </w:r>
          </w:p>
        </w:tc>
      </w:tr>
      <w:tr>
        <w:tc>
          <w:tcPr>
            <w:tcW w:type="dxa" w:w="831"/>
          </w:tcPr>
          <w:p>
            <w:pPr>
              <w:pStyle w:val="null3"/>
            </w:pPr>
            <w:r>
              <w:rPr/>
              <w:t>10</w:t>
            </w:r>
          </w:p>
        </w:tc>
        <w:tc>
          <w:tcPr>
            <w:tcW w:type="dxa" w:w="2492"/>
          </w:tcPr>
          <w:p>
            <w:pPr>
              <w:pStyle w:val="null3"/>
            </w:pPr>
            <w:r>
              <w:rPr/>
              <w:t>非联合体声明</w:t>
            </w:r>
          </w:p>
        </w:tc>
        <w:tc>
          <w:tcPr>
            <w:tcW w:type="dxa" w:w="3322"/>
          </w:tcPr>
          <w:p>
            <w:pPr>
              <w:pStyle w:val="null3"/>
            </w:pPr>
            <w:r>
              <w:rPr/>
              <w:t>本项目不接受联合体投标。</w:t>
            </w:r>
          </w:p>
        </w:tc>
        <w:tc>
          <w:tcPr>
            <w:tcW w:type="dxa" w:w="1661"/>
          </w:tcPr>
          <w:p>
            <w:pPr>
              <w:pStyle w:val="null3"/>
            </w:pPr>
            <w:r>
              <w:rPr/>
              <w:t>投标函</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第二部分符合性证明文件 投标函 第一部分资格证明文件 中小企业声明函 残疾人福利性单位声明函 标的清单 第三部分投标方案 投标文件封面 监狱企业的证明文件</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投标报价是否超过预算或最高限价</w:t>
            </w:r>
          </w:p>
        </w:tc>
        <w:tc>
          <w:tcPr>
            <w:tcW w:type="dxa" w:w="1661"/>
          </w:tcPr>
          <w:p>
            <w:pPr>
              <w:pStyle w:val="null3"/>
            </w:pPr>
            <w:r>
              <w:rPr/>
              <w:t>开标一览表 第二部分符合性证明文件 标的清单</w:t>
            </w:r>
          </w:p>
        </w:tc>
      </w:tr>
      <w:tr>
        <w:tc>
          <w:tcPr>
            <w:tcW w:type="dxa" w:w="831"/>
          </w:tcPr>
          <w:p>
            <w:pPr>
              <w:pStyle w:val="null3"/>
            </w:pPr>
            <w:r>
              <w:rPr/>
              <w:t>3</w:t>
            </w:r>
          </w:p>
        </w:tc>
        <w:tc>
          <w:tcPr>
            <w:tcW w:type="dxa" w:w="2492"/>
          </w:tcPr>
          <w:p>
            <w:pPr>
              <w:pStyle w:val="null3"/>
            </w:pPr>
            <w:r>
              <w:rPr/>
              <w:t>交货期</w:t>
            </w:r>
          </w:p>
        </w:tc>
        <w:tc>
          <w:tcPr>
            <w:tcW w:type="dxa" w:w="3322"/>
          </w:tcPr>
          <w:p>
            <w:pPr>
              <w:pStyle w:val="null3"/>
            </w:pPr>
            <w:r>
              <w:rPr/>
              <w:t>交货期是否满足招标文件要求</w:t>
            </w:r>
          </w:p>
        </w:tc>
        <w:tc>
          <w:tcPr>
            <w:tcW w:type="dxa" w:w="1661"/>
          </w:tcPr>
          <w:p>
            <w:pPr>
              <w:pStyle w:val="null3"/>
            </w:pPr>
            <w:r>
              <w:rPr/>
              <w:t>开标一览表 第二部分符合性证明文件 投标函 标的清单</w:t>
            </w:r>
          </w:p>
        </w:tc>
      </w:tr>
      <w:tr>
        <w:tc>
          <w:tcPr>
            <w:tcW w:type="dxa" w:w="831"/>
          </w:tcPr>
          <w:p>
            <w:pPr>
              <w:pStyle w:val="null3"/>
            </w:pPr>
            <w:r>
              <w:rPr/>
              <w:t>4</w:t>
            </w:r>
          </w:p>
        </w:tc>
        <w:tc>
          <w:tcPr>
            <w:tcW w:type="dxa" w:w="2492"/>
          </w:tcPr>
          <w:p>
            <w:pPr>
              <w:pStyle w:val="null3"/>
            </w:pPr>
            <w:r>
              <w:rPr/>
              <w:t>质保期</w:t>
            </w:r>
          </w:p>
        </w:tc>
        <w:tc>
          <w:tcPr>
            <w:tcW w:type="dxa" w:w="3322"/>
          </w:tcPr>
          <w:p>
            <w:pPr>
              <w:pStyle w:val="null3"/>
            </w:pPr>
            <w:r>
              <w:rPr/>
              <w:t>质保期是否满足招标文件要求</w:t>
            </w:r>
          </w:p>
        </w:tc>
        <w:tc>
          <w:tcPr>
            <w:tcW w:type="dxa" w:w="1661"/>
          </w:tcPr>
          <w:p>
            <w:pPr>
              <w:pStyle w:val="null3"/>
            </w:pPr>
            <w:r>
              <w:rPr/>
              <w:t>开标一览表 第二部分符合性证明文件 投标函 标的清单</w:t>
            </w:r>
          </w:p>
        </w:tc>
      </w:tr>
      <w:tr>
        <w:tc>
          <w:tcPr>
            <w:tcW w:type="dxa" w:w="831"/>
          </w:tcPr>
          <w:p>
            <w:pPr>
              <w:pStyle w:val="null3"/>
            </w:pPr>
            <w:r>
              <w:rPr/>
              <w:t>5</w:t>
            </w:r>
          </w:p>
        </w:tc>
        <w:tc>
          <w:tcPr>
            <w:tcW w:type="dxa" w:w="2492"/>
          </w:tcPr>
          <w:p>
            <w:pPr>
              <w:pStyle w:val="null3"/>
            </w:pPr>
            <w:r>
              <w:rPr/>
              <w:t>投标文件的签署、盖章</w:t>
            </w:r>
          </w:p>
        </w:tc>
        <w:tc>
          <w:tcPr>
            <w:tcW w:type="dxa" w:w="3322"/>
          </w:tcPr>
          <w:p>
            <w:pPr>
              <w:pStyle w:val="null3"/>
            </w:pPr>
            <w:r>
              <w:rPr/>
              <w:t>投标文件、签字、盖章是否满足招标文件要求</w:t>
            </w:r>
          </w:p>
        </w:tc>
        <w:tc>
          <w:tcPr>
            <w:tcW w:type="dxa" w:w="1661"/>
          </w:tcPr>
          <w:p>
            <w:pPr>
              <w:pStyle w:val="null3"/>
            </w:pPr>
            <w:r>
              <w:rPr/>
              <w:t>开标一览表 第二部分符合性证明文件 投标函 第一部分资格证明文件 中小企业声明函 残疾人福利性单位声明函 标的清单 第三部分投标方案 投标文件封面 监狱企业的证明文件</w:t>
            </w:r>
          </w:p>
        </w:tc>
      </w:tr>
      <w:tr>
        <w:tc>
          <w:tcPr>
            <w:tcW w:type="dxa" w:w="831"/>
          </w:tcPr>
          <w:p>
            <w:pPr>
              <w:pStyle w:val="null3"/>
            </w:pPr>
            <w:r>
              <w:rPr/>
              <w:t>6</w:t>
            </w:r>
          </w:p>
        </w:tc>
        <w:tc>
          <w:tcPr>
            <w:tcW w:type="dxa" w:w="2492"/>
          </w:tcPr>
          <w:p>
            <w:pPr>
              <w:pStyle w:val="null3"/>
            </w:pPr>
            <w:r>
              <w:rPr/>
              <w:t>投标有效期</w:t>
            </w:r>
          </w:p>
        </w:tc>
        <w:tc>
          <w:tcPr>
            <w:tcW w:type="dxa" w:w="3322"/>
          </w:tcPr>
          <w:p>
            <w:pPr>
              <w:pStyle w:val="null3"/>
            </w:pPr>
            <w:r>
              <w:rPr/>
              <w:t>投标有效期是否满足招标文件要求</w:t>
            </w:r>
          </w:p>
        </w:tc>
        <w:tc>
          <w:tcPr>
            <w:tcW w:type="dxa" w:w="1661"/>
          </w:tcPr>
          <w:p>
            <w:pPr>
              <w:pStyle w:val="null3"/>
            </w:pPr>
            <w:r>
              <w:rPr/>
              <w:t>开标一览表 第二部分符合性证明文件 投标函 第一部分资格证明文件 标的清单 第三部分投标方案</w:t>
            </w:r>
          </w:p>
        </w:tc>
      </w:tr>
      <w:tr>
        <w:tc>
          <w:tcPr>
            <w:tcW w:type="dxa" w:w="831"/>
          </w:tcPr>
          <w:p>
            <w:pPr>
              <w:pStyle w:val="null3"/>
            </w:pPr>
            <w:r>
              <w:rPr/>
              <w:t>7</w:t>
            </w:r>
          </w:p>
        </w:tc>
        <w:tc>
          <w:tcPr>
            <w:tcW w:type="dxa" w:w="2492"/>
          </w:tcPr>
          <w:p>
            <w:pPr>
              <w:pStyle w:val="null3"/>
            </w:pPr>
            <w:r>
              <w:rPr/>
              <w:t>投标保证金</w:t>
            </w:r>
          </w:p>
        </w:tc>
        <w:tc>
          <w:tcPr>
            <w:tcW w:type="dxa" w:w="3322"/>
          </w:tcPr>
          <w:p>
            <w:pPr>
              <w:pStyle w:val="null3"/>
            </w:pPr>
            <w:r>
              <w:rPr/>
              <w:t>供应商投标保证金是否符合招标文件要求；</w:t>
            </w:r>
          </w:p>
        </w:tc>
        <w:tc>
          <w:tcPr>
            <w:tcW w:type="dxa" w:w="1661"/>
          </w:tcPr>
          <w:p>
            <w:pPr>
              <w:pStyle w:val="null3"/>
            </w:pPr>
            <w:r>
              <w:rPr/>
              <w:t>第二部分符合性证明文件</w:t>
            </w:r>
          </w:p>
        </w:tc>
      </w:tr>
      <w:tr>
        <w:tc>
          <w:tcPr>
            <w:tcW w:type="dxa" w:w="831"/>
          </w:tcPr>
          <w:p>
            <w:pPr>
              <w:pStyle w:val="null3"/>
            </w:pPr>
            <w:r>
              <w:rPr/>
              <w:t>8</w:t>
            </w:r>
          </w:p>
        </w:tc>
        <w:tc>
          <w:tcPr>
            <w:tcW w:type="dxa" w:w="2492"/>
          </w:tcPr>
          <w:p>
            <w:pPr>
              <w:pStyle w:val="null3"/>
            </w:pPr>
            <w:r>
              <w:rPr/>
              <w:t>不同供应商的投标文件是否由同一单位或者个人编制</w:t>
            </w:r>
          </w:p>
        </w:tc>
        <w:tc>
          <w:tcPr>
            <w:tcW w:type="dxa" w:w="3322"/>
          </w:tcPr>
          <w:p>
            <w:pPr>
              <w:pStyle w:val="null3"/>
            </w:pPr>
            <w:r>
              <w:rPr/>
              <w:t>不同供应商的投标文件是否由同一单位或者个人编制</w:t>
            </w:r>
          </w:p>
        </w:tc>
        <w:tc>
          <w:tcPr>
            <w:tcW w:type="dxa" w:w="1661"/>
          </w:tcPr>
          <w:p>
            <w:pPr>
              <w:pStyle w:val="null3"/>
            </w:pPr>
            <w:r>
              <w:rPr/>
              <w:t>开标一览表 第二部分符合性证明文件 投标函 第一部分资格证明文件 中小企业声明函 残疾人福利性单位声明函 标的清单 第三部分投标方案 投标文件封面 监狱企业的证明文件</w:t>
            </w:r>
          </w:p>
        </w:tc>
      </w:tr>
      <w:tr>
        <w:tc>
          <w:tcPr>
            <w:tcW w:type="dxa" w:w="831"/>
          </w:tcPr>
          <w:p>
            <w:pPr>
              <w:pStyle w:val="null3"/>
            </w:pPr>
            <w:r>
              <w:rPr/>
              <w:t>9</w:t>
            </w:r>
          </w:p>
        </w:tc>
        <w:tc>
          <w:tcPr>
            <w:tcW w:type="dxa" w:w="2492"/>
          </w:tcPr>
          <w:p>
            <w:pPr>
              <w:pStyle w:val="null3"/>
            </w:pPr>
            <w:r>
              <w:rPr/>
              <w:t>不同供应商是否委托同一单位或者个人办理投标事宜</w:t>
            </w:r>
          </w:p>
        </w:tc>
        <w:tc>
          <w:tcPr>
            <w:tcW w:type="dxa" w:w="3322"/>
          </w:tcPr>
          <w:p>
            <w:pPr>
              <w:pStyle w:val="null3"/>
            </w:pPr>
            <w:r>
              <w:rPr/>
              <w:t>不同供应商是否委托同一单位或者个人办理投标事宜</w:t>
            </w:r>
          </w:p>
        </w:tc>
        <w:tc>
          <w:tcPr>
            <w:tcW w:type="dxa" w:w="1661"/>
          </w:tcPr>
          <w:p>
            <w:pPr>
              <w:pStyle w:val="null3"/>
            </w:pPr>
            <w:r>
              <w:rPr/>
              <w:t>开标一览表 第二部分符合性证明文件 投标函 第一部分资格证明文件 中小企业声明函 残疾人福利性单位声明函 标的清单 第三部分投标方案 投标文件封面 监狱企业的证明文件</w:t>
            </w:r>
          </w:p>
        </w:tc>
      </w:tr>
      <w:tr>
        <w:tc>
          <w:tcPr>
            <w:tcW w:type="dxa" w:w="831"/>
          </w:tcPr>
          <w:p>
            <w:pPr>
              <w:pStyle w:val="null3"/>
            </w:pPr>
            <w:r>
              <w:rPr/>
              <w:t>10</w:t>
            </w:r>
          </w:p>
        </w:tc>
        <w:tc>
          <w:tcPr>
            <w:tcW w:type="dxa" w:w="2492"/>
          </w:tcPr>
          <w:p>
            <w:pPr>
              <w:pStyle w:val="null3"/>
            </w:pPr>
            <w:r>
              <w:rPr/>
              <w:t>不同供应商的投标文件载明的项目管理成员或者联系人员是否为同一人</w:t>
            </w:r>
          </w:p>
        </w:tc>
        <w:tc>
          <w:tcPr>
            <w:tcW w:type="dxa" w:w="3322"/>
          </w:tcPr>
          <w:p>
            <w:pPr>
              <w:pStyle w:val="null3"/>
            </w:pPr>
            <w:r>
              <w:rPr/>
              <w:t>不同供应商的投标文件载明的项目管理成员或者联系人员是否为同一人</w:t>
            </w:r>
          </w:p>
        </w:tc>
        <w:tc>
          <w:tcPr>
            <w:tcW w:type="dxa" w:w="1661"/>
          </w:tcPr>
          <w:p>
            <w:pPr>
              <w:pStyle w:val="null3"/>
            </w:pPr>
            <w:r>
              <w:rPr/>
              <w:t>开标一览表 第二部分符合性证明文件 投标函 第一部分资格证明文件 中小企业声明函 残疾人福利性单位声明函 标的清单 第三部分投标方案 投标文件封面 监狱企业的证明文件</w:t>
            </w:r>
          </w:p>
        </w:tc>
      </w:tr>
      <w:tr>
        <w:tc>
          <w:tcPr>
            <w:tcW w:type="dxa" w:w="831"/>
          </w:tcPr>
          <w:p>
            <w:pPr>
              <w:pStyle w:val="null3"/>
            </w:pPr>
            <w:r>
              <w:rPr/>
              <w:t>11</w:t>
            </w:r>
          </w:p>
        </w:tc>
        <w:tc>
          <w:tcPr>
            <w:tcW w:type="dxa" w:w="2492"/>
          </w:tcPr>
          <w:p>
            <w:pPr>
              <w:pStyle w:val="null3"/>
            </w:pPr>
            <w:r>
              <w:rPr/>
              <w:t>不同供应商的投标文件是否异常一致或者投标报价呈规律性差异</w:t>
            </w:r>
          </w:p>
        </w:tc>
        <w:tc>
          <w:tcPr>
            <w:tcW w:type="dxa" w:w="3322"/>
          </w:tcPr>
          <w:p>
            <w:pPr>
              <w:pStyle w:val="null3"/>
            </w:pPr>
            <w:r>
              <w:rPr/>
              <w:t>不同供应商的投标文件是否异常一致或者投标报价呈规律性差异</w:t>
            </w:r>
          </w:p>
        </w:tc>
        <w:tc>
          <w:tcPr>
            <w:tcW w:type="dxa" w:w="1661"/>
          </w:tcPr>
          <w:p>
            <w:pPr>
              <w:pStyle w:val="null3"/>
            </w:pPr>
            <w:r>
              <w:rPr/>
              <w:t>开标一览表 第二部分符合性证明文件 投标函 第一部分资格证明文件 中小企业声明函 残疾人福利性单位声明函 标的清单 第三部分投标方案 投标文件封面 监狱企业的证明文件</w:t>
            </w:r>
          </w:p>
        </w:tc>
      </w:tr>
      <w:tr>
        <w:tc>
          <w:tcPr>
            <w:tcW w:type="dxa" w:w="831"/>
          </w:tcPr>
          <w:p>
            <w:pPr>
              <w:pStyle w:val="null3"/>
            </w:pPr>
            <w:r>
              <w:rPr/>
              <w:t>12</w:t>
            </w:r>
          </w:p>
        </w:tc>
        <w:tc>
          <w:tcPr>
            <w:tcW w:type="dxa" w:w="2492"/>
          </w:tcPr>
          <w:p>
            <w:pPr>
              <w:pStyle w:val="null3"/>
            </w:pPr>
            <w:r>
              <w:rPr/>
              <w:t>不同供应商的投标文件是否相互混装</w:t>
            </w:r>
          </w:p>
        </w:tc>
        <w:tc>
          <w:tcPr>
            <w:tcW w:type="dxa" w:w="3322"/>
          </w:tcPr>
          <w:p>
            <w:pPr>
              <w:pStyle w:val="null3"/>
            </w:pPr>
            <w:r>
              <w:rPr/>
              <w:t>不同供应商的投标文件是否相互混装</w:t>
            </w:r>
          </w:p>
        </w:tc>
        <w:tc>
          <w:tcPr>
            <w:tcW w:type="dxa" w:w="1661"/>
          </w:tcPr>
          <w:p>
            <w:pPr>
              <w:pStyle w:val="null3"/>
            </w:pPr>
            <w:r>
              <w:rPr/>
              <w:t>开标一览表 第二部分符合性证明文件 投标函 第一部分资格证明文件 中小企业声明函 残疾人福利性单位声明函 标的清单 第三部分投标方案 投标文件封面 监狱企业的证明文件</w:t>
            </w:r>
          </w:p>
        </w:tc>
      </w:tr>
      <w:tr>
        <w:tc>
          <w:tcPr>
            <w:tcW w:type="dxa" w:w="831"/>
          </w:tcPr>
          <w:p>
            <w:pPr>
              <w:pStyle w:val="null3"/>
            </w:pPr>
            <w:r>
              <w:rPr/>
              <w:t>13</w:t>
            </w:r>
          </w:p>
        </w:tc>
        <w:tc>
          <w:tcPr>
            <w:tcW w:type="dxa" w:w="2492"/>
          </w:tcPr>
          <w:p>
            <w:pPr>
              <w:pStyle w:val="null3"/>
            </w:pPr>
            <w:r>
              <w:rPr/>
              <w:t>不同供应商的投标保证金是否从同一单位或者个人的账户转出</w:t>
            </w:r>
          </w:p>
        </w:tc>
        <w:tc>
          <w:tcPr>
            <w:tcW w:type="dxa" w:w="3322"/>
          </w:tcPr>
          <w:p>
            <w:pPr>
              <w:pStyle w:val="null3"/>
            </w:pPr>
            <w:r>
              <w:rPr/>
              <w:t>不同供应商的投标保证金是否从同一单位或者个人的账户转出</w:t>
            </w:r>
          </w:p>
        </w:tc>
        <w:tc>
          <w:tcPr>
            <w:tcW w:type="dxa" w:w="1661"/>
          </w:tcPr>
          <w:p>
            <w:pPr>
              <w:pStyle w:val="null3"/>
            </w:pPr>
            <w:r>
              <w:rPr/>
              <w:t>开标一览表 第二部分符合性证明文件 投标函 第一部分资格证明文件 中小企业声明函 残疾人福利性单位声明函 标的清单 第三部分投标方案 投标文件封面 监狱企业的证明文件</w:t>
            </w:r>
          </w:p>
        </w:tc>
      </w:tr>
      <w:tr>
        <w:tc>
          <w:tcPr>
            <w:tcW w:type="dxa" w:w="831"/>
          </w:tcPr>
          <w:p>
            <w:pPr>
              <w:pStyle w:val="null3"/>
            </w:pPr>
            <w:r>
              <w:rPr/>
              <w:t>14</w:t>
            </w:r>
          </w:p>
        </w:tc>
        <w:tc>
          <w:tcPr>
            <w:tcW w:type="dxa" w:w="2492"/>
          </w:tcPr>
          <w:p>
            <w:pPr>
              <w:pStyle w:val="null3"/>
            </w:pPr>
            <w:r>
              <w:rPr/>
              <w:t>投标文件与招标文件商务要求条款是否一致或增加了采购人难以接受的条款</w:t>
            </w:r>
          </w:p>
        </w:tc>
        <w:tc>
          <w:tcPr>
            <w:tcW w:type="dxa" w:w="3322"/>
          </w:tcPr>
          <w:p>
            <w:pPr>
              <w:pStyle w:val="null3"/>
            </w:pPr>
            <w:r>
              <w:rPr/>
              <w:t>投标文件与招标文件商务要求条款是否一致或增加了采购人难以接受的条款</w:t>
            </w:r>
          </w:p>
        </w:tc>
        <w:tc>
          <w:tcPr>
            <w:tcW w:type="dxa" w:w="1661"/>
          </w:tcPr>
          <w:p>
            <w:pPr>
              <w:pStyle w:val="null3"/>
            </w:pPr>
            <w:r>
              <w:rPr/>
              <w:t>开标一览表 第二部分符合性证明文件 投标函 第一部分资格证明文件 中小企业声明函 残疾人福利性单位声明函 标的清单 第三部分投标方案 投标文件封面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技术指标、功能及配置</w:t>
            </w:r>
          </w:p>
        </w:tc>
        <w:tc>
          <w:tcPr>
            <w:tcW w:type="dxa" w:w="2492"/>
          </w:tcPr>
          <w:p>
            <w:pPr>
              <w:pStyle w:val="null3"/>
            </w:pPr>
            <w:r>
              <w:rPr/>
              <w:t>投标产品的技术参数、配置和功能需求（30分）。评审依据为生产厂家出具的、相应的功能证明材料（包括但不限于测试报告、官网和功能截图等）及投标产品技术参数偏离表等； 1、基本分（30分），完全响应招标文件要求，满足采购需求、技术参数没有负偏离，计基本分30分；▲参数中每有一条技术指标负偏离扣3分（▲参数必须提供支持材料，如未提供视为负偏离），一般参数中每有一条技术指标负偏离扣1分，扣完为止；</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第三部分投标方案</w:t>
            </w:r>
          </w:p>
        </w:tc>
      </w:tr>
      <w:tr>
        <w:tc>
          <w:tcPr>
            <w:tcW w:type="dxa" w:w="831"/>
            <w:vMerge/>
          </w:tcPr>
          <w:p/>
        </w:tc>
        <w:tc>
          <w:tcPr>
            <w:tcW w:type="dxa" w:w="1661"/>
          </w:tcPr>
          <w:p>
            <w:pPr>
              <w:pStyle w:val="null3"/>
            </w:pPr>
            <w:r>
              <w:rPr/>
              <w:t>实施方案</w:t>
            </w:r>
          </w:p>
        </w:tc>
        <w:tc>
          <w:tcPr>
            <w:tcW w:type="dxa" w:w="2492"/>
          </w:tcPr>
          <w:p>
            <w:pPr>
              <w:pStyle w:val="null3"/>
            </w:pPr>
            <w:r>
              <w:rPr/>
              <w:t>供应商对本项目的实施方案（包含但不限于供货安排、安装调试验收方案、人员配备方案），方案制定内容齐全，各类措施健全，完全满足采购需求并符合本项目实施特点得9分；以上方面中每缺少一方面内容扣3分；每有一处内容与实际需求不符或不满足要求扣0.1-2.5分，扣完为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第三部分投标方案</w:t>
            </w:r>
          </w:p>
        </w:tc>
      </w:tr>
      <w:tr>
        <w:tc>
          <w:tcPr>
            <w:tcW w:type="dxa" w:w="831"/>
            <w:vMerge/>
          </w:tcPr>
          <w:p/>
        </w:tc>
        <w:tc>
          <w:tcPr>
            <w:tcW w:type="dxa" w:w="1661"/>
          </w:tcPr>
          <w:p>
            <w:pPr>
              <w:pStyle w:val="null3"/>
            </w:pPr>
            <w:r>
              <w:rPr/>
              <w:t>产品质量保证</w:t>
            </w:r>
          </w:p>
        </w:tc>
        <w:tc>
          <w:tcPr>
            <w:tcW w:type="dxa" w:w="2492"/>
          </w:tcPr>
          <w:p>
            <w:pPr>
              <w:pStyle w:val="null3"/>
            </w:pPr>
            <w:r>
              <w:rPr/>
              <w:t>根据供应商提供的所投产品的合法来源渠道和生产厂家实力等与产品质量相关的证明材料进行综合比较赋分。合法来源渠道和生产厂家实力证明等材料种类齐全、详细、充分，计6分；合法来源渠道和生产厂家实力等证明材料较完整，计4分，一般计2分，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第三部分投标方案</w:t>
            </w:r>
          </w:p>
        </w:tc>
      </w:tr>
      <w:tr>
        <w:tc>
          <w:tcPr>
            <w:tcW w:type="dxa" w:w="831"/>
            <w:vMerge/>
          </w:tcPr>
          <w:p/>
        </w:tc>
        <w:tc>
          <w:tcPr>
            <w:tcW w:type="dxa" w:w="1661"/>
          </w:tcPr>
          <w:p>
            <w:pPr>
              <w:pStyle w:val="null3"/>
            </w:pPr>
            <w:r>
              <w:rPr/>
              <w:t>售后服务方案</w:t>
            </w:r>
          </w:p>
        </w:tc>
        <w:tc>
          <w:tcPr>
            <w:tcW w:type="dxa" w:w="2492"/>
          </w:tcPr>
          <w:p>
            <w:pPr>
              <w:pStyle w:val="null3"/>
            </w:pPr>
            <w:r>
              <w:rPr/>
              <w:t>投标人提供售后服务方案（包含但不限于售后服务人员配置及计划、故障处理等的响应时间安排计划、质量保证期限、应急处理方案），售后服务方案完整且具有符合实际需求的得8分，每缺少一项扣2分，某一项不完整或不符合实际需求的扣0.1-1.5分，扣完为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第三部分投标方案</w:t>
            </w:r>
          </w:p>
        </w:tc>
      </w:tr>
      <w:tr>
        <w:tc>
          <w:tcPr>
            <w:tcW w:type="dxa" w:w="831"/>
            <w:vMerge/>
          </w:tcPr>
          <w:p/>
        </w:tc>
        <w:tc>
          <w:tcPr>
            <w:tcW w:type="dxa" w:w="1661"/>
          </w:tcPr>
          <w:p>
            <w:pPr>
              <w:pStyle w:val="null3"/>
            </w:pPr>
            <w:r>
              <w:rPr/>
              <w:t>培训方案</w:t>
            </w:r>
          </w:p>
        </w:tc>
        <w:tc>
          <w:tcPr>
            <w:tcW w:type="dxa" w:w="2492"/>
          </w:tcPr>
          <w:p>
            <w:pPr>
              <w:pStyle w:val="null3"/>
            </w:pPr>
            <w:r>
              <w:rPr/>
              <w:t>根据供应商提供的培训方案（包含但不限于培训内容、培训计划及方式、培训人员配置），培训方案完善、针对性强且符合项目实际需求的得6分，每缺少一项扣2分，某一项不完整或不符合实际需求的扣0.1-1.5分，扣完为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第三部分投标方案</w:t>
            </w:r>
          </w:p>
        </w:tc>
      </w:tr>
      <w:tr>
        <w:tc>
          <w:tcPr>
            <w:tcW w:type="dxa" w:w="831"/>
            <w:vMerge/>
          </w:tcPr>
          <w:p/>
        </w:tc>
        <w:tc>
          <w:tcPr>
            <w:tcW w:type="dxa" w:w="1661"/>
          </w:tcPr>
          <w:p>
            <w:pPr>
              <w:pStyle w:val="null3"/>
            </w:pPr>
            <w:r>
              <w:rPr/>
              <w:t>业绩</w:t>
            </w:r>
          </w:p>
        </w:tc>
        <w:tc>
          <w:tcPr>
            <w:tcW w:type="dxa" w:w="2492"/>
          </w:tcPr>
          <w:p>
            <w:pPr>
              <w:pStyle w:val="null3"/>
            </w:pPr>
            <w:r>
              <w:rPr/>
              <w:t>提供2023年1月1日至今所投标产品的业绩证明（以合同签订时间为准），一个业绩计2分，最高10分。 评审依据：完整的供货业绩合同复印件加盖公章。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第三部分投标方案</w:t>
            </w:r>
          </w:p>
        </w:tc>
      </w:tr>
      <w:tr>
        <w:tc>
          <w:tcPr>
            <w:tcW w:type="dxa" w:w="831"/>
            <w:vMerge/>
          </w:tcPr>
          <w:p/>
        </w:tc>
        <w:tc>
          <w:tcPr>
            <w:tcW w:type="dxa" w:w="1661"/>
          </w:tcPr>
          <w:p>
            <w:pPr>
              <w:pStyle w:val="null3"/>
            </w:pPr>
            <w:r>
              <w:rPr/>
              <w:t>节能环保</w:t>
            </w:r>
          </w:p>
        </w:tc>
        <w:tc>
          <w:tcPr>
            <w:tcW w:type="dxa" w:w="2492"/>
          </w:tcPr>
          <w:p>
            <w:pPr>
              <w:pStyle w:val="null3"/>
            </w:pPr>
            <w:r>
              <w:rPr/>
              <w:t>供应商响应产品中每有一项为节能产品的得0.5分，每有一项为环境标志产品的得0.5分，供应商所投产品中每有一项产品同时为节能产品和环境标志产品的得1分，最多得1分。（须提供相应产品的国家确定的认证机构出具的、处于有效期内的节能产品、环境标志产品认证证书）</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第三部分投标方案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经初审合格的供应商，其投标报价为有效报价。 评标基准价：即满足采购文件要求且报价最低的为评标基准价。 其他供应商的价格分统一按照下列公式计算。 报价得分=(评标基准价/投标报价)×基本分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详见附件：开标一览表</w:t>
      </w:r>
    </w:p>
    <w:p>
      <w:pPr>
        <w:pStyle w:val="null3"/>
        <w:ind w:firstLine="960"/>
      </w:pPr>
      <w:r>
        <w:rPr/>
        <w:t>详见附件：标的清单</w:t>
      </w:r>
    </w:p>
    <w:p>
      <w:pPr>
        <w:pStyle w:val="null3"/>
        <w:ind w:firstLine="960"/>
      </w:pPr>
      <w:r>
        <w:rPr/>
        <w:t>详见附件：第一部分资格证明文件</w:t>
      </w:r>
    </w:p>
    <w:p>
      <w:pPr>
        <w:pStyle w:val="null3"/>
        <w:ind w:firstLine="960"/>
      </w:pPr>
      <w:r>
        <w:rPr/>
        <w:t>详见附件：第二部分符合性证明文件</w:t>
      </w:r>
    </w:p>
    <w:p>
      <w:pPr>
        <w:pStyle w:val="null3"/>
        <w:ind w:firstLine="960"/>
      </w:pPr>
      <w:r>
        <w:rPr/>
        <w:t>详见附件：第三部分投标方案</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详见附件：拟签订的合同文本docx.docx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