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专家智库管理提升项目</w:t>
      </w:r>
    </w:p>
    <w:p>
      <w:pPr>
        <w:pStyle w:val="null3"/>
        <w:jc w:val="center"/>
        <w:outlineLvl w:val="2"/>
      </w:pPr>
      <w:r>
        <w:rPr>
          <w:sz w:val="28"/>
          <w:b/>
        </w:rPr>
        <w:t>采购项目编号：</w:t>
      </w:r>
      <w:r>
        <w:rPr>
          <w:sz w:val="28"/>
          <w:b/>
        </w:rPr>
        <w:t>HRC-ZBDL-2024-01777</w:t>
      </w:r>
      <w:r>
        <w:br/>
      </w:r>
      <w:r>
        <w:br/>
      </w:r>
      <w:r>
        <w:br/>
      </w:r>
    </w:p>
    <w:p>
      <w:pPr>
        <w:pStyle w:val="null3"/>
        <w:jc w:val="center"/>
        <w:outlineLvl w:val="2"/>
      </w:pPr>
      <w:r>
        <w:rPr>
          <w:sz w:val="28"/>
          <w:b/>
        </w:rPr>
        <w:t>陕西省应急管理厅</w:t>
      </w:r>
    </w:p>
    <w:p>
      <w:pPr>
        <w:pStyle w:val="null3"/>
        <w:jc w:val="center"/>
        <w:outlineLvl w:val="2"/>
      </w:pPr>
      <w:r>
        <w:rPr>
          <w:sz w:val="28"/>
          <w:b/>
        </w:rPr>
        <w:t>华睿诚项目管理有限公司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华睿诚项目管理有限公司</w:t>
      </w:r>
      <w:r>
        <w:rPr/>
        <w:t>（以下简称“代理机构”）受</w:t>
      </w:r>
      <w:r>
        <w:rPr/>
        <w:t>陕西省应急管理厅</w:t>
      </w:r>
      <w:r>
        <w:rPr/>
        <w:t>委托，拟对</w:t>
      </w:r>
      <w:r>
        <w:rPr/>
        <w:t>专家智库管理提升项目</w:t>
      </w:r>
      <w:r>
        <w:rPr/>
        <w:t>采用竞争性磋商采购方式进行采购，兹邀请供应商参加本项目的竞争性磋商。</w:t>
      </w:r>
    </w:p>
    <w:p>
      <w:pPr>
        <w:pStyle w:val="null3"/>
        <w:outlineLvl w:val="2"/>
      </w:pPr>
      <w:r>
        <w:rPr>
          <w:sz w:val="28"/>
          <w:b/>
        </w:rPr>
        <w:t>一、项目编号：</w:t>
      </w:r>
      <w:r>
        <w:rPr>
          <w:sz w:val="28"/>
          <w:b/>
        </w:rPr>
        <w:t>HRC-ZBDL-2024-01777</w:t>
      </w:r>
    </w:p>
    <w:p>
      <w:pPr>
        <w:pStyle w:val="null3"/>
        <w:outlineLvl w:val="2"/>
      </w:pPr>
      <w:r>
        <w:rPr>
          <w:sz w:val="28"/>
          <w:b/>
        </w:rPr>
        <w:t>二、项目名称：</w:t>
      </w:r>
      <w:r>
        <w:rPr>
          <w:sz w:val="28"/>
          <w:b/>
        </w:rPr>
        <w:t>专家智库管理提升项目</w:t>
      </w:r>
    </w:p>
    <w:p>
      <w:pPr>
        <w:pStyle w:val="null3"/>
        <w:outlineLvl w:val="2"/>
      </w:pPr>
      <w:r>
        <w:rPr>
          <w:sz w:val="28"/>
          <w:b/>
        </w:rPr>
        <w:t>三、磋商项目简介</w:t>
      </w:r>
    </w:p>
    <w:p>
      <w:pPr>
        <w:pStyle w:val="null3"/>
        <w:ind w:firstLine="480"/>
      </w:pPr>
      <w:r>
        <w:rPr/>
        <w:t>结合实际工作需要，现需对专家信息管理平台进行升级改造。一是重新设计专家信息、活动信息、专家组信息相关数据录入、查阅功能，实现更加全面的数据录入，更加便捷的数据查阅；二是结合现有业务需求，重新设计开发活动管理模块，做到活动信息录入的更加及时、全面，活动信息的回溯更加便捷、快速；三是根据现有部门架构，重新构建出更加符合实际情况的业务审理功能模块；四是针对系统数据的多维度分析需求，将开发出能够实现数据比较、排序、分组、汇总和统计等多维度分析的数据报表功能，用以支撑业务部门对专家及活动信息的分析需求；五是系统最终将通过省局统一部署，实现省市县三级同时登陆，实现专家信息管理、专家抽取等用于专家信息及活动管理的统一化功能。</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1、营业执照：具有独立承担民事责任能力的法人或其他组织，提供合法有效的统一社会信用代码营业执照（事业单位提供事业单位法人证书）</w:t>
      </w:r>
    </w:p>
    <w:p>
      <w:pPr>
        <w:pStyle w:val="null3"/>
      </w:pPr>
      <w:r>
        <w:rPr/>
        <w:t>2、财务审计报告：提供2023年度的财务审计报告（至少包括资产负债表和利润表，成立时间至提交响应文件截止时间不足一年的可提供成立后任意时段的资产负债表），或其基本存款账户开户银行（投标截止日期一个月内）出具的资信证明及基本存款账户开户许可证（基本账户信息表）</w:t>
      </w:r>
    </w:p>
    <w:p>
      <w:pPr>
        <w:pStyle w:val="null3"/>
      </w:pPr>
      <w:r>
        <w:rPr/>
        <w:t>3、缴纳税收证明材料：提供2023年11月至今已缴存的的至少一个月的纳税证明或完税证明（任意税种），依法免税的单位应提供相关证明材料</w:t>
      </w:r>
    </w:p>
    <w:p>
      <w:pPr>
        <w:pStyle w:val="null3"/>
      </w:pPr>
      <w:r>
        <w:rPr/>
        <w:t>4、缴纳社保证明材料：提供2023年11月至今已缴存的至少一个月的社会保障资金缴存单据或社保机构开具的社会保险参保缴费情况证明，依法不需要缴纳社会保障资金的单位应提供相关证明材料</w:t>
      </w:r>
    </w:p>
    <w:p>
      <w:pPr>
        <w:pStyle w:val="null3"/>
      </w:pPr>
      <w:r>
        <w:rPr/>
        <w:t>5、专业技术能力声明函：提供具有履行合同所必需的设备和专业技术能力的承诺</w:t>
      </w:r>
    </w:p>
    <w:p>
      <w:pPr>
        <w:pStyle w:val="null3"/>
      </w:pPr>
      <w:r>
        <w:rPr/>
        <w:t>6、控股管理关系：单位负责人为同一人或者存在直接控股、管理关系的不同供应商不得参加同一合同项下的政府采购活动；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t>7、无违法犯罪记录声明：参加政府采购活动前3年内，在经营活动中没有重大违法记录的书面声明</w:t>
      </w:r>
    </w:p>
    <w:p>
      <w:pPr>
        <w:pStyle w:val="null3"/>
      </w:pPr>
      <w:r>
        <w:rPr/>
        <w:t>8、法定代表人授权书：法定代表人授权书（附法定代表人、被授权人身份证复印件）及被授权人身份证（法定代表人直接参加投标，须提供法定代表人身份证明及身份证原件）</w:t>
      </w:r>
    </w:p>
    <w:p>
      <w:pPr>
        <w:pStyle w:val="null3"/>
      </w:pPr>
      <w:r>
        <w:rPr/>
        <w:t>9、信用中国等网站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信用记录由采购代理机构在投标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韩琳</w:t>
      </w:r>
    </w:p>
    <w:p>
      <w:pPr>
        <w:pStyle w:val="null3"/>
      </w:pPr>
      <w:r>
        <w:rPr/>
        <w:t xml:space="preserve"> 联系电话： </w:t>
      </w:r>
      <w:r>
        <w:rPr/>
        <w:t>029-61166245</w:t>
      </w:r>
    </w:p>
    <w:p>
      <w:pPr>
        <w:pStyle w:val="null3"/>
        <w:outlineLvl w:val="3"/>
      </w:pPr>
      <w:r>
        <w:rPr>
          <w:sz w:val="24"/>
          <w:b/>
        </w:rPr>
        <w:t>代理机构：</w:t>
      </w:r>
      <w:r>
        <w:rPr>
          <w:sz w:val="24"/>
          <w:b/>
        </w:rPr>
        <w:t>华睿诚项目管理有限公司</w:t>
      </w:r>
    </w:p>
    <w:p>
      <w:pPr>
        <w:pStyle w:val="null3"/>
      </w:pPr>
      <w:r>
        <w:rPr/>
        <w:t xml:space="preserve"> 地址： </w:t>
      </w:r>
      <w:r>
        <w:rPr/>
        <w:t>陕西省西安市雁塔区曲江新区雁翔路3269号旺座曲江E座29层2901号</w:t>
      </w:r>
    </w:p>
    <w:p>
      <w:pPr>
        <w:pStyle w:val="null3"/>
      </w:pPr>
      <w:r>
        <w:rPr/>
        <w:t xml:space="preserve"> 邮编： </w:t>
      </w:r>
      <w:r>
        <w:rPr/>
        <w:t>710061</w:t>
      </w:r>
    </w:p>
    <w:p>
      <w:pPr>
        <w:pStyle w:val="null3"/>
      </w:pPr>
      <w:r>
        <w:rPr/>
        <w:t xml:space="preserve"> 联系人： </w:t>
      </w:r>
      <w:r>
        <w:rPr/>
        <w:t>张工</w:t>
      </w:r>
    </w:p>
    <w:p>
      <w:pPr>
        <w:pStyle w:val="null3"/>
      </w:pPr>
      <w:r>
        <w:rPr/>
        <w:t xml:space="preserve"> 联系电话： </w:t>
      </w:r>
      <w:r>
        <w:rPr/>
        <w:t>17792379649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陕西省应急管理厅</w:t>
      </w:r>
      <w:r>
        <w:rPr/>
        <w:t>和</w:t>
      </w:r>
      <w:r>
        <w:rPr/>
        <w:t>华睿诚项目管理有限公司</w:t>
      </w:r>
      <w:r>
        <w:rPr/>
        <w:t>享有。对磋商文件中供应商参加本次政府采购活动应当具备的条件，磋商项目技术、服务、商务及其他要求，评审细则及标准由</w:t>
      </w:r>
      <w:r>
        <w:rPr/>
        <w:t>陕西省应急管理厅</w:t>
      </w:r>
      <w:r>
        <w:rPr/>
        <w:t>负责解释。除上述磋商文件内容，其他内容由</w:t>
      </w:r>
      <w:r>
        <w:rPr/>
        <w:t>华睿诚项目管理有限公司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陕西省应急管理厅</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华睿诚项目管理有限公司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一是重新设计专家信息、活动信息、专家组信息相关数据录入、查阅功能，实现更加全面的数据录入，更加便捷的数据查阅；二是结合现有业务需求，重新设计开发活动管理模块，做到活动信息录入的更加及时、全面，活动信息的回溯更加便捷、快速；三是根据现有部门架构，重新构建出更加符合实际情况的业务审理功能模块；四是针对系统数据的多维度分析需求，将开发出能够实现数据比较、排序、分组、汇总和统计等多维度分析的数据报表功能，用以支撑业务部门对专家及活动信息的分析需求；五是系统最终将通过省局统一部署，实现省市县三级同时登陆，实现专家信息管理、专家抽取等用于专家信息及活动管理的统一化功能。</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华睿诚项目管理有限公司</w:t>
      </w:r>
      <w:r>
        <w:rPr/>
        <w:t xml:space="preserve"> 负责答复；供应商对除采购需求外的采购文件的询问、质疑由</w:t>
      </w:r>
      <w:r>
        <w:rPr/>
        <w:t>华睿诚项目管理有限公司</w:t>
      </w:r>
      <w:r>
        <w:rPr/>
        <w:t xml:space="preserve"> 负责答复；供应商对采购过程、采购结果的询问、质疑由 </w:t>
      </w:r>
      <w:r>
        <w:rPr/>
        <w:t>华睿诚项目管理有限公司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联系电话：17792379649</w:t>
      </w:r>
    </w:p>
    <w:p>
      <w:pPr>
        <w:pStyle w:val="null3"/>
      </w:pPr>
      <w:r>
        <w:rPr/>
        <w:t>地址：西安市曲江新区雁翔路3269号【旺座·曲江】 E座29层</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结合实际工作需要，现需对专家信息管理平台进行升级改造。一是重新设计专家信息、活动信息、专家组信息相关数据录入、查阅功能，实现更加全面的数据录入，更加便捷的数据查阅；二是结合现有业务需求，重新设计开发活动管理模块，做到活动信息录入的更加及时、全面，活动信息的回溯更加便捷、快速；三是根据现有部门架构，重新构建出更加符合实际情况的业务审理功能模块；四是针对系统数据的多维度分析需求，将开发出能够实现数据比较、排序、分组、汇总和统计等多维度分析的数据报表功能，用以支撑业务部门对专家及活动信息的分析需求；五是系统最终将通过省局统一部署，实现省市县三级同时登陆，实现专家信息管理、专家抽取等用于专家信息及活动管理的统一化功能。</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80</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rPr>
              <w:t xml:space="preserve">  结合实际工作需要，现需对专家信息管理平台进行升级改造。一是重新设计专家信息、活动信息、专家组信息相关数据录入、查阅功能，实现更加全面的数据录入，更加便捷的数据查阅；二是结合现有业务需求，重新设计开发活动管理模块，做到活动信息录入的更加及时、全面，活动信息的回溯更加便捷、快速；三是根据现有部门架构，重新构建出更加符合实际情况的业务审理功能模块；四是针对系统数据的多维度分析需求，将开发出能够实现数据比较、排序、分组、汇总和统计等多维度分析的数据报表功能，用以支撑业务部门对专家及活动信息的分析需求；五是系统最终将通过省局统一部署，实现省市县三级同时登陆，实现专家信息管理、专家抽取等用于专家信息及活动管理的统一化功能。</w:t>
            </w:r>
          </w:p>
          <w:p>
            <w:pPr>
              <w:pStyle w:val="null3"/>
              <w:jc w:val="center"/>
            </w:pPr>
            <w:r>
              <w:rPr>
                <w:rFonts w:ascii="宋体" w:hAnsi="宋体" w:cs="宋体" w:eastAsia="宋体"/>
                <w:sz w:val="32"/>
                <w:b/>
              </w:rPr>
              <w:t>专家管理平台参数要求（应用功能）</w:t>
            </w:r>
          </w:p>
          <w:p>
            <w:pPr>
              <w:pStyle w:val="null3"/>
              <w:jc w:val="both"/>
            </w:pPr>
            <w:r>
              <w:rPr>
                <w:rFonts w:ascii="宋体" w:hAnsi="宋体" w:cs="宋体" w:eastAsia="宋体"/>
                <w:sz w:val="24"/>
                <w:b/>
              </w:rPr>
              <w:t>一、主要技术要求</w:t>
            </w:r>
          </w:p>
          <w:tbl>
            <w:tblPr>
              <w:tblBorders>
                <w:top w:val="none" w:color="000000" w:sz="4"/>
                <w:left w:val="none" w:color="000000" w:sz="4"/>
                <w:bottom w:val="none" w:color="000000" w:sz="4"/>
                <w:right w:val="none" w:color="000000" w:sz="4"/>
                <w:insideH w:val="none"/>
                <w:insideV w:val="none"/>
              </w:tblBorders>
            </w:tblPr>
            <w:tblGrid>
              <w:gridCol w:w="212"/>
              <w:gridCol w:w="2341"/>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技术要求</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系统</w:t>
                  </w:r>
                  <w:r>
                    <w:rPr>
                      <w:rFonts w:ascii="宋体" w:hAnsi="宋体" w:cs="宋体" w:eastAsia="宋体"/>
                      <w:sz w:val="24"/>
                    </w:rPr>
                    <w:t>采用</w:t>
                  </w:r>
                  <w:r>
                    <w:rPr>
                      <w:rFonts w:ascii="宋体" w:hAnsi="宋体" w:cs="宋体" w:eastAsia="宋体"/>
                      <w:sz w:val="24"/>
                    </w:rPr>
                    <w:t>JAVA</w:t>
                  </w:r>
                  <w:r>
                    <w:rPr>
                      <w:rFonts w:ascii="宋体" w:hAnsi="宋体" w:cs="宋体" w:eastAsia="宋体"/>
                      <w:sz w:val="24"/>
                    </w:rPr>
                    <w:t>语言开发</w:t>
                  </w:r>
                  <w:r>
                    <w:rPr>
                      <w:rFonts w:ascii="宋体" w:hAnsi="宋体" w:cs="宋体" w:eastAsia="宋体"/>
                      <w:sz w:val="24"/>
                    </w:rPr>
                    <w:t>，支持跨平台与分布式</w:t>
                  </w:r>
                  <w:r>
                    <w:rPr>
                      <w:rFonts w:ascii="宋体" w:hAnsi="宋体" w:cs="宋体" w:eastAsia="宋体"/>
                      <w:sz w:val="24"/>
                    </w:rPr>
                    <w:t>部署</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安全数据传输协议，</w:t>
                  </w:r>
                  <w:r>
                    <w:rPr>
                      <w:rFonts w:ascii="宋体" w:hAnsi="宋体" w:cs="宋体" w:eastAsia="宋体"/>
                      <w:sz w:val="24"/>
                    </w:rPr>
                    <w:t>核心</w:t>
                  </w:r>
                  <w:r>
                    <w:rPr>
                      <w:rFonts w:ascii="宋体" w:hAnsi="宋体" w:cs="宋体" w:eastAsia="宋体"/>
                      <w:sz w:val="24"/>
                    </w:rPr>
                    <w:t>数据在传输、存储过程</w:t>
                  </w:r>
                  <w:r>
                    <w:rPr>
                      <w:rFonts w:ascii="宋体" w:hAnsi="宋体" w:cs="宋体" w:eastAsia="宋体"/>
                      <w:sz w:val="24"/>
                    </w:rPr>
                    <w:t>中应</w:t>
                  </w:r>
                  <w:r>
                    <w:rPr>
                      <w:rFonts w:ascii="宋体" w:hAnsi="宋体" w:cs="宋体" w:eastAsia="宋体"/>
                      <w:sz w:val="24"/>
                    </w:rPr>
                    <w:t>加密</w:t>
                  </w:r>
                  <w:r>
                    <w:rPr>
                      <w:rFonts w:ascii="宋体" w:hAnsi="宋体" w:cs="宋体" w:eastAsia="宋体"/>
                      <w:sz w:val="24"/>
                    </w:rPr>
                    <w:t>处理</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、数据库</w:t>
                  </w:r>
                  <w:r>
                    <w:rPr>
                      <w:rFonts w:ascii="宋体" w:hAnsi="宋体" w:cs="宋体" w:eastAsia="宋体"/>
                      <w:sz w:val="24"/>
                    </w:rPr>
                    <w:t>支持</w:t>
                  </w:r>
                  <w:r>
                    <w:rPr>
                      <w:rFonts w:ascii="宋体" w:hAnsi="宋体" w:cs="宋体" w:eastAsia="宋体"/>
                      <w:sz w:val="24"/>
                    </w:rPr>
                    <w:t>ORACLE</w:t>
                  </w:r>
                  <w:r>
                    <w:rPr>
                      <w:rFonts w:ascii="宋体" w:hAnsi="宋体" w:cs="宋体" w:eastAsia="宋体"/>
                      <w:sz w:val="24"/>
                    </w:rPr>
                    <w:t>、</w:t>
                  </w:r>
                  <w:r>
                    <w:rPr>
                      <w:rFonts w:ascii="宋体" w:hAnsi="宋体" w:cs="宋体" w:eastAsia="宋体"/>
                      <w:sz w:val="24"/>
                    </w:rPr>
                    <w:t>MySQL等主流数据库，同时支持国产化数据库</w:t>
                  </w:r>
                  <w:r>
                    <w:rPr>
                      <w:rFonts w:ascii="宋体" w:hAnsi="宋体" w:cs="宋体" w:eastAsia="宋体"/>
                      <w:sz w:val="24"/>
                    </w:rPr>
                    <w:t>，需支持数据自动备份、容灾处理、数据读写分离等部署与调用方案。</w:t>
                  </w:r>
                </w:p>
                <w:p>
                  <w:pPr>
                    <w:pStyle w:val="null3"/>
                    <w:jc w:val="both"/>
                  </w:pPr>
                  <w:r>
                    <w:rPr>
                      <w:rFonts w:ascii="宋体" w:hAnsi="宋体" w:cs="宋体" w:eastAsia="宋体"/>
                      <w:sz w:val="24"/>
                    </w:rPr>
                    <w:t>3</w:t>
                  </w:r>
                  <w:r>
                    <w:rPr>
                      <w:rFonts w:ascii="宋体" w:hAnsi="宋体" w:cs="宋体" w:eastAsia="宋体"/>
                      <w:sz w:val="24"/>
                    </w:rPr>
                    <w:t>、系统</w:t>
                  </w:r>
                  <w:r>
                    <w:rPr>
                      <w:rFonts w:ascii="宋体" w:hAnsi="宋体" w:cs="宋体" w:eastAsia="宋体"/>
                      <w:sz w:val="24"/>
                    </w:rPr>
                    <w:t>无</w:t>
                  </w:r>
                  <w:r>
                    <w:rPr>
                      <w:rFonts w:ascii="宋体" w:hAnsi="宋体" w:cs="宋体" w:eastAsia="宋体"/>
                      <w:sz w:val="24"/>
                    </w:rPr>
                    <w:t>用户数据量限制，同时在线用户数</w:t>
                  </w:r>
                  <w:r>
                    <w:rPr>
                      <w:rFonts w:ascii="宋体" w:hAnsi="宋体" w:cs="宋体" w:eastAsia="宋体"/>
                      <w:sz w:val="24"/>
                    </w:rPr>
                    <w:t>应</w:t>
                  </w:r>
                  <w:r>
                    <w:rPr>
                      <w:rFonts w:ascii="宋体" w:hAnsi="宋体" w:cs="宋体" w:eastAsia="宋体"/>
                      <w:sz w:val="24"/>
                    </w:rPr>
                    <w:t>不低于</w:t>
                  </w:r>
                  <w:r>
                    <w:rPr>
                      <w:rFonts w:ascii="宋体" w:hAnsi="宋体" w:cs="宋体" w:eastAsia="宋体"/>
                      <w:sz w:val="24"/>
                    </w:rPr>
                    <w:t>3000</w:t>
                  </w:r>
                  <w:r>
                    <w:rPr>
                      <w:rFonts w:ascii="宋体" w:hAnsi="宋体" w:cs="宋体" w:eastAsia="宋体"/>
                      <w:sz w:val="24"/>
                    </w:rPr>
                    <w:t>用户。</w:t>
                  </w:r>
                </w:p>
                <w:p>
                  <w:pPr>
                    <w:pStyle w:val="null3"/>
                    <w:jc w:val="both"/>
                  </w:pPr>
                  <w:r>
                    <w:rPr>
                      <w:rFonts w:ascii="宋体" w:hAnsi="宋体" w:cs="宋体" w:eastAsia="宋体"/>
                      <w:sz w:val="24"/>
                    </w:rPr>
                    <w:t>4</w:t>
                  </w:r>
                  <w:r>
                    <w:rPr>
                      <w:rFonts w:ascii="宋体" w:hAnsi="宋体" w:cs="宋体" w:eastAsia="宋体"/>
                      <w:sz w:val="24"/>
                    </w:rPr>
                    <w:t>、系统</w:t>
                  </w:r>
                  <w:r>
                    <w:rPr>
                      <w:rFonts w:ascii="宋体" w:hAnsi="宋体" w:cs="宋体" w:eastAsia="宋体"/>
                      <w:sz w:val="24"/>
                    </w:rPr>
                    <w:t>所有</w:t>
                  </w:r>
                  <w:r>
                    <w:rPr>
                      <w:rFonts w:ascii="宋体" w:hAnsi="宋体" w:cs="宋体" w:eastAsia="宋体"/>
                      <w:sz w:val="24"/>
                    </w:rPr>
                    <w:t>数据查询响应时间不应超过</w:t>
                  </w:r>
                  <w:r>
                    <w:rPr>
                      <w:rFonts w:ascii="宋体" w:hAnsi="宋体" w:cs="宋体" w:eastAsia="宋体"/>
                      <w:sz w:val="24"/>
                    </w:rPr>
                    <w:t>2000</w:t>
                  </w:r>
                  <w:r>
                    <w:rPr>
                      <w:rFonts w:ascii="宋体" w:hAnsi="宋体" w:cs="宋体" w:eastAsia="宋体"/>
                      <w:sz w:val="24"/>
                    </w:rPr>
                    <w:t>毫秒。</w:t>
                  </w:r>
                </w:p>
                <w:p>
                  <w:pPr>
                    <w:pStyle w:val="null3"/>
                    <w:jc w:val="both"/>
                  </w:pPr>
                  <w:r>
                    <w:rPr>
                      <w:rFonts w:ascii="宋体" w:hAnsi="宋体" w:cs="宋体" w:eastAsia="宋体"/>
                      <w:sz w:val="24"/>
                    </w:rPr>
                    <w:t>5</w:t>
                  </w:r>
                  <w:r>
                    <w:rPr>
                      <w:rFonts w:ascii="宋体" w:hAnsi="宋体" w:cs="宋体" w:eastAsia="宋体"/>
                      <w:sz w:val="24"/>
                    </w:rPr>
                    <w:t>、软件交付时需要提供所有</w:t>
                  </w:r>
                  <w:r>
                    <w:rPr>
                      <w:rFonts w:ascii="宋体" w:hAnsi="宋体" w:cs="宋体" w:eastAsia="宋体"/>
                      <w:sz w:val="24"/>
                    </w:rPr>
                    <w:t>程序代码、</w:t>
                  </w:r>
                  <w:r>
                    <w:rPr>
                      <w:rFonts w:ascii="宋体" w:hAnsi="宋体" w:cs="宋体" w:eastAsia="宋体"/>
                      <w:sz w:val="24"/>
                    </w:rPr>
                    <w:t>编译可运行文件及相关</w:t>
                  </w:r>
                  <w:r>
                    <w:rPr>
                      <w:rFonts w:ascii="宋体" w:hAnsi="宋体" w:cs="宋体" w:eastAsia="宋体"/>
                      <w:sz w:val="24"/>
                    </w:rPr>
                    <w:t>开发、设计、实施以及用户</w:t>
                  </w:r>
                  <w:r>
                    <w:rPr>
                      <w:rFonts w:ascii="宋体" w:hAnsi="宋体" w:cs="宋体" w:eastAsia="宋体"/>
                      <w:sz w:val="24"/>
                    </w:rPr>
                    <w:t>文档。</w:t>
                  </w:r>
                </w:p>
              </w:tc>
            </w:tr>
          </w:tbl>
          <w:p>
            <w:pPr>
              <w:pStyle w:val="null3"/>
              <w:jc w:val="both"/>
            </w:pPr>
            <w:r>
              <w:rPr>
                <w:rFonts w:ascii="宋体" w:hAnsi="宋体" w:cs="宋体" w:eastAsia="宋体"/>
                <w:sz w:val="24"/>
                <w:b/>
              </w:rPr>
              <w:t>二、软件主要功能要求</w:t>
            </w:r>
          </w:p>
          <w:p>
            <w:pPr>
              <w:pStyle w:val="null3"/>
              <w:jc w:val="both"/>
            </w:pPr>
            <w:r>
              <w:rPr>
                <w:rFonts w:ascii="宋体" w:hAnsi="宋体" w:cs="宋体" w:eastAsia="宋体"/>
                <w:sz w:val="24"/>
              </w:rPr>
              <w:t>1、</w:t>
            </w:r>
            <w:r>
              <w:rPr>
                <w:rFonts w:ascii="宋体" w:hAnsi="宋体" w:cs="宋体" w:eastAsia="宋体"/>
                <w:sz w:val="24"/>
              </w:rPr>
              <w:t>专家管理系统平台端</w:t>
            </w:r>
          </w:p>
          <w:tbl>
            <w:tblPr>
              <w:tblBorders>
                <w:top w:val="none" w:color="000000" w:sz="4"/>
                <w:left w:val="none" w:color="000000" w:sz="4"/>
                <w:bottom w:val="none" w:color="000000" w:sz="4"/>
                <w:right w:val="none" w:color="000000" w:sz="4"/>
                <w:insideH w:val="none"/>
                <w:insideV w:val="none"/>
              </w:tblBorders>
            </w:tblPr>
            <w:tblGrid>
              <w:gridCol w:w="269"/>
              <w:gridCol w:w="773"/>
              <w:gridCol w:w="2139"/>
            </w:tblGrid>
            <w:tr>
              <w:tc>
                <w:tcPr>
                  <w:tcW w:type="dxa" w:w="26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宋体" w:hAnsi="宋体" w:cs="宋体" w:eastAsia="宋体"/>
                      <w:sz w:val="24"/>
                      <w:b/>
                    </w:rPr>
                    <w:t>序号</w:t>
                  </w:r>
                </w:p>
              </w:tc>
              <w:tc>
                <w:tcPr>
                  <w:tcW w:type="dxa" w:w="77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宋体" w:hAnsi="宋体" w:cs="宋体" w:eastAsia="宋体"/>
                      <w:sz w:val="24"/>
                      <w:b/>
                    </w:rPr>
                    <w:t>功能名称</w:t>
                  </w:r>
                </w:p>
              </w:tc>
              <w:tc>
                <w:tcPr>
                  <w:tcW w:type="dxa" w:w="213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宋体" w:hAnsi="宋体" w:cs="宋体" w:eastAsia="宋体"/>
                      <w:sz w:val="24"/>
                      <w:b/>
                    </w:rPr>
                    <w:t>功能需求及参数</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专家库管理</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专家库建设要求：</w:t>
                  </w:r>
                  <w:r>
                    <w:br/>
                  </w:r>
                  <w:r>
                    <w:rPr>
                      <w:rFonts w:ascii="宋体" w:hAnsi="宋体" w:cs="宋体" w:eastAsia="宋体"/>
                      <w:sz w:val="24"/>
                    </w:rPr>
                    <w:t>（</w:t>
                  </w:r>
                  <w:r>
                    <w:rPr>
                      <w:rFonts w:ascii="宋体" w:hAnsi="宋体" w:cs="宋体" w:eastAsia="宋体"/>
                      <w:sz w:val="24"/>
                    </w:rPr>
                    <w:t>1）、能分门类别的分组管理本级部门专家。</w:t>
                  </w:r>
                </w:p>
                <w:p>
                  <w:pPr>
                    <w:pStyle w:val="null3"/>
                    <w:jc w:val="both"/>
                  </w:pPr>
                  <w:r>
                    <w:rPr>
                      <w:rFonts w:ascii="宋体" w:hAnsi="宋体" w:cs="宋体" w:eastAsia="宋体"/>
                      <w:sz w:val="24"/>
                    </w:rPr>
                    <w:t>（</w:t>
                  </w:r>
                  <w:r>
                    <w:rPr>
                      <w:rFonts w:ascii="宋体" w:hAnsi="宋体" w:cs="宋体" w:eastAsia="宋体"/>
                      <w:sz w:val="24"/>
                    </w:rPr>
                    <w:t>2）、定时更新专家信息，定时开放专家入场。</w:t>
                  </w:r>
                </w:p>
                <w:p>
                  <w:pPr>
                    <w:pStyle w:val="null3"/>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支持</w:t>
                  </w:r>
                  <w:r>
                    <w:rPr>
                      <w:rFonts w:ascii="宋体" w:hAnsi="宋体" w:cs="宋体" w:eastAsia="宋体"/>
                      <w:sz w:val="24"/>
                    </w:rPr>
                    <w:t>清退</w:t>
                  </w:r>
                  <w:r>
                    <w:rPr>
                      <w:rFonts w:ascii="宋体" w:hAnsi="宋体" w:cs="宋体" w:eastAsia="宋体"/>
                      <w:sz w:val="24"/>
                    </w:rPr>
                    <w:t>/恢复专家。</w:t>
                  </w:r>
                </w:p>
                <w:p>
                  <w:pPr>
                    <w:pStyle w:val="null3"/>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支持</w:t>
                  </w:r>
                  <w:r>
                    <w:rPr>
                      <w:rFonts w:ascii="宋体" w:hAnsi="宋体" w:cs="宋体" w:eastAsia="宋体"/>
                      <w:sz w:val="24"/>
                    </w:rPr>
                    <w:t>单个专家入库及逐级审核功能，</w:t>
                  </w:r>
                  <w:r>
                    <w:rPr>
                      <w:rFonts w:ascii="宋体" w:hAnsi="宋体" w:cs="宋体" w:eastAsia="宋体"/>
                      <w:sz w:val="24"/>
                    </w:rPr>
                    <w:t>支持</w:t>
                  </w:r>
                  <w:r>
                    <w:rPr>
                      <w:rFonts w:ascii="宋体" w:hAnsi="宋体" w:cs="宋体" w:eastAsia="宋体"/>
                      <w:sz w:val="24"/>
                    </w:rPr>
                    <w:t>批量专家入库功能。</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可</w:t>
                  </w:r>
                  <w:r>
                    <w:rPr>
                      <w:rFonts w:ascii="宋体" w:hAnsi="宋体" w:cs="宋体" w:eastAsia="宋体"/>
                      <w:sz w:val="24"/>
                    </w:rPr>
                    <w:t>根据条件给相关专家批量发布通知，</w:t>
                  </w:r>
                  <w:r>
                    <w:rPr>
                      <w:rFonts w:ascii="宋体" w:hAnsi="宋体" w:cs="宋体" w:eastAsia="宋体"/>
                      <w:sz w:val="24"/>
                    </w:rPr>
                    <w:t>支持</w:t>
                  </w:r>
                  <w:r>
                    <w:rPr>
                      <w:rFonts w:ascii="宋体" w:hAnsi="宋体" w:cs="宋体" w:eastAsia="宋体"/>
                      <w:sz w:val="24"/>
                    </w:rPr>
                    <w:t>历史通知查询</w:t>
                  </w:r>
                  <w:r>
                    <w:rPr>
                      <w:rFonts w:ascii="宋体" w:hAnsi="宋体" w:cs="宋体" w:eastAsia="宋体"/>
                      <w:sz w:val="24"/>
                    </w:rPr>
                    <w:t>功能</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支持</w:t>
                  </w:r>
                  <w:r>
                    <w:rPr>
                      <w:rFonts w:ascii="宋体" w:hAnsi="宋体" w:cs="宋体" w:eastAsia="宋体"/>
                      <w:sz w:val="24"/>
                    </w:rPr>
                    <w:t>各状态下专家的详细信息实时调取查看。</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专家使用统计</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对专家的使用情况进行详细统计。</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活动管理</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活动管理功能建设要求：</w:t>
                  </w:r>
                </w:p>
                <w:p>
                  <w:pPr>
                    <w:pStyle w:val="null3"/>
                    <w:jc w:val="both"/>
                  </w:pPr>
                  <w:r>
                    <w:rPr>
                      <w:rFonts w:ascii="宋体" w:hAnsi="宋体" w:cs="宋体" w:eastAsia="宋体"/>
                      <w:sz w:val="24"/>
                    </w:rPr>
                    <w:t>（</w:t>
                  </w:r>
                  <w:r>
                    <w:rPr>
                      <w:rFonts w:ascii="宋体" w:hAnsi="宋体" w:cs="宋体" w:eastAsia="宋体"/>
                      <w:sz w:val="24"/>
                    </w:rPr>
                    <w:t>1）、新建活动。</w:t>
                  </w:r>
                </w:p>
                <w:p>
                  <w:pPr>
                    <w:pStyle w:val="null3"/>
                    <w:jc w:val="both"/>
                  </w:pPr>
                  <w:r>
                    <w:rPr>
                      <w:rFonts w:ascii="宋体" w:hAnsi="宋体" w:cs="宋体" w:eastAsia="宋体"/>
                      <w:sz w:val="24"/>
                    </w:rPr>
                    <w:t>（</w:t>
                  </w:r>
                  <w:r>
                    <w:rPr>
                      <w:rFonts w:ascii="宋体" w:hAnsi="宋体" w:cs="宋体" w:eastAsia="宋体"/>
                      <w:sz w:val="24"/>
                    </w:rPr>
                    <w:t>2）、抽取参与活动的专家，并查看专家回复结果。</w:t>
                  </w:r>
                </w:p>
                <w:p>
                  <w:pPr>
                    <w:pStyle w:val="null3"/>
                    <w:jc w:val="both"/>
                  </w:pPr>
                  <w:r>
                    <w:rPr>
                      <w:rFonts w:ascii="宋体" w:hAnsi="宋体" w:cs="宋体" w:eastAsia="宋体"/>
                      <w:sz w:val="24"/>
                    </w:rPr>
                    <w:t>（</w:t>
                  </w:r>
                  <w:r>
                    <w:rPr>
                      <w:rFonts w:ascii="宋体" w:hAnsi="宋体" w:cs="宋体" w:eastAsia="宋体"/>
                      <w:sz w:val="24"/>
                    </w:rPr>
                    <w:t>3）、活动过程中缺席专家的补录。</w:t>
                  </w:r>
                </w:p>
                <w:p>
                  <w:pPr>
                    <w:pStyle w:val="null3"/>
                    <w:jc w:val="both"/>
                  </w:pPr>
                  <w:r>
                    <w:rPr>
                      <w:rFonts w:ascii="宋体" w:hAnsi="宋体" w:cs="宋体" w:eastAsia="宋体"/>
                      <w:sz w:val="24"/>
                    </w:rPr>
                    <w:t>（</w:t>
                  </w:r>
                  <w:r>
                    <w:rPr>
                      <w:rFonts w:ascii="宋体" w:hAnsi="宋体" w:cs="宋体" w:eastAsia="宋体"/>
                      <w:sz w:val="24"/>
                    </w:rPr>
                    <w:t>4）、活动详情查看。</w:t>
                  </w:r>
                </w:p>
                <w:p>
                  <w:pPr>
                    <w:pStyle w:val="null3"/>
                    <w:jc w:val="both"/>
                  </w:pPr>
                  <w:r>
                    <w:rPr>
                      <w:rFonts w:ascii="宋体" w:hAnsi="宋体" w:cs="宋体" w:eastAsia="宋体"/>
                      <w:sz w:val="24"/>
                    </w:rPr>
                    <w:t>（</w:t>
                  </w:r>
                  <w:r>
                    <w:rPr>
                      <w:rFonts w:ascii="宋体" w:hAnsi="宋体" w:cs="宋体" w:eastAsia="宋体"/>
                      <w:sz w:val="24"/>
                    </w:rPr>
                    <w:t>5）、活动完成后，执行活动部门对专家打分、文字评价。</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短信通知</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活动执行过程中，</w:t>
                  </w:r>
                  <w:r>
                    <w:rPr>
                      <w:rFonts w:ascii="宋体" w:hAnsi="宋体" w:cs="宋体" w:eastAsia="宋体"/>
                      <w:sz w:val="24"/>
                    </w:rPr>
                    <w:t>对</w:t>
                  </w:r>
                  <w:r>
                    <w:rPr>
                      <w:rFonts w:ascii="宋体" w:hAnsi="宋体" w:cs="宋体" w:eastAsia="宋体"/>
                      <w:sz w:val="24"/>
                    </w:rPr>
                    <w:t>抽取的专家批量发送短信，专家可在收到的短信上直接回复，系统能提回复结果，并显示。专家短信通知可引导专家进入工作台端。</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活动审核</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专家管理部门对下级部门申请的活动进行审核。</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隐患管控</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对活动过程中产生的隐患进行处理。</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权限管理</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权限管理建设要求：</w:t>
                  </w:r>
                </w:p>
                <w:p>
                  <w:pPr>
                    <w:pStyle w:val="null3"/>
                    <w:jc w:val="both"/>
                  </w:pPr>
                  <w:r>
                    <w:rPr>
                      <w:rFonts w:ascii="宋体" w:hAnsi="宋体" w:cs="宋体" w:eastAsia="宋体"/>
                      <w:sz w:val="24"/>
                    </w:rPr>
                    <w:t>（</w:t>
                  </w:r>
                  <w:r>
                    <w:rPr>
                      <w:rFonts w:ascii="宋体" w:hAnsi="宋体" w:cs="宋体" w:eastAsia="宋体"/>
                      <w:sz w:val="24"/>
                    </w:rPr>
                    <w:t>1）、能录入全省范围内使用系统的用户及可使用功能权限。</w:t>
                  </w:r>
                </w:p>
                <w:p>
                  <w:pPr>
                    <w:pStyle w:val="null3"/>
                    <w:jc w:val="both"/>
                  </w:pPr>
                  <w:r>
                    <w:rPr>
                      <w:rFonts w:ascii="宋体" w:hAnsi="宋体" w:cs="宋体" w:eastAsia="宋体"/>
                      <w:sz w:val="24"/>
                    </w:rPr>
                    <w:t>（</w:t>
                  </w:r>
                  <w:r>
                    <w:rPr>
                      <w:rFonts w:ascii="宋体" w:hAnsi="宋体" w:cs="宋体" w:eastAsia="宋体"/>
                      <w:sz w:val="24"/>
                    </w:rPr>
                    <w:t>2）、用户</w:t>
                  </w:r>
                  <w:r>
                    <w:rPr>
                      <w:rFonts w:ascii="宋体" w:hAnsi="宋体" w:cs="宋体" w:eastAsia="宋体"/>
                      <w:sz w:val="24"/>
                    </w:rPr>
                    <w:t>登录系统</w:t>
                  </w:r>
                  <w:r>
                    <w:rPr>
                      <w:rFonts w:ascii="宋体" w:hAnsi="宋体" w:cs="宋体" w:eastAsia="宋体"/>
                      <w:sz w:val="24"/>
                    </w:rPr>
                    <w:t>后</w:t>
                  </w:r>
                  <w:r>
                    <w:rPr>
                      <w:rFonts w:ascii="宋体" w:hAnsi="宋体" w:cs="宋体" w:eastAsia="宋体"/>
                      <w:sz w:val="24"/>
                    </w:rPr>
                    <w:t>显示</w:t>
                  </w:r>
                  <w:r>
                    <w:rPr>
                      <w:rFonts w:ascii="宋体" w:hAnsi="宋体" w:cs="宋体" w:eastAsia="宋体"/>
                      <w:sz w:val="24"/>
                    </w:rPr>
                    <w:t>本级部门名称及数据。</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日志查询</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监控用户使用记录，对关键点信息做详细监控记录，如有差错可追踪到操作人、网络及设备。</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功能设计</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采用分</w:t>
                  </w:r>
                  <w:r>
                    <w:rPr>
                      <w:rFonts w:ascii="宋体" w:hAnsi="宋体" w:cs="宋体" w:eastAsia="宋体"/>
                      <w:sz w:val="24"/>
                    </w:rPr>
                    <w:t>层架构</w:t>
                  </w:r>
                  <w:r>
                    <w:rPr>
                      <w:rFonts w:ascii="宋体" w:hAnsi="宋体" w:cs="宋体" w:eastAsia="宋体"/>
                      <w:sz w:val="24"/>
                    </w:rPr>
                    <w:t>设计</w:t>
                  </w:r>
                  <w:r>
                    <w:rPr>
                      <w:rFonts w:ascii="宋体" w:hAnsi="宋体" w:cs="宋体" w:eastAsia="宋体"/>
                      <w:sz w:val="24"/>
                    </w:rPr>
                    <w:t>，</w:t>
                  </w:r>
                  <w:r>
                    <w:rPr>
                      <w:rFonts w:ascii="宋体" w:hAnsi="宋体" w:cs="宋体" w:eastAsia="宋体"/>
                      <w:sz w:val="24"/>
                    </w:rPr>
                    <w:t>支持</w:t>
                  </w:r>
                  <w:r>
                    <w:rPr>
                      <w:rFonts w:ascii="宋体" w:hAnsi="宋体" w:cs="宋体" w:eastAsia="宋体"/>
                      <w:sz w:val="24"/>
                    </w:rPr>
                    <w:t>功能扩展，</w:t>
                  </w:r>
                  <w:r>
                    <w:rPr>
                      <w:rFonts w:ascii="宋体" w:hAnsi="宋体" w:cs="宋体" w:eastAsia="宋体"/>
                      <w:sz w:val="24"/>
                    </w:rPr>
                    <w:t>确保设计系统具备</w:t>
                  </w:r>
                  <w:r>
                    <w:rPr>
                      <w:rFonts w:ascii="宋体" w:hAnsi="宋体" w:cs="宋体" w:eastAsia="宋体"/>
                      <w:sz w:val="24"/>
                    </w:rPr>
                    <w:t>灵活性。</w:t>
                  </w:r>
                </w:p>
              </w:tc>
            </w:tr>
          </w:tbl>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专家管理系统专家工作台</w:t>
            </w:r>
          </w:p>
          <w:tbl>
            <w:tblPr>
              <w:tblBorders>
                <w:top w:val="none" w:color="000000" w:sz="4"/>
                <w:left w:val="none" w:color="000000" w:sz="4"/>
                <w:bottom w:val="none" w:color="000000" w:sz="4"/>
                <w:right w:val="none" w:color="000000" w:sz="4"/>
                <w:insideH w:val="none"/>
                <w:insideV w:val="none"/>
              </w:tblBorders>
            </w:tblPr>
            <w:tblGrid>
              <w:gridCol w:w="269"/>
              <w:gridCol w:w="773"/>
              <w:gridCol w:w="2139"/>
            </w:tblGrid>
            <w:tr>
              <w:tc>
                <w:tcPr>
                  <w:tcW w:type="dxa" w:w="26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宋体" w:hAnsi="宋体" w:cs="宋体" w:eastAsia="宋体"/>
                      <w:sz w:val="24"/>
                      <w:b/>
                    </w:rPr>
                    <w:t>序号</w:t>
                  </w:r>
                </w:p>
              </w:tc>
              <w:tc>
                <w:tcPr>
                  <w:tcW w:type="dxa" w:w="77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宋体" w:hAnsi="宋体" w:cs="宋体" w:eastAsia="宋体"/>
                      <w:sz w:val="24"/>
                      <w:b/>
                    </w:rPr>
                    <w:t>功能名称</w:t>
                  </w:r>
                </w:p>
              </w:tc>
              <w:tc>
                <w:tcPr>
                  <w:tcW w:type="dxa" w:w="213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宋体" w:hAnsi="宋体" w:cs="宋体" w:eastAsia="宋体"/>
                      <w:sz w:val="24"/>
                      <w:b/>
                    </w:rPr>
                    <w:t>功能需求及参数</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专家工作台</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建设可适用于电脑、平板、移动端手机的专家工作台</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邀约确认</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专家收到邀约通知短信时，可直接短信</w:t>
                  </w:r>
                  <w:r>
                    <w:rPr>
                      <w:rFonts w:ascii="宋体" w:hAnsi="宋体" w:cs="宋体" w:eastAsia="宋体"/>
                      <w:sz w:val="24"/>
                    </w:rPr>
                    <w:t>回</w:t>
                  </w:r>
                  <w:r>
                    <w:rPr>
                      <w:rFonts w:ascii="宋体" w:hAnsi="宋体" w:cs="宋体" w:eastAsia="宋体"/>
                      <w:sz w:val="24"/>
                    </w:rPr>
                    <w:t>复确认，亦可进入工作台邀约确认，邀约确认结果</w:t>
                  </w:r>
                  <w:r>
                    <w:rPr>
                      <w:rFonts w:ascii="宋体" w:hAnsi="宋体" w:cs="宋体" w:eastAsia="宋体"/>
                      <w:sz w:val="24"/>
                    </w:rPr>
                    <w:t>反馈给</w:t>
                  </w:r>
                  <w:r>
                    <w:rPr>
                      <w:rFonts w:ascii="宋体" w:hAnsi="宋体" w:cs="宋体" w:eastAsia="宋体"/>
                      <w:sz w:val="24"/>
                    </w:rPr>
                    <w:t>平台端用户。</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活动管理</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邀约成功且已经正式参加活动的专家，可查看自己参与的活动及具体工作安排，可在活动过程中录入自己发现的隐患记录，活动结束后，整理活动记录并上报给邀约部门。</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消息通知</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接收、读取平台端发布的消息通知。区分历史消息和未读消息。</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个人资料修改</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在专家入场开放时间内，可修改更新专家个人资料，并提交到相应部门审批。</w:t>
                  </w:r>
                </w:p>
              </w:tc>
            </w:tr>
            <w:tr>
              <w:tc>
                <w:tcPr>
                  <w:tcW w:type="dxa" w:w="2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numPr>
                      <w:ilvl w:val="0"/>
                      <w:numId w:val="1"/>
                    </w:numPr>
                    <w:jc w:val="center"/>
                  </w:pPr>
                </w:p>
              </w:tc>
              <w:tc>
                <w:tcPr>
                  <w:tcW w:type="dxa" w:w="77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专家申请</w:t>
                  </w:r>
                </w:p>
              </w:tc>
              <w:tc>
                <w:tcPr>
                  <w:tcW w:type="dxa" w:w="213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宋体" w:hAnsi="宋体" w:cs="宋体" w:eastAsia="宋体"/>
                      <w:sz w:val="24"/>
                    </w:rPr>
                    <w:t>在专家入场开放时间内，提交规定的专家个人资料到相应部门审批，审批通过</w:t>
                  </w:r>
                  <w:r>
                    <w:rPr>
                      <w:rFonts w:ascii="宋体" w:hAnsi="宋体" w:cs="宋体" w:eastAsia="宋体"/>
                      <w:sz w:val="24"/>
                    </w:rPr>
                    <w:t>后</w:t>
                  </w:r>
                  <w:r>
                    <w:rPr>
                      <w:rFonts w:ascii="宋体" w:hAnsi="宋体" w:cs="宋体" w:eastAsia="宋体"/>
                      <w:sz w:val="24"/>
                    </w:rPr>
                    <w:t>成为专家库专家。</w:t>
                  </w:r>
                </w:p>
              </w:tc>
            </w:tr>
          </w:tbl>
          <w:p/>
        </w:tc>
      </w:tr>
    </w:tbl>
    <w:p>
      <w:pPr>
        <w:pStyle w:val="null3"/>
        <w:outlineLvl w:val="2"/>
      </w:pPr>
      <w:r>
        <w:rPr>
          <w:sz w:val="28"/>
          <w:b/>
        </w:rPr>
        <w:t>3.2.3人员配置要求</w:t>
      </w:r>
    </w:p>
    <w:p>
      <w:pPr>
        <w:pStyle w:val="null3"/>
      </w:pPr>
      <w:r>
        <w:rPr/>
        <w:t>采购包1：</w:t>
      </w:r>
    </w:p>
    <w:p>
      <w:pPr>
        <w:pStyle w:val="null3"/>
      </w:pPr>
      <w:r>
        <w:rPr/>
        <w:t>详见3.2.2 服务要求</w:t>
      </w:r>
    </w:p>
    <w:p>
      <w:pPr>
        <w:pStyle w:val="null3"/>
        <w:outlineLvl w:val="2"/>
      </w:pPr>
      <w:r>
        <w:rPr>
          <w:sz w:val="28"/>
          <w:b/>
        </w:rPr>
        <w:t>3.2.4设施设备要求</w:t>
      </w:r>
    </w:p>
    <w:p>
      <w:pPr>
        <w:pStyle w:val="null3"/>
      </w:pPr>
      <w:r>
        <w:rPr/>
        <w:t>采购包1：</w:t>
      </w:r>
    </w:p>
    <w:p>
      <w:pPr>
        <w:pStyle w:val="null3"/>
      </w:pPr>
      <w:r>
        <w:rPr/>
        <w:t>详见3.2.2 服务要求</w:t>
      </w:r>
    </w:p>
    <w:p>
      <w:pPr>
        <w:pStyle w:val="null3"/>
        <w:outlineLvl w:val="2"/>
      </w:pPr>
      <w:r>
        <w:rPr>
          <w:sz w:val="28"/>
          <w:b/>
        </w:rPr>
        <w:t>3.2.5其他要求</w:t>
      </w:r>
    </w:p>
    <w:p>
      <w:pPr>
        <w:pStyle w:val="null3"/>
      </w:pPr>
      <w:r>
        <w:rPr/>
        <w:t>采购包1：</w:t>
      </w:r>
    </w:p>
    <w:p>
      <w:pPr>
        <w:pStyle w:val="null3"/>
      </w:pPr>
      <w:r>
        <w:rPr/>
        <w:t>详见3.2.2 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合同履行期限：自合同签订之日起五年。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由采购人和供应商共同对项目进行整体验收。其内容包括所有产品清单的供货、使用等是否达到验收规范“合格”标准、是否按照采购人要求按时完成。 1.所验各项内容最终验收达不到招标文件要求和投标文件承诺的，或在后续使用中发现采购人不能容忍的缺陷等，将视为验收不合格，供应商应在采购人要求的时间内无条件整改及恢复。 2.若发现供应商有弄虚作假的，在招标阶段故意或随意夸大技术能力、服务质量的，采购人有权解除合同，并且要求供应商赔偿相关损失。 3.验收标准：按招标文件、投标文件及澄清函等技术指标进行验收。各项指标均应符合验收标准及要求。 4.验收合格后，填写验收单，双方签字生效。 5.验收依据： （1）合同文本及合同补充文件（条款）； （2）国家和行业制定的相应的标准和规范； （2）产品的合法来源渠道证明文件、响应功能证明材料； （3）招标文件； （4）中标人的投标文件；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20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2．供应商未经采购人同意，以任何形式向第三人泄露项目信息及秘密的，采购人有权解除合同且要求供应商承担违约责任。 3．供应商应在收到解除通知后5天内退还已收取的款项，履行合同的相关费用由供应商承担。 4．因解除合同造成采购人损失的应予赔偿，损失无法计算时，每日应按合同价款的 千分之一承担。上述约定的违约条款可合并适用，合并适用后仍不能弥补采购人损失的，采购人有权继续追偿，由供应商承担相应责任，由此给采购人造成的损失，也应承担。 5．未经采购人书面同意，供应商不得转让或部分转让合同，如供应商违约，采购人有权解除合同或要求供应商承担违约责任。</w:t>
      </w:r>
    </w:p>
    <w:p>
      <w:pPr>
        <w:pStyle w:val="null3"/>
        <w:outlineLvl w:val="2"/>
      </w:pPr>
      <w:r>
        <w:rPr>
          <w:sz w:val="28"/>
          <w:b/>
        </w:rPr>
        <w:t>3.4其他要求</w:t>
      </w:r>
    </w:p>
    <w:p>
      <w:pPr>
        <w:pStyle w:val="null3"/>
      </w:pPr>
      <w:r>
        <w:rPr/>
        <w:t>采购标的名称为：专家智库管理提升项目。 建设周期（交货期）：3个月。</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商务部分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商务部分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商务部分 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具有独立承担民事责任能力的法人或其他组织，提供合法有效的统一社会信用代码营业执照（事业单位提供事业单位法人证书）</w:t>
            </w:r>
          </w:p>
        </w:tc>
        <w:tc>
          <w:tcPr>
            <w:tcW w:type="dxa" w:w="1661"/>
          </w:tcPr>
          <w:p>
            <w:pPr>
              <w:pStyle w:val="null3"/>
            </w:pPr>
            <w:r>
              <w:rPr/>
              <w:t>商务部分 供应商应提交的相关资格证明材料</w:t>
            </w:r>
          </w:p>
        </w:tc>
      </w:tr>
      <w:tr>
        <w:tc>
          <w:tcPr>
            <w:tcW w:type="dxa" w:w="831"/>
          </w:tcPr>
          <w:p>
            <w:pPr>
              <w:pStyle w:val="null3"/>
            </w:pPr>
            <w:r>
              <w:rPr/>
              <w:t>2</w:t>
            </w:r>
          </w:p>
        </w:tc>
        <w:tc>
          <w:tcPr>
            <w:tcW w:type="dxa" w:w="2492"/>
          </w:tcPr>
          <w:p>
            <w:pPr>
              <w:pStyle w:val="null3"/>
            </w:pPr>
            <w:r>
              <w:rPr/>
              <w:t>财务审计报告</w:t>
            </w:r>
          </w:p>
        </w:tc>
        <w:tc>
          <w:tcPr>
            <w:tcW w:type="dxa" w:w="3322"/>
          </w:tcPr>
          <w:p>
            <w:pPr>
              <w:pStyle w:val="null3"/>
            </w:pPr>
            <w:r>
              <w:rPr/>
              <w:t>提供2023年度的财务审计报告（至少包括资产负债表和利润表，成立时间至提交响应文件截止时间不足一年的可提供成立后任意时段的资产负债表），或其基本存款账户开户银行（投标截止日期一个月内）出具的资信证明及基本存款账户开户许可证（基本账户信息表）</w:t>
            </w:r>
          </w:p>
        </w:tc>
        <w:tc>
          <w:tcPr>
            <w:tcW w:type="dxa" w:w="1661"/>
          </w:tcPr>
          <w:p>
            <w:pPr>
              <w:pStyle w:val="null3"/>
            </w:pPr>
            <w:r>
              <w:rPr/>
              <w:t>商务部分 供应商应提交的相关资格证明材料</w:t>
            </w:r>
          </w:p>
        </w:tc>
      </w:tr>
      <w:tr>
        <w:tc>
          <w:tcPr>
            <w:tcW w:type="dxa" w:w="831"/>
          </w:tcPr>
          <w:p>
            <w:pPr>
              <w:pStyle w:val="null3"/>
            </w:pPr>
            <w:r>
              <w:rPr/>
              <w:t>3</w:t>
            </w:r>
          </w:p>
        </w:tc>
        <w:tc>
          <w:tcPr>
            <w:tcW w:type="dxa" w:w="2492"/>
          </w:tcPr>
          <w:p>
            <w:pPr>
              <w:pStyle w:val="null3"/>
            </w:pPr>
            <w:r>
              <w:rPr/>
              <w:t>缴纳税收证明材料</w:t>
            </w:r>
          </w:p>
        </w:tc>
        <w:tc>
          <w:tcPr>
            <w:tcW w:type="dxa" w:w="3322"/>
          </w:tcPr>
          <w:p>
            <w:pPr>
              <w:pStyle w:val="null3"/>
            </w:pPr>
            <w:r>
              <w:rPr/>
              <w:t>提供2023年11月至今已缴存的的至少一个月的纳税证明或完税证明（任意税种），依法免税的单位应提供相关证明材料</w:t>
            </w:r>
          </w:p>
        </w:tc>
        <w:tc>
          <w:tcPr>
            <w:tcW w:type="dxa" w:w="1661"/>
          </w:tcPr>
          <w:p>
            <w:pPr>
              <w:pStyle w:val="null3"/>
            </w:pPr>
            <w:r>
              <w:rPr/>
              <w:t>商务部分 供应商应提交的相关资格证明材料</w:t>
            </w:r>
          </w:p>
        </w:tc>
      </w:tr>
      <w:tr>
        <w:tc>
          <w:tcPr>
            <w:tcW w:type="dxa" w:w="831"/>
          </w:tcPr>
          <w:p>
            <w:pPr>
              <w:pStyle w:val="null3"/>
            </w:pPr>
            <w:r>
              <w:rPr/>
              <w:t>4</w:t>
            </w:r>
          </w:p>
        </w:tc>
        <w:tc>
          <w:tcPr>
            <w:tcW w:type="dxa" w:w="2492"/>
          </w:tcPr>
          <w:p>
            <w:pPr>
              <w:pStyle w:val="null3"/>
            </w:pPr>
            <w:r>
              <w:rPr/>
              <w:t>缴纳社保证明材料</w:t>
            </w:r>
          </w:p>
        </w:tc>
        <w:tc>
          <w:tcPr>
            <w:tcW w:type="dxa" w:w="3322"/>
          </w:tcPr>
          <w:p>
            <w:pPr>
              <w:pStyle w:val="null3"/>
            </w:pPr>
            <w:r>
              <w:rPr/>
              <w:t>提供2023年11月至今已缴存的至少一个月的社会保障资金缴存单据或社保机构开具的社会保险参保缴费情况证明，依法不需要缴纳社会保障资金的单位应提供相关证明材料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商务部分 供应商应提交的相关资格证明材料</w:t>
            </w:r>
          </w:p>
        </w:tc>
      </w:tr>
      <w:tr>
        <w:tc>
          <w:tcPr>
            <w:tcW w:type="dxa" w:w="831"/>
          </w:tcPr>
          <w:p>
            <w:pPr>
              <w:pStyle w:val="null3"/>
            </w:pPr>
            <w:r>
              <w:rPr/>
              <w:t>5</w:t>
            </w:r>
          </w:p>
        </w:tc>
        <w:tc>
          <w:tcPr>
            <w:tcW w:type="dxa" w:w="2492"/>
          </w:tcPr>
          <w:p>
            <w:pPr>
              <w:pStyle w:val="null3"/>
            </w:pPr>
            <w:r>
              <w:rPr/>
              <w:t>专业技术能力声明函</w:t>
            </w:r>
          </w:p>
        </w:tc>
        <w:tc>
          <w:tcPr>
            <w:tcW w:type="dxa" w:w="3322"/>
          </w:tcPr>
          <w:p>
            <w:pPr>
              <w:pStyle w:val="null3"/>
            </w:pPr>
            <w:r>
              <w:rPr/>
              <w:t>提供具有履行合同所必需的设备和专业技术能力的承诺</w:t>
            </w:r>
          </w:p>
        </w:tc>
        <w:tc>
          <w:tcPr>
            <w:tcW w:type="dxa" w:w="1661"/>
          </w:tcPr>
          <w:p>
            <w:pPr>
              <w:pStyle w:val="null3"/>
            </w:pPr>
            <w:r>
              <w:rPr/>
              <w:t>商务部分 供应商应提交的相关资格证明材料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商务部分 供应商应提交的相关资格证明材料</w:t>
            </w:r>
          </w:p>
        </w:tc>
      </w:tr>
      <w:tr>
        <w:tc>
          <w:tcPr>
            <w:tcW w:type="dxa" w:w="831"/>
          </w:tcPr>
          <w:p>
            <w:pPr>
              <w:pStyle w:val="null3"/>
            </w:pPr>
            <w:r>
              <w:rPr/>
              <w:t>7</w:t>
            </w:r>
          </w:p>
        </w:tc>
        <w:tc>
          <w:tcPr>
            <w:tcW w:type="dxa" w:w="2492"/>
          </w:tcPr>
          <w:p>
            <w:pPr>
              <w:pStyle w:val="null3"/>
            </w:pPr>
            <w:r>
              <w:rPr/>
              <w:t>无违法犯罪记录声明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商务部分 供应商应提交的相关资格证明材料</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t>商务部分 供应商应提交的相关资格证明材料</w:t>
            </w:r>
          </w:p>
        </w:tc>
      </w:tr>
      <w:tr>
        <w:tc>
          <w:tcPr>
            <w:tcW w:type="dxa" w:w="831"/>
          </w:tcPr>
          <w:p>
            <w:pPr>
              <w:pStyle w:val="null3"/>
            </w:pPr>
            <w:r>
              <w:rPr/>
              <w:t>9</w:t>
            </w:r>
          </w:p>
        </w:tc>
        <w:tc>
          <w:tcPr>
            <w:tcW w:type="dxa" w:w="2492"/>
          </w:tcPr>
          <w:p>
            <w:pPr>
              <w:pStyle w:val="null3"/>
            </w:pPr>
            <w:r>
              <w:rPr/>
              <w:t>信用中国等网站查询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信用记录由采购代理机构在投标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t>商务部分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投标文件完整性</w:t>
            </w:r>
          </w:p>
        </w:tc>
        <w:tc>
          <w:tcPr>
            <w:tcW w:type="dxa" w:w="3322"/>
          </w:tcPr>
          <w:p>
            <w:pPr>
              <w:pStyle w:val="null3"/>
            </w:pPr>
            <w:r>
              <w:rPr/>
              <w:t>投标文件构成是否有重大缺项，是否按照竞争性磋商文件要求的格式编写投标文件</w:t>
            </w:r>
          </w:p>
        </w:tc>
        <w:tc>
          <w:tcPr>
            <w:tcW w:type="dxa" w:w="1661"/>
          </w:tcPr>
          <w:p>
            <w:pPr>
              <w:pStyle w:val="null3"/>
            </w:pPr>
            <w:r>
              <w:rPr/>
              <w:t>服务内容及服务邀请应答表 中小企业声明函 商务应答表 供应商应提交的相关资格证明材料 报价表 响应文件封面 商务部分 技术部分 残疾人福利性单位声明函 标的清单 陕西省政府采购投标人拒绝政府采购领域商业贿赂承诺书 响应函 监狱企业的证明文件</w:t>
            </w:r>
          </w:p>
        </w:tc>
      </w:tr>
      <w:tr>
        <w:tc>
          <w:tcPr>
            <w:tcW w:type="dxa" w:w="831"/>
          </w:tcPr>
          <w:p>
            <w:pPr>
              <w:pStyle w:val="null3"/>
            </w:pPr>
            <w:r>
              <w:rPr/>
              <w:t>3</w:t>
            </w:r>
          </w:p>
        </w:tc>
        <w:tc>
          <w:tcPr>
            <w:tcW w:type="dxa" w:w="2492"/>
          </w:tcPr>
          <w:p>
            <w:pPr>
              <w:pStyle w:val="null3"/>
            </w:pPr>
            <w:r>
              <w:rPr/>
              <w:t>投标文件报价</w:t>
            </w:r>
          </w:p>
        </w:tc>
        <w:tc>
          <w:tcPr>
            <w:tcW w:type="dxa" w:w="3322"/>
          </w:tcPr>
          <w:p>
            <w:pPr>
              <w:pStyle w:val="null3"/>
            </w:pPr>
            <w:r>
              <w:rPr/>
              <w:t>报价唯一，且没有低于成本价或高于采购预算的</w:t>
            </w:r>
          </w:p>
        </w:tc>
        <w:tc>
          <w:tcPr>
            <w:tcW w:type="dxa" w:w="1661"/>
          </w:tcPr>
          <w:p>
            <w:pPr>
              <w:pStyle w:val="null3"/>
            </w:pPr>
            <w:r>
              <w:rPr/>
              <w:t>服务内容及服务邀请应答表 中小企业声明函 商务应答表 供应商应提交的相关资格证明材料 报价表 响应文件封面 商务部分 技术部分 残疾人福利性单位声明函 标的清单 陕西省政府采购投标人拒绝政府采购领域商业贿赂承诺书 响应函 监狱企业的证明文件</w:t>
            </w:r>
          </w:p>
        </w:tc>
      </w:tr>
      <w:tr>
        <w:tc>
          <w:tcPr>
            <w:tcW w:type="dxa" w:w="831"/>
          </w:tcPr>
          <w:p>
            <w:pPr>
              <w:pStyle w:val="null3"/>
            </w:pPr>
            <w:r>
              <w:rPr/>
              <w:t>4</w:t>
            </w:r>
          </w:p>
        </w:tc>
        <w:tc>
          <w:tcPr>
            <w:tcW w:type="dxa" w:w="2492"/>
          </w:tcPr>
          <w:p>
            <w:pPr>
              <w:pStyle w:val="null3"/>
            </w:pPr>
            <w:r>
              <w:rPr/>
              <w:t>投标文件有效性</w:t>
            </w:r>
          </w:p>
        </w:tc>
        <w:tc>
          <w:tcPr>
            <w:tcW w:type="dxa" w:w="3322"/>
          </w:tcPr>
          <w:p>
            <w:pPr>
              <w:pStyle w:val="null3"/>
            </w:pPr>
            <w:r>
              <w:rPr/>
              <w:t>投标文件的签署、盖章符合竞争性磋商文件要求，供应商递交的投标文件与本项目名称一致</w:t>
            </w:r>
          </w:p>
        </w:tc>
        <w:tc>
          <w:tcPr>
            <w:tcW w:type="dxa" w:w="1661"/>
          </w:tcPr>
          <w:p>
            <w:pPr>
              <w:pStyle w:val="null3"/>
            </w:pPr>
            <w:r>
              <w:rPr/>
              <w:t>服务内容及服务邀请应答表 中小企业声明函 商务应答表 供应商应提交的相关资格证明材料 报价表 响应文件封面 商务部分 技术部分 残疾人福利性单位声明函 标的清单 陕西省政府采购投标人拒绝政府采购领域商业贿赂承诺书 响应函 监狱企业的证明文件</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投标文件递交截止之日起不少于90日历日</w:t>
            </w:r>
          </w:p>
        </w:tc>
        <w:tc>
          <w:tcPr>
            <w:tcW w:type="dxa" w:w="1661"/>
          </w:tcPr>
          <w:p>
            <w:pPr>
              <w:pStyle w:val="null3"/>
            </w:pPr>
            <w:r>
              <w:rPr/>
              <w:t>服务内容及服务邀请应答表 中小企业声明函 商务应答表 供应商应提交的相关资格证明材料 报价表 响应文件封面 商务部分 技术部分 残疾人福利性单位声明函 标的清单 陕西省政府采购投标人拒绝政府采购领域商业贿赂承诺书 响应函 监狱企业的证明文件</w:t>
            </w:r>
          </w:p>
        </w:tc>
      </w:tr>
      <w:tr>
        <w:tc>
          <w:tcPr>
            <w:tcW w:type="dxa" w:w="831"/>
          </w:tcPr>
          <w:p>
            <w:pPr>
              <w:pStyle w:val="null3"/>
            </w:pPr>
            <w:r>
              <w:rPr/>
              <w:t>6</w:t>
            </w:r>
          </w:p>
        </w:tc>
        <w:tc>
          <w:tcPr>
            <w:tcW w:type="dxa" w:w="2492"/>
          </w:tcPr>
          <w:p>
            <w:pPr>
              <w:pStyle w:val="null3"/>
            </w:pPr>
            <w:r>
              <w:rPr/>
              <w:t>服务期、建设期</w:t>
            </w:r>
          </w:p>
        </w:tc>
        <w:tc>
          <w:tcPr>
            <w:tcW w:type="dxa" w:w="3322"/>
          </w:tcPr>
          <w:p>
            <w:pPr>
              <w:pStyle w:val="null3"/>
            </w:pPr>
            <w:r>
              <w:rPr/>
              <w:t>服务期、建设期响应竞争性磋商文件要求</w:t>
            </w:r>
          </w:p>
        </w:tc>
        <w:tc>
          <w:tcPr>
            <w:tcW w:type="dxa" w:w="1661"/>
          </w:tcPr>
          <w:p>
            <w:pPr>
              <w:pStyle w:val="null3"/>
            </w:pPr>
            <w:r>
              <w:rPr/>
              <w:t>服务内容及服务邀请应答表 中小企业声明函 商务应答表 供应商应提交的相关资格证明材料 报价表 响应文件封面 商务部分 技术部分 残疾人福利性单位声明函 标的清单 陕西省政府采购投标人拒绝政府采购领域商业贿赂承诺书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实施计划方案</w:t>
            </w:r>
          </w:p>
        </w:tc>
        <w:tc>
          <w:tcPr>
            <w:tcW w:type="dxa" w:w="2492"/>
          </w:tcPr>
          <w:p>
            <w:pPr>
              <w:pStyle w:val="null3"/>
            </w:pPr>
            <w:r>
              <w:rPr/>
              <w:t>项目实施计划应包括需求分析、设计、开发、测试、部署、运维、培训、验收、软件质量保证措施（包括组织、制度、计划、问题追踪、评审等）等内容。 方案内容完整、计划方案条理清晰、功能完整得10-15； 方案内容、计划方案条理基本满足、功能一般得5-10；方案内容空泛，条理不清晰计、功能不完善0-5分。未提供得0分。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技术部分</w:t>
            </w:r>
          </w:p>
          <w:p>
            <w:pPr>
              <w:pStyle w:val="null3"/>
            </w:pPr>
            <w:r>
              <w:rPr/>
              <w:t>服务内容及服务邀请应答表</w:t>
            </w:r>
          </w:p>
        </w:tc>
      </w:tr>
      <w:tr>
        <w:tc>
          <w:tcPr>
            <w:tcW w:type="dxa" w:w="831"/>
            <w:vMerge/>
          </w:tcPr>
          <w:p/>
        </w:tc>
        <w:tc>
          <w:tcPr>
            <w:tcW w:type="dxa" w:w="1661"/>
          </w:tcPr>
          <w:p>
            <w:pPr>
              <w:pStyle w:val="null3"/>
            </w:pPr>
            <w:r>
              <w:rPr/>
              <w:t>专家管理系统平台端服务方案</w:t>
            </w:r>
          </w:p>
        </w:tc>
        <w:tc>
          <w:tcPr>
            <w:tcW w:type="dxa" w:w="2492"/>
          </w:tcPr>
          <w:p>
            <w:pPr>
              <w:pStyle w:val="null3"/>
            </w:pPr>
            <w:r>
              <w:rPr/>
              <w:t>按照采购需求，对专家库管理、专家使用统计、活动管理、短信通知、活动审核、隐患管控、权限管理、日志查询、功能设计等主要功能模块对投标供应商提供的设计方案进行评审。需求理解正确全面，提出合理可行的关键技术解决方案，系统结构设计合理，全面完整覆盖系统功能需求得10-15；方案内容、结构设计条理基本满足、覆盖系统功能一般得5-10； 方案内容空泛，条理不清晰计、覆盖系统功能不完善0-5分。未提供得0分。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专家管理系统专家工作台服务方案</w:t>
            </w:r>
          </w:p>
        </w:tc>
        <w:tc>
          <w:tcPr>
            <w:tcW w:type="dxa" w:w="2492"/>
          </w:tcPr>
          <w:p>
            <w:pPr>
              <w:pStyle w:val="null3"/>
            </w:pPr>
            <w:r>
              <w:rPr/>
              <w:t>按照采购需求，对专家工作台、邀约确认、活动管理、消息通知、个人资料修改、专家申请等主要功能模块对投标供应商提供的设计方案进行评审。需求理解正确全面，提出合理可行的关键技术解决方案，系统结构设计合理，全面完整覆盖系统功能需求得10-15；方案内容、结构设计条理基本满足、覆盖系统功能一般得5-10； 方案内容空泛，条理不清晰计、覆盖系统功能不完善0-5分。未提供得0分。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技术部分</w:t>
            </w:r>
          </w:p>
          <w:p>
            <w:pPr>
              <w:pStyle w:val="null3"/>
            </w:pPr>
            <w:r>
              <w:rPr/>
              <w:t>服务内容及服务邀请应答表</w:t>
            </w:r>
          </w:p>
        </w:tc>
      </w:tr>
      <w:tr>
        <w:tc>
          <w:tcPr>
            <w:tcW w:type="dxa" w:w="831"/>
            <w:vMerge/>
          </w:tcPr>
          <w:p/>
        </w:tc>
        <w:tc>
          <w:tcPr>
            <w:tcW w:type="dxa" w:w="1661"/>
          </w:tcPr>
          <w:p>
            <w:pPr>
              <w:pStyle w:val="null3"/>
            </w:pPr>
            <w:r>
              <w:rPr/>
              <w:t>项目重点、难点分析</w:t>
            </w:r>
          </w:p>
        </w:tc>
        <w:tc>
          <w:tcPr>
            <w:tcW w:type="dxa" w:w="2492"/>
          </w:tcPr>
          <w:p>
            <w:pPr>
              <w:pStyle w:val="null3"/>
            </w:pPr>
            <w:r>
              <w:rPr/>
              <w:t>根据供应商针对本项目实重点、难点分析，包括但不限于：重点、难点分析； 应对措施； 重点、难点相关经验，以上方案内容具体、完整、详细的计5.1-7分，方案内容较完整的计1-5分，未提供得0分。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技术部分</w:t>
            </w:r>
          </w:p>
          <w:p>
            <w:pPr>
              <w:pStyle w:val="null3"/>
            </w:pPr>
            <w:r>
              <w:rPr/>
              <w:t>服务内容及服务邀请应答表</w:t>
            </w:r>
          </w:p>
        </w:tc>
      </w:tr>
      <w:tr>
        <w:tc>
          <w:tcPr>
            <w:tcW w:type="dxa" w:w="831"/>
            <w:vMerge/>
          </w:tcPr>
          <w:p/>
        </w:tc>
        <w:tc>
          <w:tcPr>
            <w:tcW w:type="dxa" w:w="1661"/>
          </w:tcPr>
          <w:p>
            <w:pPr>
              <w:pStyle w:val="null3"/>
            </w:pPr>
            <w:r>
              <w:rPr/>
              <w:t>售后服务方案和应急预案</w:t>
            </w:r>
          </w:p>
        </w:tc>
        <w:tc>
          <w:tcPr>
            <w:tcW w:type="dxa" w:w="2492"/>
          </w:tcPr>
          <w:p>
            <w:pPr>
              <w:pStyle w:val="null3"/>
            </w:pPr>
            <w:r>
              <w:rPr/>
              <w:t>提供本地化售后服务方案和应急预案。方案应详细、具体、可行，成立本项目售后服务团队，提供24小时服务热线，售后服务方案和应急预案（响应时间、电话支持、远程服务、定期巡查、应急解决方案、服务监督管理机制、质量保障的具体措施等）完善全面。方案内容具体、完整、详细的计7.1-10分，方案内容较完整的计4.1-7分，方案内容欠缺的计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技术部分</w:t>
            </w:r>
          </w:p>
          <w:p>
            <w:pPr>
              <w:pStyle w:val="null3"/>
            </w:pPr>
            <w:r>
              <w:rPr/>
              <w:t>服务内容及服务邀请应答表</w:t>
            </w:r>
          </w:p>
        </w:tc>
      </w:tr>
      <w:tr>
        <w:tc>
          <w:tcPr>
            <w:tcW w:type="dxa" w:w="831"/>
            <w:vMerge/>
          </w:tcPr>
          <w:p/>
        </w:tc>
        <w:tc>
          <w:tcPr>
            <w:tcW w:type="dxa" w:w="1661"/>
          </w:tcPr>
          <w:p>
            <w:pPr>
              <w:pStyle w:val="null3"/>
            </w:pPr>
            <w:r>
              <w:rPr/>
              <w:t>合理化建议</w:t>
            </w:r>
          </w:p>
        </w:tc>
        <w:tc>
          <w:tcPr>
            <w:tcW w:type="dxa" w:w="2492"/>
          </w:tcPr>
          <w:p>
            <w:pPr>
              <w:pStyle w:val="null3"/>
            </w:pPr>
            <w:r>
              <w:rPr/>
              <w:t>对本项目服务工作中的常见问题进行梳理，具有良好的解决方案并及时向采购人提出合理化建议，每提供一条有效的建议得2分，满分6分。未提供不得分。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项目经理</w:t>
            </w:r>
          </w:p>
        </w:tc>
        <w:tc>
          <w:tcPr>
            <w:tcW w:type="dxa" w:w="2492"/>
          </w:tcPr>
          <w:p>
            <w:pPr>
              <w:pStyle w:val="null3"/>
            </w:pPr>
            <w:r>
              <w:rPr/>
              <w:t>拟派项目经理具备信息系统项目管理师高级职称的，得5分；具备中级职称的得3分，其余不得分；（须提供相关证书复印件并加盖公章、投标截止日前六个月内任意一个月本单位的社保缴纳凭证复印件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项目团队人员（项目经理除外）</w:t>
            </w:r>
          </w:p>
        </w:tc>
        <w:tc>
          <w:tcPr>
            <w:tcW w:type="dxa" w:w="2492"/>
          </w:tcPr>
          <w:p>
            <w:pPr>
              <w:pStyle w:val="null3"/>
            </w:pPr>
            <w:r>
              <w:rPr/>
              <w:t>项目团队8人以上得4分，5-8人得2分,5人以下得1分； 项目团队人员具有中级或以上职称的（计算机专业）或具有软件设计师或信息系统工程师每具备1个得0.5分，最高2分；（须提供相关证书复印件并加盖公章。）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技术部分</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2021年1月1日起至今，具有类似项目业绩（以合同或协议签订日期为准，响应文件中附加盖公章的合同或协议复印件，否则不作为评审依据），每提供一份有效业绩得2分，最多得6分。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商务部分</w:t>
            </w:r>
          </w:p>
          <w:p>
            <w:pPr>
              <w:pStyle w:val="null3"/>
            </w:pPr>
            <w:r>
              <w:rPr/>
              <w:t>商务应答表</w:t>
            </w:r>
          </w:p>
          <w:p>
            <w:pPr>
              <w:pStyle w:val="null3"/>
            </w:pPr>
            <w:r>
              <w:rPr/>
              <w:t>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满足磋商文件要求且最后报价最低的供应商的价格为磋商基准价。各供应商的价格分统一按照下列公式计算：磋商报价得分=（磋商基准价/最后磋商报价）×15%×100。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详见附件：商务部分</w:t>
      </w:r>
    </w:p>
    <w:p>
      <w:pPr>
        <w:pStyle w:val="null3"/>
        <w:ind w:firstLine="960"/>
      </w:pPr>
      <w:r>
        <w:rPr/>
        <w:t>详见附件：技术部分</w:t>
      </w:r>
    </w:p>
    <w:p>
      <w:pPr>
        <w:pStyle w:val="null3"/>
        <w:ind w:firstLine="960"/>
      </w:pPr>
      <w:r>
        <w:rPr/>
        <w:t>详见附件：商务应答表</w:t>
      </w:r>
    </w:p>
    <w:p>
      <w:pPr>
        <w:pStyle w:val="null3"/>
        <w:ind w:firstLine="960"/>
      </w:pPr>
      <w:r>
        <w:rPr/>
        <w:t>详见附件：服务内容及服务邀请应答表</w:t>
      </w:r>
    </w:p>
    <w:p>
      <w:pPr>
        <w:pStyle w:val="null3"/>
        <w:ind w:firstLine="960"/>
      </w:pPr>
      <w:r>
        <w:rPr/>
        <w:t>详见附件：陕西省政府采购投标人拒绝政府采购领域商业贿赂承诺书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详见附件：合同格式及条款.docx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