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版本号：241112002</w:t>
      </w:r>
      <w:r>
        <w:br/>
      </w:r>
      <w:r>
        <w:br/>
      </w:r>
      <w:r>
        <w:br/>
      </w:r>
      <w:r>
        <w:br/>
      </w:r>
      <w:r>
        <w:br/>
      </w:r>
    </w:p>
    <w:p>
      <w:pPr>
        <w:pStyle w:val="null3"/>
        <w:jc w:val="center"/>
        <w:outlineLvl w:val="0"/>
      </w:pPr>
      <w:r>
        <w:rPr>
          <w:sz w:val="48"/>
          <w:b/>
        </w:rPr>
        <w:t>招 标 文 件</w:t>
      </w:r>
      <w:r>
        <w:br/>
      </w:r>
      <w:r>
        <w:br/>
      </w:r>
      <w:r>
        <w:br/>
      </w:r>
    </w:p>
    <w:p>
      <w:pPr>
        <w:pStyle w:val="null3"/>
        <w:jc w:val="center"/>
        <w:outlineLvl w:val="1"/>
      </w:pPr>
      <w:r>
        <w:rPr>
          <w:sz w:val="36"/>
          <w:b/>
        </w:rPr>
        <w:t>（货物类）</w:t>
      </w:r>
      <w:r>
        <w:br/>
      </w:r>
      <w:r>
        <w:br/>
      </w:r>
      <w:r>
        <w:br/>
      </w:r>
      <w:r>
        <w:br/>
      </w:r>
      <w:r>
        <w:br/>
      </w:r>
      <w:r>
        <w:br/>
      </w:r>
      <w:r>
        <w:br/>
      </w:r>
      <w:r>
        <w:br/>
      </w:r>
      <w:r>
        <w:br/>
      </w:r>
      <w:r>
        <w:br/>
      </w:r>
      <w:r>
        <w:br/>
      </w:r>
    </w:p>
    <w:p>
      <w:pPr>
        <w:pStyle w:val="null3"/>
        <w:jc w:val="center"/>
        <w:outlineLvl w:val="2"/>
      </w:pPr>
      <w:r>
        <w:rPr>
          <w:sz w:val="28"/>
          <w:b/>
        </w:rPr>
        <w:t>采购项目名称：</w:t>
      </w:r>
      <w:r>
        <w:rPr>
          <w:sz w:val="28"/>
          <w:b/>
        </w:rPr>
        <w:t>台式扫描电子显微镜采购项目</w:t>
      </w:r>
    </w:p>
    <w:p>
      <w:pPr>
        <w:pStyle w:val="null3"/>
        <w:jc w:val="center"/>
        <w:outlineLvl w:val="2"/>
      </w:pPr>
      <w:r>
        <w:rPr>
          <w:sz w:val="28"/>
          <w:b/>
        </w:rPr>
        <w:t>采购项目编号：</w:t>
      </w:r>
      <w:r>
        <w:rPr>
          <w:sz w:val="28"/>
          <w:b/>
        </w:rPr>
        <w:t>ZJZBSX-241109-10744</w:t>
      </w:r>
      <w:r>
        <w:br/>
      </w:r>
      <w:r>
        <w:br/>
      </w:r>
      <w:r>
        <w:br/>
      </w:r>
    </w:p>
    <w:p>
      <w:pPr>
        <w:pStyle w:val="null3"/>
        <w:jc w:val="center"/>
        <w:outlineLvl w:val="2"/>
      </w:pPr>
      <w:r>
        <w:rPr>
          <w:sz w:val="28"/>
          <w:b/>
        </w:rPr>
        <w:t>陕西科技大学</w:t>
      </w:r>
    </w:p>
    <w:p>
      <w:pPr>
        <w:pStyle w:val="null3"/>
        <w:jc w:val="center"/>
        <w:outlineLvl w:val="2"/>
      </w:pPr>
      <w:r>
        <w:rPr>
          <w:sz w:val="28"/>
          <w:b/>
        </w:rPr>
        <w:t>陕西中经招标有限公司</w:t>
      </w:r>
      <w:r>
        <w:rPr>
          <w:sz w:val="28"/>
          <w:b/>
        </w:rPr>
        <w:t>共同编制</w:t>
      </w:r>
    </w:p>
    <w:p>
      <w:pPr>
        <w:pStyle w:val="null3"/>
        <w:jc w:val="center"/>
        <w:outlineLvl w:val="2"/>
      </w:pPr>
      <w:r>
        <w:rPr>
          <w:sz w:val="28"/>
          <w:b/>
        </w:rPr>
        <w:t>2024年11月11日</w:t>
      </w:r>
    </w:p>
    <w:p>
      <w:pPr>
        <w:pStyle w:val="null3"/>
      </w:pPr>
      <w:r>
        <w:rPr/>
        <w:t xml:space="preserve"> </w:t>
        <w:br/>
        <w:br w:type="page"/>
      </w:r>
    </w:p>
    <w:p>
      <w:pPr>
        <w:pStyle w:val="null3"/>
        <w:jc w:val="center"/>
        <w:outlineLvl w:val="1"/>
      </w:pPr>
      <w:r>
        <w:rPr>
          <w:sz w:val="36"/>
          <w:b/>
        </w:rPr>
        <w:t>第一章 投标邀请</w:t>
      </w:r>
    </w:p>
    <w:p>
      <w:pPr>
        <w:pStyle w:val="null3"/>
        <w:ind w:firstLine="480"/>
      </w:pPr>
      <w:r>
        <w:rPr/>
        <w:t>陕西中经招标有限公司</w:t>
      </w:r>
      <w:r>
        <w:rPr/>
        <w:t>（以下简称“代理机构”）受</w:t>
      </w:r>
      <w:r>
        <w:rPr/>
        <w:t>陕西科技大学</w:t>
      </w:r>
      <w:r>
        <w:rPr/>
        <w:t>委托，拟对</w:t>
      </w:r>
      <w:r>
        <w:rPr/>
        <w:t>台式扫描电子显微镜采购项目</w:t>
      </w:r>
      <w:r>
        <w:rPr/>
        <w:t>进行国内公开招标，兹邀请符合本次招标要求的供应商参加投标。</w:t>
      </w:r>
    </w:p>
    <w:p>
      <w:pPr>
        <w:pStyle w:val="null3"/>
        <w:outlineLvl w:val="2"/>
      </w:pPr>
      <w:r>
        <w:rPr>
          <w:sz w:val="28"/>
          <w:b/>
        </w:rPr>
        <w:t>一、采购项目编号：</w:t>
      </w:r>
      <w:r>
        <w:rPr>
          <w:sz w:val="28"/>
          <w:b/>
        </w:rPr>
        <w:t>ZJZBSX-241109-10744</w:t>
      </w:r>
    </w:p>
    <w:p>
      <w:pPr>
        <w:pStyle w:val="null3"/>
        <w:outlineLvl w:val="2"/>
      </w:pPr>
      <w:r>
        <w:rPr>
          <w:sz w:val="28"/>
          <w:b/>
        </w:rPr>
        <w:t>二、采购项目名称：</w:t>
      </w:r>
      <w:r>
        <w:rPr>
          <w:sz w:val="28"/>
          <w:b/>
        </w:rPr>
        <w:t>台式扫描电子显微镜采购项目</w:t>
      </w:r>
    </w:p>
    <w:p>
      <w:pPr>
        <w:pStyle w:val="null3"/>
        <w:outlineLvl w:val="2"/>
      </w:pPr>
      <w:r>
        <w:rPr>
          <w:sz w:val="28"/>
          <w:b/>
        </w:rPr>
        <w:t>三、招标项目简介</w:t>
      </w:r>
    </w:p>
    <w:p>
      <w:pPr>
        <w:pStyle w:val="null3"/>
        <w:ind w:firstLine="480"/>
      </w:pPr>
      <w:r>
        <w:rPr/>
        <w:t>台式扫描电子显微镜采购</w:t>
      </w:r>
    </w:p>
    <w:p>
      <w:pPr>
        <w:pStyle w:val="null3"/>
        <w:outlineLvl w:val="2"/>
      </w:pPr>
      <w:r>
        <w:rPr>
          <w:sz w:val="28"/>
          <w:b/>
        </w:rPr>
        <w:t>四、供应商参加本次政府采购活动应具备的条件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1.执行政府采购促进中小企业发展的相关政策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主体资格：供应商为响应招标并参加投标的合法注册的企业法人、事业法人或其他组织。企业法人应提供合法有效的标识有统一社会信用代码的营业执照；事业法人应提供事业单位法人证书；其他组织应提供合法登记证明文件。</w:t>
      </w:r>
    </w:p>
    <w:p>
      <w:pPr>
        <w:pStyle w:val="null3"/>
      </w:pPr>
      <w:r>
        <w:rPr/>
        <w:t>2、授权委托：供应商应授权合法的人员参加投标全过程，其中法定代表人/负责人直接投标，须提交法定代表人/负责人身份证明书和身份证。法定代表人/负责人授权代表参加投标的，须出具法定代表人/负责人授权书及授权代表身份证。</w:t>
      </w:r>
    </w:p>
    <w:p>
      <w:pPr>
        <w:pStyle w:val="null3"/>
      </w:pPr>
      <w:r>
        <w:rPr/>
        <w:t>3、财务状况报告：供应商提供2023年度经审计的完整财务审计报告（审计报告应当包含报告正文、资产负 债表、利润表、现金流量表、附注和会计师事务所营业执照，报告正文应当有会计师事务所公章，2个注册会计师的证书、签字和盖章）或开标前三个月内银行出具的资信证明，或财政部门认可的 政府采购专业担保机构出具的投标担保函（以上三种形式的资料提供任何一种即可）。</w:t>
      </w:r>
    </w:p>
    <w:p>
      <w:pPr>
        <w:pStyle w:val="null3"/>
      </w:pPr>
      <w:r>
        <w:rPr/>
        <w:t>4、社会保障资金缴纳证明：供应商提供投标文件递交截止日前一年内的任意一个月的社会保障资金缴存单据或社保机构开具的社会保险参保缴费情况证明，依法不需要缴纳社会保障资金的单位应提供相关证明材料。</w:t>
      </w:r>
    </w:p>
    <w:p>
      <w:pPr>
        <w:pStyle w:val="null3"/>
      </w:pPr>
      <w:r>
        <w:rPr/>
        <w:t>5、税收缴纳证明：供应商提供投标文件递交截止日前一年内已缴存的任意一个月的纳税证明或完税证明，纳税证明或完税证明上应有代收机构或税务机关的公章，依法免税的单位应提供相关证明材料。</w:t>
      </w:r>
    </w:p>
    <w:p>
      <w:pPr>
        <w:pStyle w:val="null3"/>
      </w:pPr>
      <w:r>
        <w:rPr/>
        <w:t>6、书面声明（信用记录）：提供《供应商信用记录书面声明函》（按格式 填写，提供原件）。经查，投标人未被列入“信 用中国”网站记录的“失信被执行人”或“重大税收违法失信主体”名单；不处于“中国政府采购网”记录的“政府采购严重违法失信行为记录名单”中的禁止参加政府采购活动期间。</w:t>
      </w:r>
    </w:p>
    <w:p>
      <w:pPr>
        <w:pStyle w:val="null3"/>
      </w:pPr>
      <w:r>
        <w:rPr/>
        <w:t>7、承诺函：提供具有履行合同所必需的设备和专业技术能力的承诺。</w:t>
      </w:r>
    </w:p>
    <w:p>
      <w:pPr>
        <w:pStyle w:val="null3"/>
      </w:pPr>
      <w:r>
        <w:rPr/>
        <w:t>8、证明材料：所投产品为进口产品的，须提供所投产品厂家授权书或总代理商授权书（提供总代理商授权书的须出具有效授权权限的相关证明文件，证明文件须能显示产品制造厂家对所投产品授权链条的完整性），国产产品不需要提供。</w:t>
      </w:r>
    </w:p>
    <w:p>
      <w:pPr>
        <w:pStyle w:val="null3"/>
        <w:outlineLvl w:val="2"/>
      </w:pPr>
      <w:r>
        <w:rPr>
          <w:sz w:val="28"/>
          <w:b/>
        </w:rPr>
        <w:t>五、电子化采购相关事项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六、招标文件获取时间、方式及地址</w:t>
      </w:r>
    </w:p>
    <w:p>
      <w:pPr>
        <w:pStyle w:val="null3"/>
        <w:ind w:firstLine="480"/>
      </w:pPr>
      <w:r>
        <w:rPr/>
        <w:t>（一）招标文件获取时间：详见采购公告</w:t>
      </w:r>
    </w:p>
    <w:p>
      <w:pPr>
        <w:pStyle w:val="null3"/>
        <w:ind w:firstLine="480"/>
      </w:pPr>
      <w:r>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t>注：获取的招标文件主体格式包括pdf、word两种格式版本，其中以pdf格式为准。</w:t>
      </w:r>
    </w:p>
    <w:p>
      <w:pPr>
        <w:pStyle w:val="null3"/>
        <w:outlineLvl w:val="2"/>
      </w:pPr>
      <w:r>
        <w:rPr>
          <w:sz w:val="28"/>
          <w:b/>
        </w:rPr>
        <w:t>七、投标文件提交截止时间及开标时间、地点、方式</w:t>
      </w:r>
    </w:p>
    <w:p>
      <w:pPr>
        <w:pStyle w:val="null3"/>
        <w:ind w:firstLine="480"/>
      </w:pPr>
      <w:r>
        <w:rPr/>
        <w:t>（一）投标文件提交截止时间及开标时间：详见采购公告</w:t>
      </w:r>
    </w:p>
    <w:p>
      <w:pPr>
        <w:pStyle w:val="null3"/>
        <w:ind w:firstLine="480"/>
      </w:pPr>
      <w:r>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t>（三）本项目采取网上开标，即采购人或代理机构通过项目电子化交易系统“开标/开启大厅”组织在线开标。</w:t>
      </w:r>
    </w:p>
    <w:p>
      <w:pPr>
        <w:pStyle w:val="null3"/>
        <w:outlineLvl w:val="2"/>
      </w:pPr>
      <w:r>
        <w:rPr>
          <w:sz w:val="28"/>
          <w:b/>
        </w:rPr>
        <w:t>八、本投标邀请在陕西省政府采购网以公告形式发布</w:t>
      </w:r>
    </w:p>
    <w:p>
      <w:pPr>
        <w:pStyle w:val="null3"/>
        <w:outlineLvl w:val="2"/>
      </w:pPr>
      <w:r>
        <w:rPr>
          <w:sz w:val="28"/>
          <w:b/>
        </w:rPr>
        <w:t>九、供应商信用融资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十、联系方式</w:t>
      </w:r>
    </w:p>
    <w:p>
      <w:pPr>
        <w:pStyle w:val="null3"/>
        <w:outlineLvl w:val="2"/>
      </w:pPr>
      <w:r>
        <w:rPr>
          <w:sz w:val="28"/>
          <w:b/>
        </w:rPr>
        <w:t xml:space="preserve">采购人： </w:t>
      </w:r>
      <w:r>
        <w:rPr>
          <w:sz w:val="28"/>
          <w:b/>
        </w:rPr>
        <w:t>陕西科技大学</w:t>
      </w:r>
    </w:p>
    <w:p>
      <w:pPr>
        <w:pStyle w:val="null3"/>
      </w:pPr>
      <w:r>
        <w:rPr/>
        <w:t xml:space="preserve"> 地址： </w:t>
      </w:r>
      <w:r>
        <w:rPr/>
        <w:t>西安市未央大学城陕西科技大学</w:t>
      </w:r>
    </w:p>
    <w:p>
      <w:pPr>
        <w:pStyle w:val="null3"/>
      </w:pPr>
      <w:r>
        <w:rPr/>
        <w:t xml:space="preserve"> 邮编： </w:t>
      </w:r>
      <w:r>
        <w:rPr/>
        <w:t>710000</w:t>
      </w:r>
    </w:p>
    <w:p>
      <w:pPr>
        <w:pStyle w:val="null3"/>
      </w:pPr>
      <w:r>
        <w:rPr/>
        <w:t xml:space="preserve"> 联系人： </w:t>
      </w:r>
      <w:r>
        <w:rPr/>
        <w:t>陕西科技大学经办</w:t>
      </w:r>
    </w:p>
    <w:p>
      <w:pPr>
        <w:pStyle w:val="null3"/>
      </w:pPr>
      <w:r>
        <w:rPr/>
        <w:t xml:space="preserve"> 联系电话： </w:t>
      </w:r>
      <w:r>
        <w:rPr/>
        <w:t>13259918752</w:t>
      </w:r>
    </w:p>
    <w:p>
      <w:pPr>
        <w:pStyle w:val="null3"/>
        <w:outlineLvl w:val="2"/>
      </w:pPr>
      <w:r>
        <w:rPr>
          <w:sz w:val="28"/>
          <w:b/>
        </w:rPr>
        <w:t>代理机构：</w:t>
      </w:r>
      <w:r>
        <w:rPr>
          <w:sz w:val="28"/>
          <w:b/>
        </w:rPr>
        <w:t>陕西中经招标有限公司</w:t>
      </w:r>
    </w:p>
    <w:p>
      <w:pPr>
        <w:pStyle w:val="null3"/>
      </w:pPr>
      <w:r>
        <w:rPr/>
        <w:t xml:space="preserve"> 地址： </w:t>
      </w:r>
      <w:r>
        <w:rPr/>
        <w:t>陕西省西安市碑林区长安北路8B高速经纬大厦16层</w:t>
      </w:r>
    </w:p>
    <w:p>
      <w:pPr>
        <w:pStyle w:val="null3"/>
      </w:pPr>
      <w:r>
        <w:rPr/>
        <w:t xml:space="preserve"> 邮编： </w:t>
      </w:r>
      <w:r>
        <w:rPr/>
        <w:t>710000</w:t>
      </w:r>
    </w:p>
    <w:p>
      <w:pPr>
        <w:pStyle w:val="null3"/>
      </w:pPr>
      <w:r>
        <w:rPr/>
        <w:t xml:space="preserve"> 联系人： </w:t>
      </w:r>
      <w:r>
        <w:rPr/>
        <w:t>祝清江、王佼、马浩博</w:t>
      </w:r>
    </w:p>
    <w:p>
      <w:pPr>
        <w:pStyle w:val="null3"/>
      </w:pPr>
      <w:r>
        <w:rPr/>
        <w:t xml:space="preserve"> 联系电话： </w:t>
      </w:r>
      <w:r>
        <w:rPr/>
        <w:t>029-87888601</w:t>
      </w:r>
    </w:p>
    <w:p>
      <w:pPr>
        <w:pStyle w:val="null3"/>
        <w:outlineLvl w:val="2"/>
      </w:pPr>
      <w:r>
        <w:rPr>
          <w:sz w:val="28"/>
          <w:b/>
        </w:rPr>
        <w:t>采购监督机构：</w:t>
      </w:r>
      <w:r>
        <w:rPr>
          <w:sz w:val="28"/>
          <w:b/>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br/>
        <w:br w:type="page"/>
      </w:r>
    </w:p>
    <w:p>
      <w:pPr>
        <w:pStyle w:val="null3"/>
        <w:jc w:val="center"/>
        <w:outlineLvl w:val="1"/>
      </w:pPr>
      <w:r>
        <w:rPr>
          <w:sz w:val="36"/>
          <w:b/>
        </w:rPr>
        <w:t>第二章 投标人须知</w:t>
      </w:r>
    </w:p>
    <w:p>
      <w:pPr>
        <w:pStyle w:val="null3"/>
        <w:outlineLvl w:val="2"/>
      </w:pPr>
      <w:r>
        <w:rPr>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采购包1：1,580,000.00元</w:t>
            </w:r>
            <w:r>
              <w:rPr/>
              <w:t xml:space="preserve"> 投标人的采购包投标报价高于采购包采购预算的，其投标文件将按无效处理。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投标人的采购包投标报价高于最高限价的，其投标文件将按无效处理。</w:t>
            </w:r>
          </w:p>
        </w:tc>
      </w:tr>
      <w:tr>
        <w:tc>
          <w:tcPr>
            <w:tcW w:type="dxa" w:w="1051"/>
          </w:tcPr>
          <w:p>
            <w:pPr>
              <w:pStyle w:val="null3"/>
            </w:pPr>
            <w:r>
              <w:rPr/>
              <w:t>3</w:t>
            </w:r>
          </w:p>
        </w:tc>
        <w:tc>
          <w:tcPr>
            <w:tcW w:type="dxa" w:w="2252"/>
          </w:tcPr>
          <w:p>
            <w:pPr>
              <w:pStyle w:val="null3"/>
            </w:pPr>
            <w:r>
              <w:rPr/>
              <w:t>评标方法</w:t>
            </w:r>
          </w:p>
        </w:tc>
        <w:tc>
          <w:tcPr>
            <w:tcW w:type="dxa" w:w="5004"/>
          </w:tcPr>
          <w:p>
            <w:pPr>
              <w:pStyle w:val="null3"/>
            </w:pPr>
            <w:r>
              <w:rPr/>
              <w:t>采购包1：综合评分法</w:t>
            </w:r>
            <w:r>
              <w:rPr/>
              <w:t xml:space="preserve"> （详见第五章）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如以联合体投标的，联合体各方均应当具备本招标文件要求的资格条件和能力。</w:t>
            </w:r>
          </w:p>
          <w:p>
            <w:pPr>
              <w:pStyle w:val="null3"/>
            </w:pPr>
            <w:r>
              <w:rPr/>
              <w:t xml:space="preserve"> （1）联合体各方均应具有承担本项目必备的条件，如相应的人力、物力、资金等。</w:t>
            </w:r>
          </w:p>
          <w:p>
            <w:pPr>
              <w:pStyle w:val="null3"/>
            </w:pPr>
            <w:r>
              <w:rPr/>
              <w:t xml:space="preserve"> （2）招标文件对投标人资格条件有特殊要求的，联合体各个成员都应当具备规定的相应资格条件。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w:t>
            </w:r>
            <w:r>
              <w:rPr/>
              <w:t>产品属于节能产品政府采购品目清单中应强制采购的产品范围，供应商应当提供国家确定的认证机构出具的、处于有效期之内的节能产品认证证书，否则作无效投标处理。</w:t>
            </w:r>
          </w:p>
          <w:p>
            <w:pPr>
              <w:pStyle w:val="null3"/>
            </w:pPr>
            <w:r>
              <w:rPr/>
              <w:t xml:space="preserve"> 3.本项目采购的</w:t>
            </w:r>
            <w:r>
              <w:rPr/>
              <w:t>/</w:t>
            </w:r>
            <w:r>
              <w:rPr/>
              <w:t>产品属于节能产品政府采购品目清单中应优先采购的产品范围，本项目采购的</w:t>
            </w:r>
            <w:r>
              <w:rPr/>
              <w:t>/</w:t>
            </w:r>
            <w:r>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t>关于本项目采购包中执行小微企业（监狱企业、残疾人福利性单位视同小微企业）价格扣除情况、具体扣除比例和规则详见第五章。</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t>核心产品清单详见第三章。</w:t>
            </w:r>
          </w:p>
          <w:p>
            <w:pPr>
              <w:pStyle w:val="null3"/>
            </w:pPr>
            <w:r>
              <w:rPr/>
              <w:t>在符合性审查环节提供核心产品品牌不足3个的，视为有效投标人不足3家。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t>9</w:t>
            </w:r>
          </w:p>
        </w:tc>
        <w:tc>
          <w:tcPr>
            <w:tcW w:type="dxa" w:w="2252"/>
          </w:tcPr>
          <w:p>
            <w:pPr>
              <w:pStyle w:val="null3"/>
            </w:pPr>
            <w:r>
              <w:rPr/>
              <w:t>投标保证金</w:t>
            </w:r>
          </w:p>
        </w:tc>
        <w:tc>
          <w:tcPr>
            <w:tcW w:type="dxa" w:w="5004"/>
          </w:tcPr>
          <w:p>
            <w:pPr>
              <w:pStyle w:val="null3"/>
            </w:pPr>
            <w:r>
              <w:rPr/>
              <w:t>采购包1保证金金额：30,000.00元</w:t>
            </w:r>
          </w:p>
          <w:p>
            <w:pPr>
              <w:pStyle w:val="null3"/>
            </w:pPr>
            <w:r>
              <w:rPr/>
              <w:t>缴交渠道：电子保函,转账、支票、汇票等（需通过实体账户、户名及开户行信息）</w:t>
            </w:r>
          </w:p>
          <w:p>
            <w:pPr>
              <w:pStyle w:val="null3"/>
            </w:pPr>
            <w:r>
              <w:rPr/>
              <w:t>开户名称：中国工商银行股份有限公司大雁塔支行</w:t>
            </w:r>
          </w:p>
          <w:p>
            <w:pPr>
              <w:pStyle w:val="null3"/>
            </w:pPr>
            <w:r>
              <w:rPr/>
              <w:t>开户银行：陕西中经招标有限公司</w:t>
            </w:r>
          </w:p>
          <w:p>
            <w:pPr>
              <w:pStyle w:val="null3"/>
            </w:pPr>
            <w:r>
              <w:rPr/>
              <w:t>银行账号：3700022319200103385</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采购包1：缴纳</w:t>
            </w:r>
          </w:p>
          <w:p>
            <w:pPr>
              <w:pStyle w:val="null3"/>
            </w:pPr>
            <w:r>
              <w:rPr/>
              <w:t>本采购包履约保证金为合同金额的5.0%</w:t>
            </w:r>
          </w:p>
          <w:p>
            <w:pPr>
              <w:pStyle w:val="null3"/>
            </w:pPr>
            <w:r>
              <w:rPr/>
              <w:t>说明：签订合同前，中标供应商应向采购人缴纳成交金额5%的履约保证金。项目验收合格后，甲方一次性无息退还5%的履约保证金给乙方。</w:t>
            </w:r>
          </w:p>
        </w:tc>
      </w:tr>
      <w:tr>
        <w:tc>
          <w:tcPr>
            <w:tcW w:type="dxa" w:w="1051"/>
          </w:tcPr>
          <w:p>
            <w:pPr>
              <w:pStyle w:val="null3"/>
            </w:pPr>
            <w:r>
              <w:rPr/>
              <w:t>12</w:t>
            </w:r>
          </w:p>
        </w:tc>
        <w:tc>
          <w:tcPr>
            <w:tcW w:type="dxa" w:w="2252"/>
          </w:tcPr>
          <w:p>
            <w:pPr>
              <w:pStyle w:val="null3"/>
            </w:pPr>
            <w:r>
              <w:rPr/>
              <w:t>投标有效期（实质性要求）</w:t>
            </w:r>
          </w:p>
        </w:tc>
        <w:tc>
          <w:tcPr>
            <w:tcW w:type="dxa" w:w="5004"/>
          </w:tcPr>
          <w:p>
            <w:pPr>
              <w:pStyle w:val="null3"/>
            </w:pPr>
            <w:r>
              <w:rPr/>
              <w:t>提交投标文件的截止之日起不少于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代理服务费收费标准：招标代理服务费（即成交服务费）由成交单位支付，收费标准: （1）30万元（不含）以上的项目收费参考国家计委计价格[2002]1980号文规定之收费标准下浮35%收取。 （2）30万元（含）以下的项目，按每个项目3000元包干收取（若为多标段项目，按照实际中标金额比例分别确定各标段中标服务费）。 具体收费额以招标代理机构出具的发票为准。</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中标通知书</w:t>
            </w:r>
          </w:p>
        </w:tc>
        <w:tc>
          <w:tcPr>
            <w:tcW w:type="dxa" w:w="5004"/>
          </w:tcPr>
          <w:p>
            <w:pPr>
              <w:pStyle w:val="null3"/>
            </w:pPr>
            <w:r>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允许。本项目允许采购进口产品，进口产品的清单详见第3章。</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 出现下列情形之一的，采购人或者采购代理机构应当中止电子化采购活动，并保留相关证明材料备查：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一、本招标文件仅适用于本次公开招标采购项目。</w:t>
      </w:r>
    </w:p>
    <w:p>
      <w:pPr>
        <w:pStyle w:val="null3"/>
        <w:ind w:firstLine="480"/>
      </w:pPr>
      <w:r>
        <w:rPr/>
        <w:t xml:space="preserve"> 二、本招标文件的最终解释权由</w:t>
      </w:r>
      <w:r>
        <w:rPr/>
        <w:t>陕西科技大学</w:t>
      </w:r>
      <w:r>
        <w:rPr/>
        <w:t>和</w:t>
      </w:r>
      <w:r>
        <w:rPr/>
        <w:t>陕西中经招标有限公司</w:t>
      </w:r>
      <w:r>
        <w:rPr/>
        <w:t>享有。对招标文件中供应商参加本次政府采购活动应当具备的条件，招标项目技术、服务、商务及其他要求，评标细则及标准由</w:t>
      </w:r>
      <w:r>
        <w:rPr/>
        <w:t>陕西科技大学</w:t>
      </w:r>
      <w:r>
        <w:rPr/>
        <w:t>负责解释。除上述招标文件内容，其他内容由</w:t>
      </w:r>
      <w:r>
        <w:rPr/>
        <w:t>陕西中经招标有限公司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一、“采购人”是指依法进行政府采购的各级国家机关、事业单位、团体组织。本次招标的采购人是</w:t>
      </w:r>
      <w:r>
        <w:rPr/>
        <w:t>陕西科技大学</w:t>
      </w:r>
      <w:r>
        <w:rPr/>
        <w:t>。</w:t>
      </w:r>
    </w:p>
    <w:p>
      <w:pPr>
        <w:pStyle w:val="null3"/>
        <w:ind w:firstLine="480"/>
      </w:pPr>
      <w:r>
        <w:rPr/>
        <w:t xml:space="preserve"> 二、“投标人”是指按照采购公告规定获取了招标文件，拟参加投标和向采购人提供货物、工程或服务的法人、其他组织或者自然人。</w:t>
      </w:r>
    </w:p>
    <w:p>
      <w:pPr>
        <w:pStyle w:val="null3"/>
        <w:ind w:firstLine="480"/>
      </w:pPr>
      <w:r>
        <w:rPr/>
        <w:t xml:space="preserve"> 三、“代理机构”是指政府采购集中采购机构和从事政府采购代理业务的社会中介机构。本项目的代理机构是</w:t>
      </w:r>
      <w:r>
        <w:rPr/>
        <w:t>陕西中经招标有限公司</w:t>
      </w:r>
      <w:r>
        <w:rPr/>
        <w:t>。</w:t>
      </w:r>
    </w:p>
    <w:p>
      <w:pPr>
        <w:pStyle w:val="null3"/>
        <w:ind w:firstLine="480"/>
      </w:pPr>
      <w:r>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sz w:val="28"/>
          <w:b/>
        </w:rPr>
        <w:t>2.3招标文件</w:t>
      </w:r>
    </w:p>
    <w:p>
      <w:pPr>
        <w:pStyle w:val="null3"/>
        <w:outlineLvl w:val="3"/>
      </w:pPr>
      <w:r>
        <w:rPr>
          <w:sz w:val="24"/>
          <w:b/>
        </w:rPr>
        <w:t xml:space="preserve"> 2.3.1招标文件的构成</w:t>
      </w:r>
    </w:p>
    <w:p>
      <w:pPr>
        <w:pStyle w:val="null3"/>
        <w:ind w:firstLine="480"/>
      </w:pPr>
      <w:r>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t>（一）投标邀请；</w:t>
      </w:r>
    </w:p>
    <w:p>
      <w:pPr>
        <w:pStyle w:val="null3"/>
        <w:ind w:firstLine="480"/>
      </w:pPr>
      <w:r>
        <w:rPr/>
        <w:t>（二）投标人须知；</w:t>
      </w:r>
    </w:p>
    <w:p>
      <w:pPr>
        <w:pStyle w:val="null3"/>
        <w:ind w:firstLine="480"/>
      </w:pPr>
      <w:r>
        <w:rPr/>
        <w:t>（三）招标项目技术、服务、商务及其他要求；</w:t>
      </w:r>
    </w:p>
    <w:p>
      <w:pPr>
        <w:pStyle w:val="null3"/>
        <w:ind w:firstLine="480"/>
      </w:pPr>
      <w:r>
        <w:rPr/>
        <w:t>（四）资格审查；</w:t>
      </w:r>
    </w:p>
    <w:p>
      <w:pPr>
        <w:pStyle w:val="null3"/>
        <w:ind w:firstLine="480"/>
      </w:pPr>
      <w:r>
        <w:rPr/>
        <w:t>（五）评标办法；</w:t>
      </w:r>
    </w:p>
    <w:p>
      <w:pPr>
        <w:pStyle w:val="null3"/>
        <w:ind w:firstLine="480"/>
      </w:pPr>
      <w:r>
        <w:rPr/>
        <w:t>（六）投标文件格式；</w:t>
      </w:r>
    </w:p>
    <w:p>
      <w:pPr>
        <w:pStyle w:val="null3"/>
        <w:ind w:firstLine="480"/>
      </w:pPr>
      <w:r>
        <w:rPr/>
        <w:t>（七）拟签订采购合同文本。</w:t>
      </w:r>
    </w:p>
    <w:p>
      <w:pPr>
        <w:pStyle w:val="null3"/>
        <w:ind w:firstLine="480"/>
      </w:pPr>
      <w:r>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sz w:val="24"/>
          <w:b/>
        </w:rPr>
        <w:t xml:space="preserve"> 2.3.2招标文件的澄清和修改</w:t>
      </w:r>
    </w:p>
    <w:p>
      <w:pPr>
        <w:pStyle w:val="null3"/>
        <w:ind w:firstLine="480"/>
      </w:pPr>
      <w:r>
        <w:rPr/>
        <w:t>一、在投标文件提交截止时间前，采购人或者代理机构可以对已发出的招标文件进行必要的澄清或者修改。</w:t>
      </w:r>
    </w:p>
    <w:p>
      <w:pPr>
        <w:pStyle w:val="null3"/>
        <w:ind w:firstLine="480"/>
      </w:pPr>
      <w:r>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sz w:val="28"/>
          <w:b/>
        </w:rPr>
        <w:t>2.4投标文件</w:t>
      </w:r>
    </w:p>
    <w:p>
      <w:pPr>
        <w:pStyle w:val="null3"/>
        <w:outlineLvl w:val="3"/>
      </w:pPr>
      <w:r>
        <w:rPr>
          <w:sz w:val="24"/>
          <w:b/>
        </w:rPr>
        <w:t xml:space="preserve"> 2.4.1投标文件的语言</w:t>
      </w:r>
    </w:p>
    <w:p>
      <w:pPr>
        <w:pStyle w:val="null3"/>
        <w:ind w:firstLine="480"/>
      </w:pPr>
      <w:r>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三、如因未翻译而造成对投标人的不利后果，由投标人承担。</w:t>
      </w:r>
    </w:p>
    <w:p>
      <w:pPr>
        <w:pStyle w:val="null3"/>
        <w:outlineLvl w:val="3"/>
      </w:pPr>
      <w:r>
        <w:rPr>
          <w:sz w:val="24"/>
          <w:b/>
        </w:rPr>
        <w:t>2.4.2计量单位</w:t>
      </w:r>
    </w:p>
    <w:p>
      <w:pPr>
        <w:pStyle w:val="null3"/>
        <w:ind w:firstLine="480"/>
      </w:pPr>
      <w:r>
        <w:rPr/>
        <w:t>除招标文件中另有规定外，本项目均采用国家法定的计量单位。</w:t>
      </w:r>
    </w:p>
    <w:p>
      <w:pPr>
        <w:pStyle w:val="null3"/>
        <w:outlineLvl w:val="3"/>
      </w:pPr>
      <w:r>
        <w:rPr>
          <w:sz w:val="24"/>
          <w:b/>
        </w:rPr>
        <w:t>2.4.3投标货币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t>三、如采用投标人所不拥有的知识产权，则在投标报价中必须包括合法使用该知识产权的相关费用。</w:t>
      </w:r>
    </w:p>
    <w:p>
      <w:pPr>
        <w:pStyle w:val="null3"/>
        <w:outlineLvl w:val="3"/>
      </w:pPr>
      <w:r>
        <w:rPr>
          <w:sz w:val="24"/>
          <w:b/>
        </w:rPr>
        <w:t>2.4.5投标文件的组成</w:t>
      </w:r>
    </w:p>
    <w:p>
      <w:pPr>
        <w:pStyle w:val="null3"/>
        <w:ind w:firstLine="480"/>
      </w:pPr>
      <w:r>
        <w:rPr/>
        <w:t>投标人应当按照招标文件的要求编制投标文件。投标文件应当对招标文件提出的要求和条件作出明确响应。</w:t>
      </w:r>
    </w:p>
    <w:p>
      <w:pPr>
        <w:pStyle w:val="null3"/>
        <w:ind w:firstLine="480"/>
      </w:pPr>
      <w:r>
        <w:rPr/>
        <w:t>投标文件具体内容详见第六章。</w:t>
      </w:r>
    </w:p>
    <w:p>
      <w:pPr>
        <w:pStyle w:val="null3"/>
        <w:outlineLvl w:val="3"/>
      </w:pPr>
      <w:r>
        <w:rPr>
          <w:sz w:val="24"/>
          <w:b/>
        </w:rPr>
        <w:t xml:space="preserve"> 2.4.6投标文件格式</w:t>
      </w:r>
    </w:p>
    <w:p>
      <w:pPr>
        <w:pStyle w:val="null3"/>
        <w:ind w:firstLine="480"/>
      </w:pPr>
      <w:r>
        <w:rPr/>
        <w:t>一、投标人应按照招标文件第六章中提供的“投标文件格式”填写相关内容。</w:t>
      </w:r>
    </w:p>
    <w:p>
      <w:pPr>
        <w:pStyle w:val="null3"/>
        <w:ind w:firstLine="480"/>
      </w:pPr>
      <w:r>
        <w:rPr/>
        <w:t>二、对于没有格式要求的投标文件由投标人自行编写。</w:t>
      </w:r>
    </w:p>
    <w:p>
      <w:pPr>
        <w:pStyle w:val="null3"/>
        <w:outlineLvl w:val="3"/>
      </w:pPr>
      <w:r>
        <w:rPr>
          <w:sz w:val="24"/>
          <w:b/>
        </w:rPr>
        <w:t>2.4.7投标报价（实质性要求）</w:t>
      </w:r>
    </w:p>
    <w:p>
      <w:pPr>
        <w:pStyle w:val="null3"/>
        <w:ind w:firstLine="480"/>
      </w:pPr>
      <w:r>
        <w:rPr/>
        <w:t>一、投标人的报价是投标人响应招标项目要 求的全部工作内容的价格体现，包括投标人完成本项目所需的一切费用。</w:t>
      </w:r>
    </w:p>
    <w:p>
      <w:pPr>
        <w:pStyle w:val="null3"/>
        <w:ind w:firstLine="480"/>
      </w:pPr>
      <w:r>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sz w:val="24"/>
          <w:b/>
        </w:rPr>
        <w:t>2.4.8投标有效期（实质性要求）</w:t>
      </w:r>
    </w:p>
    <w:p>
      <w:pPr>
        <w:pStyle w:val="null3"/>
        <w:ind w:firstLine="480"/>
      </w:pPr>
      <w:r>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sz w:val="24"/>
          <w:b/>
        </w:rPr>
        <w:t xml:space="preserve"> 2.4.9投标文件的制作、签章和加密（实质性要求）</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t xml:space="preserve"> 三、投标人完成投标文件编制后，应按照招标文件第一章明确的签章要求，使用互认的证书及签章对投标文件进行电子签章和加密。</w:t>
      </w:r>
    </w:p>
    <w:p>
      <w:pPr>
        <w:pStyle w:val="null3"/>
        <w:ind w:firstLine="480"/>
      </w:pPr>
      <w:r>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sz w:val="24"/>
          <w:b/>
        </w:rPr>
        <w:t>2.4.10投标文件的提交</w:t>
      </w:r>
    </w:p>
    <w:p>
      <w:pPr>
        <w:pStyle w:val="null3"/>
        <w:ind w:firstLine="480"/>
      </w:pPr>
      <w:r>
        <w:rPr/>
        <w:t>一、（实质性要求）投标人应当在投标文件提交截止时间前，通过项目电子化交易系统完成投标文件提交。</w:t>
      </w:r>
    </w:p>
    <w:p>
      <w:pPr>
        <w:pStyle w:val="null3"/>
        <w:ind w:firstLine="480"/>
      </w:pPr>
      <w:r>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sz w:val="24"/>
          <w:b/>
        </w:rPr>
        <w:t>2.4.11投标文件的补充、修改、撤回（实质性要求）</w:t>
      </w:r>
    </w:p>
    <w:p>
      <w:pPr>
        <w:pStyle w:val="null3"/>
        <w:ind w:firstLine="480"/>
      </w:pPr>
      <w:r>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t>供应商投标文件撤回后，视为未提交过投标文件。</w:t>
      </w:r>
    </w:p>
    <w:p>
      <w:pPr>
        <w:pStyle w:val="null3"/>
        <w:outlineLvl w:val="2"/>
      </w:pPr>
      <w:r>
        <w:rPr>
          <w:sz w:val="28"/>
          <w:b/>
        </w:rPr>
        <w:t>2.5开标、资格审查、评标和中标</w:t>
      </w:r>
    </w:p>
    <w:p>
      <w:pPr>
        <w:pStyle w:val="null3"/>
        <w:outlineLvl w:val="3"/>
      </w:pPr>
      <w:r>
        <w:rPr>
          <w:sz w:val="24"/>
          <w:b/>
        </w:rPr>
        <w:t>2.5.1开标及开标程序</w:t>
      </w:r>
    </w:p>
    <w:p>
      <w:pPr>
        <w:pStyle w:val="null3"/>
        <w:ind w:firstLine="480"/>
      </w:pPr>
      <w:r>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t>二、开标准备工作</w:t>
      </w:r>
    </w:p>
    <w:p>
      <w:pPr>
        <w:pStyle w:val="null3"/>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三、解密投标文件（实质性要求）</w:t>
      </w:r>
    </w:p>
    <w:p>
      <w:pPr>
        <w:pStyle w:val="null3"/>
        <w:ind w:firstLine="480"/>
      </w:pPr>
      <w:r>
        <w:rPr/>
        <w:t xml:space="preserve"> 投标文件提交截止时间后，成功提交投标文件的投标人符合招标文件规定数量的，代理机构将启动投标文件解密程序，解密时间为</w:t>
      </w:r>
      <w:r>
        <w:rPr/>
        <w:t>30</w:t>
      </w:r>
      <w:r>
        <w:rPr/>
        <w:t>分钟；投标人应在规定的解密时间内，使用互认的证书及签章通过项目电子化采购系统进行投标文件解密。</w:t>
      </w:r>
    </w:p>
    <w:p>
      <w:pPr>
        <w:pStyle w:val="null3"/>
        <w:ind w:firstLine="480"/>
      </w:pPr>
      <w:r>
        <w:rPr/>
        <w:t>四、开标</w:t>
      </w:r>
    </w:p>
    <w:p>
      <w:pPr>
        <w:pStyle w:val="null3"/>
        <w:ind w:firstLine="480"/>
      </w:pPr>
      <w:r>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t>投标人完成投标文件解密后，自主决定是否参加网上在线开标，未参加的，视同认可开标结果。</w:t>
      </w:r>
    </w:p>
    <w:p>
      <w:pPr>
        <w:pStyle w:val="null3"/>
        <w:outlineLvl w:val="3"/>
      </w:pPr>
      <w:r>
        <w:rPr>
          <w:sz w:val="24"/>
          <w:b/>
        </w:rPr>
        <w:t>2.5.2查询及使用信用记录</w:t>
      </w:r>
    </w:p>
    <w:p>
      <w:pPr>
        <w:pStyle w:val="null3"/>
        <w:ind w:firstLine="480"/>
      </w:pPr>
      <w:r>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详见招标文件第四章。</w:t>
      </w:r>
    </w:p>
    <w:p>
      <w:pPr>
        <w:pStyle w:val="null3"/>
        <w:outlineLvl w:val="3"/>
      </w:pPr>
      <w:r>
        <w:rPr>
          <w:sz w:val="24"/>
          <w:b/>
        </w:rPr>
        <w:t>2.5.4评标</w:t>
      </w:r>
    </w:p>
    <w:p>
      <w:pPr>
        <w:pStyle w:val="null3"/>
        <w:ind w:firstLine="480"/>
      </w:pPr>
      <w:r>
        <w:rPr/>
        <w:t>详见招标文件第五章。</w:t>
      </w:r>
    </w:p>
    <w:p>
      <w:pPr>
        <w:pStyle w:val="null3"/>
        <w:outlineLvl w:val="3"/>
      </w:pPr>
      <w:r>
        <w:rPr>
          <w:sz w:val="24"/>
          <w:b/>
        </w:rPr>
        <w:t>2.5.5中标通知书</w:t>
      </w:r>
    </w:p>
    <w:p>
      <w:pPr>
        <w:pStyle w:val="null3"/>
        <w:ind w:firstLine="480"/>
      </w:pPr>
      <w:r>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t>三、中标通知书对采购人和中标供应商均具有法律效力。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一、采购人应在中标通知书发出之日起三十日内与中标人签订采购合同。</w:t>
      </w:r>
    </w:p>
    <w:p>
      <w:pPr>
        <w:pStyle w:val="null3"/>
        <w:ind w:firstLine="480"/>
      </w:pPr>
      <w:r>
        <w:rPr/>
        <w:t>二、采购人和中标人签订的采购合同不得对招标文件确定的事项以及中标人的投标文件作实质性修改。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t>二、分包履行合同的部分应当为采购项目的非主体、非关键性工作，不属于中标人的主要合同义务。</w:t>
      </w:r>
    </w:p>
    <w:p>
      <w:pPr>
        <w:pStyle w:val="null3"/>
        <w:ind w:firstLine="480"/>
      </w:pPr>
      <w:r>
        <w:rPr/>
        <w:t>三、采购合同实行分包履行的，中标人就采购项目和分包项目向采购人负责，分包供应商就分包项目承担责任。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一、严禁中标人将本项目转包。本项目所称转包，是指将本项目转给他人或者将本项目全部肢解以后以分包的名义分别转给他人的行为。</w:t>
      </w:r>
    </w:p>
    <w:p>
      <w:pPr>
        <w:pStyle w:val="null3"/>
        <w:ind w:firstLine="480"/>
      </w:pPr>
      <w:r>
        <w:rPr/>
        <w:t>二、中标人转包的，视同拒绝履行政府采购合同，将依法追究法律责任。</w:t>
      </w:r>
    </w:p>
    <w:p>
      <w:pPr>
        <w:pStyle w:val="null3"/>
        <w:outlineLvl w:val="3"/>
      </w:pPr>
      <w:r>
        <w:rPr>
          <w:sz w:val="24"/>
          <w:b/>
        </w:rPr>
        <w:t>2.6.3采购人增加合同标的的权利</w:t>
      </w:r>
    </w:p>
    <w:p>
      <w:pPr>
        <w:pStyle w:val="null3"/>
        <w:ind w:firstLine="480"/>
      </w:pPr>
      <w:r>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sz w:val="24"/>
          <w:b/>
        </w:rPr>
        <w:t>2.6.4履行合同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 xml:space="preserve"> 2.6.5履约验收方案</w:t>
      </w:r>
    </w:p>
    <w:p>
      <w:pPr>
        <w:pStyle w:val="null3"/>
      </w:pPr>
      <w:r>
        <w:rPr/>
        <w:t>采购包1：</w:t>
      </w:r>
    </w:p>
    <w:p>
      <w:pPr>
        <w:pStyle w:val="null3"/>
      </w:pPr>
      <w:r>
        <w:rPr/>
        <w:t>详见招标文件及合同条款</w:t>
      </w:r>
    </w:p>
    <w:p>
      <w:pPr>
        <w:pStyle w:val="null3"/>
        <w:outlineLvl w:val="3"/>
      </w:pPr>
      <w:r>
        <w:rPr>
          <w:sz w:val="24"/>
          <w:b/>
        </w:rPr>
        <w:t>2.6.6资金支付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2.7.1评标活动纪律要求</w:t>
      </w:r>
    </w:p>
    <w:p>
      <w:pPr>
        <w:pStyle w:val="null3"/>
        <w:ind w:firstLine="480"/>
      </w:pPr>
      <w:r>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t>对各投标人的商业秘密，评标委员会成员应予以保密，不得泄露给其他投标人。</w:t>
      </w:r>
    </w:p>
    <w:p>
      <w:pPr>
        <w:pStyle w:val="null3"/>
        <w:outlineLvl w:val="3"/>
      </w:pPr>
      <w:r>
        <w:rPr>
          <w:sz w:val="24"/>
          <w:b/>
        </w:rPr>
        <w:t xml:space="preserve"> 2.7.2投标人不得具有的情形（实质性要求）</w:t>
      </w:r>
    </w:p>
    <w:p>
      <w:pPr>
        <w:pStyle w:val="null3"/>
        <w:ind w:firstLine="480"/>
      </w:pPr>
      <w:r>
        <w:rPr/>
        <w:t>一、有下列情形之一的，视为投标人串通投标：</w:t>
      </w:r>
    </w:p>
    <w:p>
      <w:pPr>
        <w:pStyle w:val="null3"/>
        <w:ind w:firstLine="480"/>
      </w:pPr>
      <w:r>
        <w:rPr/>
        <w:t>（一）不同投标人的投标文件由同一单位或者个人编制；</w:t>
      </w:r>
    </w:p>
    <w:p>
      <w:pPr>
        <w:pStyle w:val="null3"/>
        <w:ind w:firstLine="480"/>
      </w:pPr>
      <w:r>
        <w:rPr/>
        <w:t>（二）不同投标人委托同一单位或者个人办理投标事宜；</w:t>
      </w:r>
    </w:p>
    <w:p>
      <w:pPr>
        <w:pStyle w:val="null3"/>
        <w:ind w:firstLine="480"/>
      </w:pPr>
      <w:r>
        <w:rPr/>
        <w:t>（三）不同投标人的投标文件载明的项目管理成员或者联系人员为同一人；</w:t>
      </w:r>
    </w:p>
    <w:p>
      <w:pPr>
        <w:pStyle w:val="null3"/>
        <w:ind w:firstLine="480"/>
      </w:pPr>
      <w:r>
        <w:rPr/>
        <w:t>（四）不同投标人的投标文件异常一致或者投标报价呈规律性差异；</w:t>
      </w:r>
    </w:p>
    <w:p>
      <w:pPr>
        <w:pStyle w:val="null3"/>
        <w:ind w:firstLine="480"/>
      </w:pPr>
      <w:r>
        <w:rPr/>
        <w:t>（五）不同投标人的投标文件相互混装。</w:t>
      </w:r>
    </w:p>
    <w:p>
      <w:pPr>
        <w:pStyle w:val="null3"/>
        <w:ind w:firstLine="480"/>
      </w:pPr>
      <w:r>
        <w:rPr/>
        <w:t>二、提供虚假材料谋取中标；</w:t>
      </w:r>
    </w:p>
    <w:p>
      <w:pPr>
        <w:pStyle w:val="null3"/>
        <w:ind w:firstLine="480"/>
      </w:pPr>
      <w:r>
        <w:rPr/>
        <w:t>三、采取不正当手段诋毁、排挤其他投标人；</w:t>
      </w:r>
    </w:p>
    <w:p>
      <w:pPr>
        <w:pStyle w:val="null3"/>
        <w:ind w:firstLine="480"/>
      </w:pPr>
      <w:r>
        <w:rPr/>
        <w:t>四、与采购人或代理机构、其他投标人恶意串通；</w:t>
      </w:r>
    </w:p>
    <w:p>
      <w:pPr>
        <w:pStyle w:val="null3"/>
        <w:ind w:firstLine="480"/>
      </w:pPr>
      <w:r>
        <w:rPr/>
        <w:t>五、向采购人或代理机构、评标委员会成员行贿或者提供其他不正当利益；</w:t>
      </w:r>
    </w:p>
    <w:p>
      <w:pPr>
        <w:pStyle w:val="null3"/>
        <w:ind w:firstLine="480"/>
      </w:pPr>
      <w:r>
        <w:rPr/>
        <w:t>六、在招标过程中与采购人或代理机构进行协商谈判；</w:t>
      </w:r>
    </w:p>
    <w:p>
      <w:pPr>
        <w:pStyle w:val="null3"/>
        <w:ind w:firstLine="480"/>
      </w:pPr>
      <w:r>
        <w:rPr/>
        <w:t>七、中标后无正当理由拒不与采购人签订政府采购合同；</w:t>
      </w:r>
    </w:p>
    <w:p>
      <w:pPr>
        <w:pStyle w:val="null3"/>
        <w:ind w:firstLine="480"/>
      </w:pPr>
      <w:r>
        <w:rPr/>
        <w:t>八、未按照采购文件确定的事项签订政府采购合同；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投标人有上述情形的，按照规定追究法律责任，具备一至十一条情形之一的，其投标文件无效，或取消被确认为中标供应商的资格或认定中标无效。</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根据委托代理协议约定，供应商对招标文件中采购需求的询问、质疑由 </w:t>
      </w:r>
      <w:r>
        <w:rPr/>
        <w:t>陕西中经招标有限公司</w:t>
      </w:r>
      <w:r>
        <w:rPr/>
        <w:t xml:space="preserve"> 负责答复；供应商对除采购需求外的采购文件的询问、质疑由</w:t>
      </w:r>
      <w:r>
        <w:rPr/>
        <w:t>陕西中经招标有限公司</w:t>
      </w:r>
      <w:r>
        <w:rPr/>
        <w:t xml:space="preserve"> 负责答复；供应商对采购过程、采购结果的询问、质疑由 </w:t>
      </w:r>
      <w:r>
        <w:rPr/>
        <w:t>陕西中经招标有限公司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t>（一）对可以质疑的采购文件提出质疑的，为收到采购文件之日或者采购文件公告期限届满之日</w:t>
      </w:r>
    </w:p>
    <w:p>
      <w:pPr>
        <w:pStyle w:val="null3"/>
        <w:jc w:val="left"/>
      </w:pPr>
      <w:r>
        <w:rPr/>
        <w:t>（二）对采购过程提出质疑的，为各采购程序环节结束之日；</w:t>
      </w:r>
    </w:p>
    <w:p>
      <w:pPr>
        <w:pStyle w:val="null3"/>
        <w:jc w:val="left"/>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（一）质疑书正本1份；（政府采购供应商质疑函范本详见附件一）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（五）针对质疑事项必要的证明材料（针对招标文件提出的质疑，需提交从项目电子化交易系统获取的招标文件回执单）。</w:t>
      </w:r>
    </w:p>
    <w:p>
      <w:pPr>
        <w:pStyle w:val="null3"/>
      </w:pPr>
      <w:r>
        <w:rPr/>
        <w:t>答复主体：代理机构</w:t>
      </w:r>
    </w:p>
    <w:p>
      <w:pPr>
        <w:pStyle w:val="null3"/>
      </w:pPr>
      <w:r>
        <w:rPr/>
        <w:t>联系人：祝清江</w:t>
      </w:r>
    </w:p>
    <w:p>
      <w:pPr>
        <w:pStyle w:val="null3"/>
      </w:pPr>
      <w:r>
        <w:rPr/>
        <w:t>联系电话：029-87888601</w:t>
      </w:r>
    </w:p>
    <w:p>
      <w:pPr>
        <w:pStyle w:val="null3"/>
      </w:pPr>
      <w:r>
        <w:rPr/>
        <w:t>地址：陕西省西安市碑林区长安北路8B高速经纬大厦16层</w:t>
      </w:r>
    </w:p>
    <w:p>
      <w:pPr>
        <w:pStyle w:val="null3"/>
      </w:pPr>
      <w:r>
        <w:rPr/>
        <w:t>邮编：710000</w:t>
      </w:r>
    </w:p>
    <w:p>
      <w:pPr>
        <w:pStyle w:val="null3"/>
        <w:ind w:firstLine="480"/>
      </w:pPr>
      <w:r>
        <w:rPr/>
        <w:t>注：根据《中华人民共和国政府采购法》的规定，供应商质疑不得超出采购文件、采购过程、采购结果的范围。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招标项目技术、服务、商务及其他要求</w:t>
      </w:r>
    </w:p>
    <w:p>
      <w:pPr>
        <w:pStyle w:val="null3"/>
        <w:ind w:firstLine="480"/>
      </w:pPr>
      <w:r>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sz w:val="28"/>
          <w:b/>
        </w:rPr>
        <w:t>3.1采购项目概况</w:t>
      </w:r>
    </w:p>
    <w:p>
      <w:pPr>
        <w:pStyle w:val="null3"/>
        <w:ind w:firstLine="480"/>
      </w:pPr>
      <w:r>
        <w:rPr>
          <w:b/>
        </w:rPr>
        <w:t>采购台式扫描电子显微镜1台，本设备已进行进口论证，允许采购进口产品。</w:t>
      </w:r>
    </w:p>
    <w:p>
      <w:pPr>
        <w:pStyle w:val="null3"/>
        <w:outlineLvl w:val="2"/>
      </w:pPr>
      <w:r>
        <w:rPr>
          <w:sz w:val="28"/>
          <w:b/>
        </w:rPr>
        <w:t>3.2采购内容</w:t>
      </w:r>
    </w:p>
    <w:p>
      <w:pPr>
        <w:pStyle w:val="null3"/>
      </w:pPr>
      <w:r>
        <w:rPr/>
        <w:t>采购包1：</w:t>
      </w:r>
    </w:p>
    <w:p>
      <w:pPr>
        <w:pStyle w:val="null3"/>
      </w:pPr>
      <w:r>
        <w:rPr/>
        <w:t>采购包预算金额（元）: 1,580,000.00</w:t>
      </w:r>
    </w:p>
    <w:p>
      <w:pPr>
        <w:pStyle w:val="null3"/>
      </w:pPr>
      <w:r>
        <w:rPr/>
        <w:t>采购包最高限价（元）: 1,580,000.00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台式扫描电子显微镜</w:t>
            </w:r>
          </w:p>
        </w:tc>
        <w:tc>
          <w:tcPr>
            <w:tcW w:type="dxa" w:w="831"/>
          </w:tcPr>
          <w:p>
            <w:pPr>
              <w:pStyle w:val="null3"/>
              <w:jc w:val="right"/>
            </w:pPr>
            <w:r>
              <w:rPr/>
              <w:t>1.00</w:t>
            </w:r>
          </w:p>
        </w:tc>
        <w:tc>
          <w:tcPr>
            <w:tcW w:type="dxa" w:w="831"/>
          </w:tcPr>
          <w:p>
            <w:pPr>
              <w:pStyle w:val="null3"/>
              <w:jc w:val="right"/>
            </w:pPr>
            <w:r>
              <w:rPr/>
              <w:t>1,580,000.00</w:t>
            </w:r>
          </w:p>
        </w:tc>
        <w:tc>
          <w:tcPr>
            <w:tcW w:type="dxa" w:w="831"/>
          </w:tcPr>
          <w:p>
            <w:pPr>
              <w:pStyle w:val="null3"/>
            </w:pPr>
            <w:r>
              <w:rPr/>
              <w:t>台</w:t>
            </w:r>
          </w:p>
        </w:tc>
        <w:tc>
          <w:tcPr>
            <w:tcW w:type="dxa" w:w="831"/>
          </w:tcPr>
          <w:p>
            <w:pPr>
              <w:pStyle w:val="null3"/>
            </w:pPr>
            <w:r>
              <w:rPr/>
              <w:t>工业</w:t>
            </w:r>
          </w:p>
        </w:tc>
        <w:tc>
          <w:tcPr>
            <w:tcW w:type="dxa" w:w="831"/>
          </w:tcPr>
          <w:p>
            <w:pPr>
              <w:pStyle w:val="null3"/>
            </w:pPr>
            <w:r>
              <w:rPr/>
              <w:t>否</w:t>
            </w:r>
          </w:p>
        </w:tc>
        <w:tc>
          <w:tcPr>
            <w:tcW w:type="dxa" w:w="831"/>
          </w:tcPr>
          <w:p>
            <w:pPr>
              <w:pStyle w:val="null3"/>
            </w:pPr>
            <w:r>
              <w:rPr/>
              <w:t>是</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3.3技术要求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标的名称：台式扫描电子显微镜</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rFonts w:ascii="simsun" w:hAnsi="simsun" w:cs="simsun" w:eastAsia="simsun"/>
                <w:sz w:val="24"/>
                <w:b/>
              </w:rPr>
              <w:t>1.主机与附件X射线能谱仪的</w:t>
            </w:r>
            <w:r>
              <w:rPr>
                <w:rFonts w:ascii="simsun" w:hAnsi="simsun" w:cs="simsun" w:eastAsia="simsun"/>
                <w:sz w:val="24"/>
                <w:b/>
              </w:rPr>
              <w:t>技术指标</w:t>
            </w:r>
          </w:p>
          <w:p>
            <w:pPr>
              <w:pStyle w:val="null3"/>
            </w:pPr>
            <w:r>
              <w:rPr>
                <w:rFonts w:ascii="simsun" w:hAnsi="simsun" w:cs="simsun" w:eastAsia="simsun"/>
                <w:sz w:val="24"/>
              </w:rPr>
              <w:t>1.1紧凑型电镜主机可分体式或台式设计，主机与电箱分体上下桌面放置。</w:t>
            </w:r>
          </w:p>
          <w:p>
            <w:pPr>
              <w:pStyle w:val="null3"/>
            </w:pPr>
            <w:r>
              <w:rPr>
                <w:rFonts w:ascii="simsun" w:hAnsi="simsun" w:cs="simsun" w:eastAsia="simsun"/>
                <w:sz w:val="24"/>
              </w:rPr>
              <w:t>1.2二次电子分辨率：≤ 4.0nm@20kV，≤ 15nm@1kV（必须提供1KV指标）</w:t>
            </w:r>
          </w:p>
          <w:p>
            <w:pPr>
              <w:pStyle w:val="null3"/>
            </w:pPr>
            <w:r>
              <w:rPr>
                <w:rFonts w:ascii="simsun" w:hAnsi="simsun" w:cs="simsun" w:eastAsia="simsun"/>
                <w:sz w:val="24"/>
              </w:rPr>
              <w:t>1.3背散射电子分辨率：≤ 5.0nm@20kV（低真空）</w:t>
            </w:r>
          </w:p>
          <w:p>
            <w:pPr>
              <w:pStyle w:val="null3"/>
            </w:pPr>
            <w:r>
              <w:rPr>
                <w:rFonts w:ascii="simsun" w:hAnsi="simsun" w:cs="simsun" w:eastAsia="simsun"/>
                <w:sz w:val="24"/>
              </w:rPr>
              <w:t>1.4加速电压：0.3～20kV连续可调，100V步进，并配束流优化功能。</w:t>
            </w:r>
          </w:p>
          <w:p>
            <w:pPr>
              <w:pStyle w:val="null3"/>
            </w:pPr>
            <w:r>
              <w:rPr>
                <w:rFonts w:ascii="simsun" w:hAnsi="simsun" w:cs="simsun" w:eastAsia="simsun"/>
                <w:sz w:val="24"/>
              </w:rPr>
              <w:t>1.5电子枪：预对中钨灯丝，在不更换韦氏帽条件下，可自行更换</w:t>
            </w:r>
          </w:p>
          <w:p>
            <w:pPr>
              <w:pStyle w:val="null3"/>
            </w:pPr>
            <w:r>
              <w:rPr>
                <w:rFonts w:ascii="simsun" w:hAnsi="simsun" w:cs="simsun" w:eastAsia="simsun"/>
                <w:sz w:val="24"/>
              </w:rPr>
              <w:t>1.6放大倍数：6～300,000倍（以127mm x 95mm为准底片倍率）；16～800,000（数码放大，以509.8mmx286.7mm为准显示倍率）</w:t>
            </w:r>
          </w:p>
          <w:p>
            <w:pPr>
              <w:pStyle w:val="null3"/>
            </w:pPr>
            <w:r>
              <w:rPr>
                <w:rFonts w:ascii="simsun" w:hAnsi="simsun" w:cs="simsun" w:eastAsia="simsun"/>
                <w:sz w:val="24"/>
              </w:rPr>
              <w:t>1.7探针电流可以实时显示，不小于1.2μA</w:t>
            </w:r>
          </w:p>
          <w:p>
            <w:pPr>
              <w:pStyle w:val="null3"/>
            </w:pPr>
            <w:r>
              <w:rPr>
                <w:rFonts w:ascii="simsun" w:hAnsi="simsun" w:cs="simsun" w:eastAsia="simsun"/>
                <w:sz w:val="24"/>
              </w:rPr>
              <w:t>1.7  真空系统</w:t>
            </w:r>
          </w:p>
          <w:p>
            <w:pPr>
              <w:pStyle w:val="null3"/>
            </w:pPr>
            <w:r>
              <w:rPr>
                <w:rFonts w:ascii="simsun" w:hAnsi="simsun" w:cs="simsun" w:eastAsia="simsun"/>
                <w:sz w:val="24"/>
              </w:rPr>
              <w:t>1.8.1 高真空：≤ 0.1mPa（10</w:t>
            </w:r>
            <w:r>
              <w:rPr>
                <w:rFonts w:ascii="simsun" w:hAnsi="simsun" w:cs="simsun" w:eastAsia="simsun"/>
                <w:sz w:val="24"/>
                <w:vertAlign w:val="superscript"/>
              </w:rPr>
              <w:t>-3</w:t>
            </w:r>
            <w:r>
              <w:rPr>
                <w:rFonts w:ascii="simsun" w:hAnsi="simsun" w:cs="simsun" w:eastAsia="simsun"/>
                <w:sz w:val="24"/>
              </w:rPr>
              <w:t>pa样品室）</w:t>
            </w:r>
          </w:p>
          <w:p>
            <w:pPr>
              <w:pStyle w:val="null3"/>
            </w:pPr>
            <w:r>
              <w:rPr>
                <w:rFonts w:ascii="simsun" w:hAnsi="simsun" w:cs="simsun" w:eastAsia="simsun"/>
                <w:sz w:val="24"/>
              </w:rPr>
              <w:t>1.8.2标配RVF功能的低真空设计，低真空范围 ≥ 6-100Pa(需满足最高及最低限)，软件界面及操作台实现高低真空切换，且高低真空一键切换。</w:t>
            </w:r>
          </w:p>
          <w:p>
            <w:pPr>
              <w:pStyle w:val="null3"/>
            </w:pPr>
            <w:r>
              <w:rPr>
                <w:rFonts w:ascii="simsun" w:hAnsi="simsun" w:cs="simsun" w:eastAsia="simsun"/>
                <w:sz w:val="24"/>
              </w:rPr>
              <w:t>1.8.3 真空泵系统：真空系统：涡轮分子泵不低于61L/s一台，机械泵不低于100L/min一台。真空系统带停电、漏电系统保护</w:t>
            </w:r>
          </w:p>
          <w:p>
            <w:pPr>
              <w:pStyle w:val="null3"/>
            </w:pPr>
            <w:r>
              <w:rPr>
                <w:rFonts w:ascii="simsun" w:hAnsi="simsun" w:cs="simsun" w:eastAsia="simsun"/>
                <w:sz w:val="24"/>
              </w:rPr>
              <w:t>1.9 探测器及成像系统</w:t>
            </w:r>
          </w:p>
          <w:p>
            <w:pPr>
              <w:pStyle w:val="null3"/>
            </w:pPr>
            <w:r>
              <w:rPr>
                <w:rFonts w:ascii="simsun" w:hAnsi="simsun" w:cs="simsun" w:eastAsia="simsun"/>
                <w:sz w:val="24"/>
              </w:rPr>
              <w:t>1.9.1 标配多探头：二次电子探测器：二次电子像</w:t>
            </w:r>
          </w:p>
          <w:p>
            <w:pPr>
              <w:pStyle w:val="null3"/>
            </w:pPr>
            <w:r>
              <w:rPr>
                <w:rFonts w:ascii="simsun" w:hAnsi="simsun" w:cs="simsun" w:eastAsia="simsun"/>
                <w:sz w:val="24"/>
              </w:rPr>
              <w:t>高灵敏度5分割背散射电子探测器：成分像、形貌像和三维像（探测器目数≥5）</w:t>
            </w:r>
          </w:p>
          <w:p>
            <w:pPr>
              <w:pStyle w:val="null3"/>
            </w:pPr>
            <w:r>
              <w:rPr>
                <w:rFonts w:ascii="simsun" w:hAnsi="simsun" w:cs="simsun" w:eastAsia="simsun"/>
                <w:sz w:val="24"/>
              </w:rPr>
              <w:t>集成样品室内正上方样品台彩色光学探测器，保证样品安全同时得到光学成像。</w:t>
            </w:r>
          </w:p>
          <w:p>
            <w:pPr>
              <w:pStyle w:val="null3"/>
            </w:pPr>
            <w:r>
              <w:rPr>
                <w:rFonts w:ascii="simsun" w:hAnsi="simsun" w:cs="simsun" w:eastAsia="simsun"/>
                <w:sz w:val="24"/>
              </w:rPr>
              <w:t>1.9.2 成像模式：同时得到二次电子像，背散射电子像，两种图像混合像，BSE分别成像，并和SE能任意叠加混合</w:t>
            </w:r>
          </w:p>
          <w:p>
            <w:pPr>
              <w:pStyle w:val="null3"/>
            </w:pPr>
            <w:r>
              <w:rPr>
                <w:rFonts w:ascii="simsun" w:hAnsi="simsun" w:cs="simsun" w:eastAsia="simsun"/>
                <w:sz w:val="24"/>
              </w:rPr>
              <w:t>1.10自动功能：自动灯丝饱和度调整，自动电子束对中及自动拍照功能。可在5万倍直接自动聚焦。</w:t>
            </w:r>
          </w:p>
          <w:p>
            <w:pPr>
              <w:pStyle w:val="null3"/>
            </w:pPr>
            <w:r>
              <w:rPr>
                <w:rFonts w:ascii="simsun" w:hAnsi="simsun" w:cs="simsun" w:eastAsia="simsun"/>
                <w:sz w:val="24"/>
              </w:rPr>
              <w:t>1.11低球差物镜+聚光镜设计，聚光镜光阑安装在长内衬管内，非短衬管设计，可自行更换聚光镜光阑。</w:t>
            </w:r>
          </w:p>
          <w:p>
            <w:pPr>
              <w:pStyle w:val="null3"/>
            </w:pPr>
            <w:r>
              <w:rPr>
                <w:rFonts w:ascii="simsun" w:hAnsi="simsun" w:cs="simsun" w:eastAsia="simsun"/>
                <w:sz w:val="24"/>
              </w:rPr>
              <w:t>1.12样品室配置</w:t>
            </w:r>
          </w:p>
          <w:p>
            <w:pPr>
              <w:pStyle w:val="null3"/>
            </w:pPr>
            <w:r>
              <w:rPr>
                <w:rFonts w:ascii="simsun" w:hAnsi="simsun" w:cs="simsun" w:eastAsia="simsun"/>
                <w:sz w:val="24"/>
              </w:rPr>
              <w:t>1.12.1五轴样品台：不少于三轴马达驱动，各轴工作有效行程要求：</w:t>
            </w:r>
          </w:p>
          <w:p>
            <w:pPr>
              <w:pStyle w:val="null3"/>
            </w:pPr>
            <w:r>
              <w:rPr>
                <w:rFonts w:ascii="simsun" w:hAnsi="simsun" w:cs="simsun" w:eastAsia="simsun"/>
                <w:sz w:val="24"/>
              </w:rPr>
              <w:t>X：0～40mm，Y：0～50mm，Z：5～33mm，R：0～360°，T：-15°～90°</w:t>
            </w:r>
          </w:p>
          <w:p>
            <w:pPr>
              <w:pStyle w:val="null3"/>
            </w:pPr>
            <w:r>
              <w:rPr>
                <w:rFonts w:ascii="simsun" w:hAnsi="simsun" w:cs="simsun" w:eastAsia="simsun"/>
                <w:sz w:val="24"/>
              </w:rPr>
              <w:t>1.12.2 样品室：抽屉式大开仓结构，样品台安装在仓门上，保证取样安全。与大型电镜通用M4铝台，无需特制样品台，能全方位观察样品</w:t>
            </w:r>
          </w:p>
          <w:p>
            <w:pPr>
              <w:pStyle w:val="null3"/>
            </w:pPr>
            <w:r>
              <w:rPr>
                <w:rFonts w:ascii="simsun" w:hAnsi="simsun" w:cs="simsun" w:eastAsia="simsun"/>
                <w:sz w:val="24"/>
              </w:rPr>
              <w:t>1.12.3样品大小：直径不小于80mm，高度不小于40mm，且可始终保持工作距离范围5-15mm，可观察区域不小于64mm。</w:t>
            </w:r>
          </w:p>
          <w:p>
            <w:pPr>
              <w:pStyle w:val="null3"/>
            </w:pPr>
            <w:r>
              <w:rPr>
                <w:rFonts w:ascii="simsun" w:hAnsi="simsun" w:cs="simsun" w:eastAsia="simsun"/>
                <w:sz w:val="24"/>
              </w:rPr>
              <w:t>1.13具有样品导航SEM-MAP功能，包括以下功能：</w:t>
            </w:r>
          </w:p>
          <w:p>
            <w:pPr>
              <w:pStyle w:val="null3"/>
            </w:pPr>
            <w:r>
              <w:rPr>
                <w:rFonts w:ascii="simsun" w:hAnsi="simsun" w:cs="simsun" w:eastAsia="simsun"/>
                <w:sz w:val="24"/>
              </w:rPr>
              <w:t>1.13.1可在光镜图片上自动拍照电镜图片并自动叠加（最大可达2000倍）。</w:t>
            </w:r>
          </w:p>
          <w:p>
            <w:pPr>
              <w:pStyle w:val="null3"/>
            </w:pPr>
            <w:r>
              <w:rPr>
                <w:rFonts w:ascii="simsun" w:hAnsi="simsun" w:cs="simsun" w:eastAsia="simsun"/>
                <w:sz w:val="24"/>
              </w:rPr>
              <w:t>1.13.2导航具有照片回溯定位，联动马达台，ZOOM自动切换相机/SEM像等高级功能。</w:t>
            </w:r>
          </w:p>
          <w:p>
            <w:pPr>
              <w:pStyle w:val="null3"/>
            </w:pPr>
            <w:r>
              <w:rPr>
                <w:rFonts w:ascii="simsun" w:hAnsi="simsun" w:cs="simsun" w:eastAsia="simsun"/>
                <w:sz w:val="24"/>
              </w:rPr>
              <w:t>1.13.3 导航具有MAP图像的ZOOM in/out，实时显示样品台进入过程。（可拍摄样品室全景）</w:t>
            </w:r>
          </w:p>
          <w:p>
            <w:pPr>
              <w:pStyle w:val="null3"/>
            </w:pPr>
            <w:r>
              <w:rPr>
                <w:rFonts w:ascii="simsun" w:hAnsi="simsun" w:cs="simsun" w:eastAsia="simsun"/>
                <w:sz w:val="24"/>
              </w:rPr>
              <w:t>1.14配置专用自动对中工具台，更换灯丝、光阑后可实现一键对中，保证设备长时间稳定性。</w:t>
            </w:r>
          </w:p>
          <w:p>
            <w:pPr>
              <w:pStyle w:val="null3"/>
            </w:pPr>
            <w:r>
              <w:rPr>
                <w:rFonts w:ascii="simsun" w:hAnsi="simsun" w:cs="simsun" w:eastAsia="simsun"/>
                <w:sz w:val="24"/>
              </w:rPr>
              <w:t>1.15配置用户向导功能。</w:t>
            </w:r>
          </w:p>
          <w:p>
            <w:pPr>
              <w:pStyle w:val="null3"/>
            </w:pPr>
            <w:r>
              <w:rPr>
                <w:rFonts w:ascii="simsun" w:hAnsi="simsun" w:cs="simsun" w:eastAsia="simsun"/>
                <w:sz w:val="24"/>
              </w:rPr>
              <w:t>1.16电子图像位移：≥±50μm（WD=10mm）</w:t>
            </w:r>
          </w:p>
          <w:p>
            <w:pPr>
              <w:pStyle w:val="null3"/>
            </w:pPr>
            <w:r>
              <w:rPr>
                <w:rFonts w:ascii="simsun" w:hAnsi="simsun" w:cs="simsun" w:eastAsia="simsun"/>
                <w:sz w:val="24"/>
              </w:rPr>
              <w:t>1.17具有一键报告导出功能。图片能以Word, Excel 或者 PowerPoint 的格式导出并直接生成报告，符合实验室标准。</w:t>
            </w:r>
          </w:p>
          <w:p>
            <w:pPr>
              <w:pStyle w:val="null3"/>
            </w:pPr>
            <w:r>
              <w:rPr>
                <w:rFonts w:ascii="simsun" w:hAnsi="simsun" w:cs="simsun" w:eastAsia="simsun"/>
                <w:sz w:val="24"/>
              </w:rPr>
              <w:t>1.18配置与大型电镜一体化的轨迹球及多功能旋钮版。</w:t>
            </w:r>
          </w:p>
          <w:p>
            <w:pPr>
              <w:pStyle w:val="null3"/>
            </w:pPr>
            <w:r>
              <w:rPr>
                <w:rFonts w:ascii="simsun" w:hAnsi="simsun" w:cs="simsun" w:eastAsia="simsun"/>
                <w:sz w:val="24"/>
              </w:rPr>
              <w:t>1.19计算机配置不低于：操作系统Windows 10 Pro 64位，i5处理器，速率3.0GHz上，4G内存，1T硬盘，且配有专业配套的图像管理软件。</w:t>
            </w:r>
          </w:p>
          <w:p>
            <w:pPr>
              <w:pStyle w:val="null3"/>
            </w:pPr>
            <w:r>
              <w:rPr>
                <w:rFonts w:ascii="simsun" w:hAnsi="simsun" w:cs="simsun" w:eastAsia="simsun"/>
                <w:sz w:val="24"/>
              </w:rPr>
              <w:t>1.20配套X射线能谱仪，面积30mm</w:t>
            </w:r>
            <w:r>
              <w:rPr>
                <w:rFonts w:ascii="simsun" w:hAnsi="simsun" w:cs="simsun" w:eastAsia="simsun"/>
                <w:sz w:val="24"/>
                <w:vertAlign w:val="superscript"/>
              </w:rPr>
              <w:t>2</w:t>
            </w:r>
            <w:r>
              <w:rPr>
                <w:rFonts w:ascii="simsun" w:hAnsi="simsun" w:cs="simsun" w:eastAsia="simsun"/>
                <w:sz w:val="24"/>
              </w:rPr>
              <w:t>，MnKa分辨率不低于129eV。</w:t>
            </w:r>
          </w:p>
          <w:p>
            <w:pPr>
              <w:pStyle w:val="null3"/>
              <w:numPr>
                <w:ilvl w:val="0"/>
                <w:numId w:val="1"/>
              </w:numPr>
            </w:pPr>
            <w:r>
              <w:rPr>
                <w:rFonts w:ascii="simsun" w:hAnsi="simsun" w:cs="simsun" w:eastAsia="simsun"/>
                <w:sz w:val="24"/>
                <w:b/>
              </w:rPr>
              <w:t>附件三维机械采样臂和低频滤波片的技术指标</w:t>
            </w:r>
          </w:p>
          <w:p>
            <w:pPr>
              <w:pStyle w:val="null3"/>
            </w:pPr>
            <w:r>
              <w:rPr>
                <w:rFonts w:ascii="simsun" w:hAnsi="simsun" w:cs="simsun" w:eastAsia="simsun"/>
                <w:sz w:val="24"/>
              </w:rPr>
              <w:t>2.1可实现水平光路和垂直光路拉曼测试。</w:t>
            </w:r>
          </w:p>
          <w:p>
            <w:pPr>
              <w:pStyle w:val="null3"/>
            </w:pPr>
            <w:r>
              <w:rPr>
                <w:rFonts w:ascii="simsun" w:hAnsi="simsun" w:cs="simsun" w:eastAsia="simsun"/>
                <w:sz w:val="24"/>
              </w:rPr>
              <w:t>2.2通过 XYZ自动平台控制灵活三维扫描臂精确移动，实现样品保持不移动的高精度原位拉曼/PL成像，扫描范围可达厘米级别。</w:t>
            </w:r>
          </w:p>
          <w:p>
            <w:pPr>
              <w:pStyle w:val="null3"/>
            </w:pPr>
            <w:r>
              <w:rPr>
                <w:rFonts w:ascii="simsun" w:hAnsi="simsun" w:cs="simsun" w:eastAsia="simsun"/>
                <w:sz w:val="24"/>
              </w:rPr>
              <w:t>2.3可兼容高空间分辨快速扫描拉曼成像</w:t>
            </w:r>
          </w:p>
          <w:p>
            <w:pPr>
              <w:pStyle w:val="null3"/>
            </w:pPr>
            <w:r>
              <w:rPr>
                <w:rFonts w:ascii="simsun" w:hAnsi="simsun" w:cs="simsun" w:eastAsia="simsun"/>
                <w:sz w:val="24"/>
              </w:rPr>
              <w:t>2.4适用于大型且不易移动的样品或体系，如低温装置或反应釜等原位装置。</w:t>
            </w:r>
          </w:p>
          <w:p>
            <w:pPr>
              <w:pStyle w:val="null3"/>
            </w:pPr>
            <w:r>
              <w:rPr>
                <w:rFonts w:ascii="simsun" w:hAnsi="simsun" w:cs="simsun" w:eastAsia="simsun"/>
                <w:sz w:val="24"/>
              </w:rPr>
              <w:t>2.5采用体布拉格光栅滤光片，实现超低波数拉曼测试，可低于15cm</w:t>
            </w:r>
            <w:r>
              <w:rPr>
                <w:rFonts w:ascii="simsun" w:hAnsi="simsun" w:cs="simsun" w:eastAsia="simsun"/>
                <w:sz w:val="24"/>
                <w:vertAlign w:val="superscript"/>
              </w:rPr>
              <w:t>-1</w:t>
            </w:r>
          </w:p>
          <w:p>
            <w:pPr>
              <w:pStyle w:val="null3"/>
            </w:pPr>
            <w:r>
              <w:rPr>
                <w:rFonts w:ascii="simsun" w:hAnsi="simsun" w:cs="simsun" w:eastAsia="simsun"/>
                <w:sz w:val="24"/>
              </w:rPr>
              <w:t>2.6可同时测试斯托克斯散射及反斯托克斯散射。</w:t>
            </w:r>
          </w:p>
          <w:p>
            <w:pPr>
              <w:pStyle w:val="null3"/>
            </w:pPr>
            <w:r>
              <w:rPr>
                <w:rFonts w:ascii="simsun" w:hAnsi="simsun" w:cs="simsun" w:eastAsia="simsun"/>
                <w:sz w:val="24"/>
              </w:rPr>
              <w:t>2.7可与标准Edge滤光片实现全自动切换。</w:t>
            </w:r>
          </w:p>
        </w:tc>
      </w:tr>
    </w:tbl>
    <w:p>
      <w:pPr>
        <w:pStyle w:val="null3"/>
        <w:outlineLvl w:val="2"/>
      </w:pPr>
      <w:r>
        <w:rPr>
          <w:sz w:val="28"/>
          <w:b/>
        </w:rPr>
        <w:t>3.4商务要求</w:t>
      </w:r>
    </w:p>
    <w:p>
      <w:pPr>
        <w:pStyle w:val="null3"/>
        <w:outlineLvl w:val="3"/>
      </w:pPr>
      <w:r>
        <w:rPr>
          <w:sz w:val="24"/>
          <w:b/>
        </w:rPr>
        <w:t xml:space="preserve"> 3.4.1交货时间</w:t>
      </w:r>
    </w:p>
    <w:p>
      <w:pPr>
        <w:pStyle w:val="null3"/>
      </w:pPr>
      <w:r>
        <w:rPr/>
        <w:t>采购包1：</w:t>
      </w:r>
    </w:p>
    <w:p>
      <w:pPr>
        <w:pStyle w:val="null3"/>
      </w:pPr>
      <w:r>
        <w:rPr/>
        <w:t>签订合同后 90 日历日内供货，详见招标文件及合同条款</w:t>
      </w:r>
    </w:p>
    <w:p>
      <w:pPr>
        <w:pStyle w:val="null3"/>
        <w:outlineLvl w:val="3"/>
      </w:pPr>
      <w:r>
        <w:rPr>
          <w:sz w:val="24"/>
          <w:b/>
        </w:rPr>
        <w:t>3.4.2交货地点</w:t>
      </w:r>
    </w:p>
    <w:p>
      <w:pPr>
        <w:pStyle w:val="null3"/>
      </w:pPr>
      <w:r>
        <w:rPr/>
        <w:t>采购包1：</w:t>
      </w:r>
    </w:p>
    <w:p>
      <w:pPr>
        <w:pStyle w:val="null3"/>
      </w:pPr>
      <w:r>
        <w:rPr/>
        <w:t>陕西科技大学指定地点</w:t>
      </w:r>
    </w:p>
    <w:p>
      <w:pPr>
        <w:pStyle w:val="null3"/>
        <w:outlineLvl w:val="3"/>
      </w:pPr>
      <w:r>
        <w:rPr>
          <w:sz w:val="24"/>
          <w:b/>
        </w:rPr>
        <w:t>3.4.3支付方式</w:t>
      </w:r>
    </w:p>
    <w:p>
      <w:pPr>
        <w:pStyle w:val="null3"/>
      </w:pPr>
      <w:r>
        <w:rPr/>
        <w:t>采购包1：</w:t>
      </w:r>
    </w:p>
    <w:p>
      <w:pPr>
        <w:pStyle w:val="null3"/>
      </w:pPr>
      <w:r>
        <w:rPr/>
        <w:t>一次付清</w:t>
      </w:r>
    </w:p>
    <w:p>
      <w:pPr>
        <w:pStyle w:val="null3"/>
        <w:outlineLvl w:val="3"/>
      </w:pPr>
      <w:r>
        <w:rPr>
          <w:sz w:val="24"/>
          <w:b/>
        </w:rPr>
        <w:t>3.4.4支付约定</w:t>
      </w:r>
    </w:p>
    <w:p>
      <w:pPr>
        <w:pStyle w:val="null3"/>
      </w:pPr>
      <w:r>
        <w:rPr/>
        <w:t>采购包1：</w:t>
      </w:r>
      <w:r>
        <w:rPr/>
        <w:t xml:space="preserve"> 付款条件说明： </w:t>
      </w:r>
      <w:r>
        <w:rPr/>
        <w:t>1、发票在货到验收合格后由乙方（或乙方委托的外贸代理机构）开具给甲方。 2、国产产品：甲方收到乙方开具的全额增值税专用发票（电子、纸质发票均可，纸质发票须包含发票联、抵扣联）后及时向乙方支付合同总价款的100%。进口产品：甲方收到乙方委托的外贸代理机构开具的全额发票后及时向乙方委托的外贸代理机构支付合同总价款的100%。</w:t>
      </w:r>
      <w:r>
        <w:rPr/>
        <w:t xml:space="preserve"> ，达到付款条件起 </w:t>
      </w:r>
      <w:r>
        <w:rPr/>
        <w:t>15</w:t>
      </w:r>
      <w:r>
        <w:rPr/>
        <w:t xml:space="preserve"> 日内，支付合同总金额的 </w:t>
      </w:r>
      <w:r>
        <w:rPr/>
        <w:t>100.00</w:t>
      </w:r>
      <w:r>
        <w:rPr/>
        <w:t>%。</w:t>
      </w:r>
    </w:p>
    <w:p>
      <w:pPr>
        <w:pStyle w:val="null3"/>
        <w:outlineLvl w:val="3"/>
      </w:pPr>
      <w:r>
        <w:rPr>
          <w:sz w:val="24"/>
          <w:b/>
        </w:rPr>
        <w:t>3.4.5验收标准和方法</w:t>
      </w:r>
    </w:p>
    <w:p>
      <w:pPr>
        <w:pStyle w:val="null3"/>
      </w:pPr>
      <w:r>
        <w:rPr/>
        <w:t>采购包1：</w:t>
      </w:r>
    </w:p>
    <w:p>
      <w:pPr>
        <w:pStyle w:val="null3"/>
      </w:pPr>
      <w:r>
        <w:rPr/>
        <w:t>详见招标文件及合同条款</w:t>
      </w:r>
    </w:p>
    <w:p>
      <w:pPr>
        <w:pStyle w:val="null3"/>
        <w:outlineLvl w:val="3"/>
      </w:pPr>
      <w:r>
        <w:rPr>
          <w:sz w:val="24"/>
          <w:b/>
        </w:rPr>
        <w:t>3.4.6包装方式及运输</w:t>
      </w:r>
    </w:p>
    <w:p>
      <w:pPr>
        <w:pStyle w:val="null3"/>
      </w:pPr>
      <w:r>
        <w:rPr/>
        <w:t>采购包1：</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sz w:val="24"/>
          <w:b/>
        </w:rPr>
        <w:t>3.4.7质量保修范围和保修期</w:t>
      </w:r>
    </w:p>
    <w:p>
      <w:pPr>
        <w:pStyle w:val="null3"/>
      </w:pPr>
      <w:r>
        <w:rPr/>
        <w:t>采购包1：</w:t>
      </w:r>
    </w:p>
    <w:p>
      <w:pPr>
        <w:pStyle w:val="null3"/>
      </w:pPr>
      <w:r>
        <w:rPr/>
        <w:t>质保一年 详见招标文件及合同条款</w:t>
      </w:r>
    </w:p>
    <w:p>
      <w:pPr>
        <w:pStyle w:val="null3"/>
        <w:outlineLvl w:val="3"/>
      </w:pPr>
      <w:r>
        <w:rPr>
          <w:sz w:val="24"/>
          <w:b/>
        </w:rPr>
        <w:t>3.4.8违约责任与解决争议的方法</w:t>
      </w:r>
    </w:p>
    <w:p>
      <w:pPr>
        <w:pStyle w:val="null3"/>
      </w:pPr>
      <w:r>
        <w:rPr/>
        <w:t>采购包1：</w:t>
      </w:r>
    </w:p>
    <w:p>
      <w:pPr>
        <w:pStyle w:val="null3"/>
      </w:pPr>
      <w:r>
        <w:rPr/>
        <w:t>详见招标文件及合同条款</w:t>
      </w:r>
    </w:p>
    <w:p>
      <w:pPr>
        <w:pStyle w:val="null3"/>
        <w:jc w:val="left"/>
        <w:outlineLvl w:val="2"/>
      </w:pPr>
      <w:r>
        <w:rPr>
          <w:sz w:val="28"/>
          <w:b/>
        </w:rPr>
        <w:t>3.5其他要求</w:t>
      </w:r>
    </w:p>
    <w:p>
      <w:pPr>
        <w:pStyle w:val="null3"/>
      </w:pPr>
      <w:r>
        <w:rPr/>
        <w:t>供应商需要在线提交所有通过电子化交易平台实施的政府采购项目的投标文件，同时，线下提交纸质投标文件叁份；若电子投标文件与纸质投标文件不一致的，以电子投标文件为准；投标文件各自装订成册密封（在书脊处标明项目名称、供应商名称（机打或手写均可），逐页标注连页码），在封口处加盖供应商公章；纸质投标文件可邮寄递交到代理机构。</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t>资格审查标准及要求如下：</w:t>
      </w:r>
    </w:p>
    <w:p>
      <w:pPr>
        <w:pStyle w:val="null3"/>
        <w:outlineLvl w:val="2"/>
      </w:pPr>
      <w:r>
        <w:rPr>
          <w:sz w:val="28"/>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 投标人应提交的相关资格证明材料</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投标人应提交的相关资格证明材料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w:t>
            </w:r>
          </w:p>
        </w:tc>
      </w:tr>
    </w:tbl>
    <w:p>
      <w:pPr>
        <w:pStyle w:val="null3"/>
        <w:outlineLvl w:val="2"/>
      </w:pPr>
      <w:r>
        <w:rPr>
          <w:sz w:val="28"/>
          <w:b/>
        </w:rPr>
        <w:t>4.2特殊资格审查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主体资格</w:t>
            </w:r>
          </w:p>
        </w:tc>
        <w:tc>
          <w:tcPr>
            <w:tcW w:type="dxa" w:w="3322"/>
          </w:tcPr>
          <w:p>
            <w:pPr>
              <w:pStyle w:val="null3"/>
            </w:pPr>
            <w:r>
              <w:rPr/>
              <w:t>供应商为响应招标并参加投标的合法注册的企业法人、事业法人或其他组织。企业法人应提供合法有效的标识有统一社会信用代码的营业执照；事业法人应提供事业单位法人证书；其他组织应提供合法登记证明文件。</w:t>
            </w:r>
          </w:p>
        </w:tc>
        <w:tc>
          <w:tcPr>
            <w:tcW w:type="dxa" w:w="1661"/>
          </w:tcPr>
          <w:p>
            <w:pPr>
              <w:pStyle w:val="null3"/>
            </w:pPr>
            <w:r>
              <w:rPr/>
              <w:t>1资格证明文件 投标人应提交的相关资格证明材料</w:t>
            </w:r>
          </w:p>
        </w:tc>
      </w:tr>
      <w:tr>
        <w:tc>
          <w:tcPr>
            <w:tcW w:type="dxa" w:w="831"/>
          </w:tcPr>
          <w:p>
            <w:pPr>
              <w:pStyle w:val="null3"/>
            </w:pPr>
            <w:r>
              <w:rPr/>
              <w:t>2</w:t>
            </w:r>
          </w:p>
        </w:tc>
        <w:tc>
          <w:tcPr>
            <w:tcW w:type="dxa" w:w="2492"/>
          </w:tcPr>
          <w:p>
            <w:pPr>
              <w:pStyle w:val="null3"/>
            </w:pPr>
            <w:r>
              <w:rPr/>
              <w:t>授权委托</w:t>
            </w:r>
          </w:p>
        </w:tc>
        <w:tc>
          <w:tcPr>
            <w:tcW w:type="dxa" w:w="3322"/>
          </w:tcPr>
          <w:p>
            <w:pPr>
              <w:pStyle w:val="null3"/>
            </w:pPr>
            <w:r>
              <w:rPr/>
              <w:t>供应商应授权合法的人员参加投标全过程，其中法定代表人/负责人直接投标，须提交法定代表人/负责人身份证明书和身份证。法定代表人/负责人授权代表参加投标的，须出具法定代表人/负责人授权书及授权代表身份证。</w:t>
            </w:r>
          </w:p>
        </w:tc>
        <w:tc>
          <w:tcPr>
            <w:tcW w:type="dxa" w:w="1661"/>
          </w:tcPr>
          <w:p>
            <w:pPr>
              <w:pStyle w:val="null3"/>
            </w:pPr>
            <w:r>
              <w:rPr/>
              <w:t>1资格证明文件 投标人应提交的相关资格证明材料</w:t>
            </w:r>
          </w:p>
        </w:tc>
      </w:tr>
      <w:tr>
        <w:tc>
          <w:tcPr>
            <w:tcW w:type="dxa" w:w="831"/>
          </w:tcPr>
          <w:p>
            <w:pPr>
              <w:pStyle w:val="null3"/>
            </w:pPr>
            <w:r>
              <w:rPr/>
              <w:t>3</w:t>
            </w:r>
          </w:p>
        </w:tc>
        <w:tc>
          <w:tcPr>
            <w:tcW w:type="dxa" w:w="2492"/>
          </w:tcPr>
          <w:p>
            <w:pPr>
              <w:pStyle w:val="null3"/>
            </w:pPr>
            <w:r>
              <w:rPr/>
              <w:t>财务状况报告</w:t>
            </w:r>
          </w:p>
        </w:tc>
        <w:tc>
          <w:tcPr>
            <w:tcW w:type="dxa" w:w="3322"/>
          </w:tcPr>
          <w:p>
            <w:pPr>
              <w:pStyle w:val="null3"/>
            </w:pPr>
            <w:r>
              <w:rPr/>
              <w:t>供应商提供2023年度经审计的完整财务审计报告（审计报告应当包含报告正文、资产负 债表、利润表、现金流量表、附注和会计师事务所营业执照，报告正文应当有会计师事务所公章，2个注册会计师的证书、签字和盖章）或开标前三个月内银行出具的资信证明，或财政部门认可的 政府采购专业担保机构出具的投标担保函（以上三种形式的资料提供任何一种即可）。</w:t>
            </w:r>
          </w:p>
        </w:tc>
        <w:tc>
          <w:tcPr>
            <w:tcW w:type="dxa" w:w="1661"/>
          </w:tcPr>
          <w:p>
            <w:pPr>
              <w:pStyle w:val="null3"/>
            </w:pPr>
            <w:r>
              <w:rPr/>
              <w:t>1资格证明文件 投标人应提交的相关资格证明材料</w:t>
            </w:r>
          </w:p>
        </w:tc>
      </w:tr>
      <w:tr>
        <w:tc>
          <w:tcPr>
            <w:tcW w:type="dxa" w:w="831"/>
          </w:tcPr>
          <w:p>
            <w:pPr>
              <w:pStyle w:val="null3"/>
            </w:pPr>
            <w:r>
              <w:rPr/>
              <w:t>4</w:t>
            </w:r>
          </w:p>
        </w:tc>
        <w:tc>
          <w:tcPr>
            <w:tcW w:type="dxa" w:w="2492"/>
          </w:tcPr>
          <w:p>
            <w:pPr>
              <w:pStyle w:val="null3"/>
            </w:pPr>
            <w:r>
              <w:rPr/>
              <w:t>社会保障资金缴纳证明</w:t>
            </w:r>
          </w:p>
        </w:tc>
        <w:tc>
          <w:tcPr>
            <w:tcW w:type="dxa" w:w="3322"/>
          </w:tcPr>
          <w:p>
            <w:pPr>
              <w:pStyle w:val="null3"/>
            </w:pPr>
            <w:r>
              <w:rPr/>
              <w:t>供应商提供投标文件递交截止日前一年内的任意一个月的社会保障资金缴存单据或社保机构开具的社会保险参保缴费情况证明，依法不需要缴纳社会保障资金的单位应提供相关证明材料。</w:t>
            </w:r>
          </w:p>
        </w:tc>
        <w:tc>
          <w:tcPr>
            <w:tcW w:type="dxa" w:w="1661"/>
          </w:tcPr>
          <w:p>
            <w:pPr>
              <w:pStyle w:val="null3"/>
            </w:pPr>
            <w:r>
              <w:rPr/>
              <w:t>1资格证明文件 投标人应提交的相关资格证明材料</w:t>
            </w:r>
          </w:p>
        </w:tc>
      </w:tr>
      <w:tr>
        <w:tc>
          <w:tcPr>
            <w:tcW w:type="dxa" w:w="831"/>
          </w:tcPr>
          <w:p>
            <w:pPr>
              <w:pStyle w:val="null3"/>
            </w:pPr>
            <w:r>
              <w:rPr/>
              <w:t>5</w:t>
            </w:r>
          </w:p>
        </w:tc>
        <w:tc>
          <w:tcPr>
            <w:tcW w:type="dxa" w:w="2492"/>
          </w:tcPr>
          <w:p>
            <w:pPr>
              <w:pStyle w:val="null3"/>
            </w:pPr>
            <w:r>
              <w:rPr/>
              <w:t>税收缴纳证明</w:t>
            </w:r>
          </w:p>
        </w:tc>
        <w:tc>
          <w:tcPr>
            <w:tcW w:type="dxa" w:w="3322"/>
          </w:tcPr>
          <w:p>
            <w:pPr>
              <w:pStyle w:val="null3"/>
            </w:pPr>
            <w:r>
              <w:rPr/>
              <w:t>供应商提供投标文件递交截止日前一年内已缴存的任意一个月的纳税证明或完税证明，纳税证明或完税证明上应有代收机构或税务机关的公章，依法免税的单位应提供相关证明材料。</w:t>
            </w:r>
          </w:p>
        </w:tc>
        <w:tc>
          <w:tcPr>
            <w:tcW w:type="dxa" w:w="1661"/>
          </w:tcPr>
          <w:p>
            <w:pPr>
              <w:pStyle w:val="null3"/>
            </w:pPr>
            <w:r>
              <w:rPr/>
              <w:t>1资格证明文件 投标人应提交的相关资格证明材料</w:t>
            </w:r>
          </w:p>
        </w:tc>
      </w:tr>
      <w:tr>
        <w:tc>
          <w:tcPr>
            <w:tcW w:type="dxa" w:w="831"/>
          </w:tcPr>
          <w:p>
            <w:pPr>
              <w:pStyle w:val="null3"/>
            </w:pPr>
            <w:r>
              <w:rPr/>
              <w:t>6</w:t>
            </w:r>
          </w:p>
        </w:tc>
        <w:tc>
          <w:tcPr>
            <w:tcW w:type="dxa" w:w="2492"/>
          </w:tcPr>
          <w:p>
            <w:pPr>
              <w:pStyle w:val="null3"/>
            </w:pPr>
            <w:r>
              <w:rPr/>
              <w:t>书面声明（信用记录）</w:t>
            </w:r>
          </w:p>
        </w:tc>
        <w:tc>
          <w:tcPr>
            <w:tcW w:type="dxa" w:w="3322"/>
          </w:tcPr>
          <w:p>
            <w:pPr>
              <w:pStyle w:val="null3"/>
            </w:pPr>
            <w:r>
              <w:rPr/>
              <w:t>提供《供应商信用记录书面声明函》（按格式 填写，提供原件）。经查，投标人未被列入“信 用中国”网站记录的“失信被执行人”或“重大税收违法失信主体”名单；不处于“中国政府采购网”记录的“政府采购严重违法失信行为记录名单”中的禁止参加政府采购活动期间。</w:t>
            </w:r>
          </w:p>
        </w:tc>
        <w:tc>
          <w:tcPr>
            <w:tcW w:type="dxa" w:w="1661"/>
          </w:tcPr>
          <w:p>
            <w:pPr>
              <w:pStyle w:val="null3"/>
            </w:pPr>
            <w:r>
              <w:rPr/>
              <w:t>1资格证明文件 投标人应提交的相关资格证明材料</w:t>
            </w:r>
          </w:p>
        </w:tc>
      </w:tr>
      <w:tr>
        <w:tc>
          <w:tcPr>
            <w:tcW w:type="dxa" w:w="831"/>
          </w:tcPr>
          <w:p>
            <w:pPr>
              <w:pStyle w:val="null3"/>
            </w:pPr>
            <w:r>
              <w:rPr/>
              <w:t>7</w:t>
            </w:r>
          </w:p>
        </w:tc>
        <w:tc>
          <w:tcPr>
            <w:tcW w:type="dxa" w:w="2492"/>
          </w:tcPr>
          <w:p>
            <w:pPr>
              <w:pStyle w:val="null3"/>
            </w:pPr>
            <w:r>
              <w:rPr/>
              <w:t>承诺函</w:t>
            </w:r>
          </w:p>
        </w:tc>
        <w:tc>
          <w:tcPr>
            <w:tcW w:type="dxa" w:w="3322"/>
          </w:tcPr>
          <w:p>
            <w:pPr>
              <w:pStyle w:val="null3"/>
            </w:pPr>
            <w:r>
              <w:rPr/>
              <w:t>提供具有履行合同所必需的设备和专业技术能力的承诺。</w:t>
            </w:r>
          </w:p>
        </w:tc>
        <w:tc>
          <w:tcPr>
            <w:tcW w:type="dxa" w:w="1661"/>
          </w:tcPr>
          <w:p>
            <w:pPr>
              <w:pStyle w:val="null3"/>
            </w:pPr>
            <w:r>
              <w:rPr/>
              <w:t>1资格证明文件 投标人应提交的相关资格证明材料</w:t>
            </w:r>
          </w:p>
        </w:tc>
      </w:tr>
      <w:tr>
        <w:tc>
          <w:tcPr>
            <w:tcW w:type="dxa" w:w="831"/>
          </w:tcPr>
          <w:p>
            <w:pPr>
              <w:pStyle w:val="null3"/>
            </w:pPr>
            <w:r>
              <w:rPr/>
              <w:t>8</w:t>
            </w:r>
          </w:p>
        </w:tc>
        <w:tc>
          <w:tcPr>
            <w:tcW w:type="dxa" w:w="2492"/>
          </w:tcPr>
          <w:p>
            <w:pPr>
              <w:pStyle w:val="null3"/>
            </w:pPr>
            <w:r>
              <w:rPr/>
              <w:t>证明材料</w:t>
            </w:r>
          </w:p>
        </w:tc>
        <w:tc>
          <w:tcPr>
            <w:tcW w:type="dxa" w:w="3322"/>
          </w:tcPr>
          <w:p>
            <w:pPr>
              <w:pStyle w:val="null3"/>
            </w:pPr>
            <w:r>
              <w:rPr/>
              <w:t>所投产品为进口产品的，须提供所投产品厂家授权书或总代理商授权书（提供总代理商授权书的须出具有效授权权限的相关证明文件，证明文件须能显示产品制造厂家对所投产品授权链条的完整性），国产产品不需要提供。</w:t>
            </w:r>
          </w:p>
        </w:tc>
        <w:tc>
          <w:tcPr>
            <w:tcW w:type="dxa" w:w="1661"/>
          </w:tcPr>
          <w:p>
            <w:pPr>
              <w:pStyle w:val="null3"/>
            </w:pPr>
            <w:r>
              <w:rPr/>
              <w:t>1资格证明文件 投标人应提交的相关资格证明材料</w:t>
            </w:r>
          </w:p>
        </w:tc>
      </w:tr>
    </w:tbl>
    <w:p>
      <w:pPr>
        <w:pStyle w:val="null3"/>
        <w:outlineLvl w:val="2"/>
      </w:pPr>
      <w:r>
        <w:rPr>
          <w:sz w:val="28"/>
          <w:b/>
        </w:rPr>
        <w:t>4.3落实政府采购政策资格审查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 xml:space="preserve"> </w:t>
        <w:br/>
        <w:br w:type="page"/>
      </w:r>
    </w:p>
    <w:p>
      <w:pPr>
        <w:pStyle w:val="null3"/>
        <w:jc w:val="center"/>
        <w:outlineLvl w:val="1"/>
      </w:pPr>
      <w:r>
        <w:rPr>
          <w:sz w:val="36"/>
          <w:b/>
        </w:rPr>
        <w:t>第五章 评标办法</w:t>
      </w:r>
    </w:p>
    <w:p>
      <w:pPr>
        <w:pStyle w:val="null3"/>
        <w:outlineLvl w:val="2"/>
      </w:pPr>
      <w:r>
        <w:rPr>
          <w:sz w:val="28"/>
          <w:b/>
        </w:rPr>
        <w:t>5.1总则</w:t>
      </w:r>
    </w:p>
    <w:p>
      <w:pPr>
        <w:pStyle w:val="null3"/>
        <w:ind w:firstLine="480"/>
      </w:pPr>
      <w:r>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t xml:space="preserve"> 二、评标工作由代理机构负责组织，具体评标事务由采购人或代理机构依法组建的评标委员会负责。评标委员会由采购人代表和评审专家组成。</w:t>
      </w:r>
    </w:p>
    <w:p>
      <w:pPr>
        <w:pStyle w:val="null3"/>
        <w:ind w:firstLine="480"/>
      </w:pPr>
      <w:r>
        <w:rPr/>
        <w:t>三、评标工作应遵循公平、公正、科学及择优的原则，并以相同的评标程序和标准对待所有的投标人。</w:t>
      </w:r>
    </w:p>
    <w:p>
      <w:pPr>
        <w:pStyle w:val="null3"/>
        <w:ind w:firstLine="480"/>
      </w:pPr>
      <w:r>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sz w:val="28"/>
          <w:b/>
        </w:rPr>
        <w:t>5.2评标委员会</w:t>
      </w:r>
    </w:p>
    <w:p>
      <w:pPr>
        <w:pStyle w:val="null3"/>
        <w:ind w:firstLine="480"/>
      </w:pPr>
      <w:r>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t>四、评标委员会按照招标文件规定的评标程序、评标方法和标准进行评标，并独立履行下列职责：</w:t>
      </w:r>
    </w:p>
    <w:p>
      <w:pPr>
        <w:pStyle w:val="null3"/>
        <w:ind w:firstLine="480"/>
      </w:pPr>
      <w:r>
        <w:rPr/>
        <w:t>（一）熟悉和理解招标文件；</w:t>
      </w:r>
    </w:p>
    <w:p>
      <w:pPr>
        <w:pStyle w:val="null3"/>
        <w:ind w:firstLine="480"/>
      </w:pPr>
      <w:r>
        <w:rPr/>
        <w:t>（二）审查供应商投标文件等是否满足招标文件要求，并作出评价；</w:t>
      </w:r>
    </w:p>
    <w:p>
      <w:pPr>
        <w:pStyle w:val="null3"/>
        <w:ind w:firstLine="480"/>
      </w:pPr>
      <w:r>
        <w:rPr/>
        <w:t xml:space="preserve"> （三）根据需要要求采购组织单位对招标文件作出解释；根据需要要求供应商对投标文件有关事项作出澄清、说明或者更正；</w:t>
      </w:r>
    </w:p>
    <w:p>
      <w:pPr>
        <w:pStyle w:val="null3"/>
        <w:ind w:firstLine="480"/>
      </w:pPr>
      <w:r>
        <w:rPr/>
        <w:t>（四）推荐中标候选供应商，或者受采购人委托确定中标供应商；</w:t>
      </w:r>
    </w:p>
    <w:p>
      <w:pPr>
        <w:pStyle w:val="null3"/>
        <w:ind w:firstLine="480"/>
      </w:pPr>
      <w:r>
        <w:rPr/>
        <w:t>（五）起草评标报告并进行签署；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5.3 评标方法</w:t>
      </w:r>
    </w:p>
    <w:p>
      <w:pPr>
        <w:pStyle w:val="null3"/>
      </w:pPr>
      <w:r>
        <w:rPr/>
        <w:t>采购包1：综合评分法</w:t>
      </w:r>
    </w:p>
    <w:p>
      <w:pPr>
        <w:pStyle w:val="null3"/>
        <w:outlineLvl w:val="2"/>
      </w:pPr>
      <w:r>
        <w:rPr>
          <w:sz w:val="28"/>
          <w:b/>
        </w:rPr>
        <w:t>5.4评标程序</w:t>
      </w:r>
    </w:p>
    <w:p>
      <w:pPr>
        <w:pStyle w:val="null3"/>
        <w:outlineLvl w:val="3"/>
      </w:pPr>
      <w:r>
        <w:rPr>
          <w:sz w:val="24"/>
          <w:b/>
        </w:rPr>
        <w:t xml:space="preserve"> 5.4.1熟悉和理解招标文件和停止评标</w:t>
      </w:r>
    </w:p>
    <w:p>
      <w:pPr>
        <w:pStyle w:val="null3"/>
        <w:ind w:firstLine="480"/>
      </w:pPr>
      <w:r>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t>二、本招标文件有下列情形之一的，评标委员会应当停止评标：</w:t>
      </w:r>
    </w:p>
    <w:p>
      <w:pPr>
        <w:pStyle w:val="null3"/>
        <w:ind w:firstLine="480"/>
      </w:pPr>
      <w:r>
        <w:rPr/>
        <w:t>（一）招标文件的规定存在歧义、重大缺陷的；</w:t>
      </w:r>
    </w:p>
    <w:p>
      <w:pPr>
        <w:pStyle w:val="null3"/>
        <w:ind w:firstLine="480"/>
      </w:pPr>
      <w:r>
        <w:rPr/>
        <w:t>（二）招标文件明显以不合理条件对供应商实行差别待遇或者歧视待遇的；</w:t>
      </w:r>
    </w:p>
    <w:p>
      <w:pPr>
        <w:pStyle w:val="null3"/>
        <w:ind w:firstLine="480"/>
      </w:pPr>
      <w:r>
        <w:rPr/>
        <w:t>（三）采购项目属于国家规定的优先、强制采购范围，但是招标文件未依法体现优先、强制采购相关规定的；</w:t>
      </w:r>
    </w:p>
    <w:p>
      <w:pPr>
        <w:pStyle w:val="null3"/>
        <w:ind w:firstLine="480"/>
      </w:pPr>
      <w:r>
        <w:rPr/>
        <w:t>（四）采购项目属于政府采购促进中小企业发展的范围，但是招标文件未依法体现促进中小企业发展相关规定的；</w:t>
      </w:r>
    </w:p>
    <w:p>
      <w:pPr>
        <w:pStyle w:val="null3"/>
        <w:ind w:firstLine="480"/>
      </w:pPr>
      <w:r>
        <w:rPr/>
        <w:t xml:space="preserve"> （五）招标文件规定的评标方法是综合评分法、最低评标价法之外的评标方法，或者虽然名称为综合评分法、最低评标价法，但实际上不符合国家规定；</w:t>
      </w:r>
    </w:p>
    <w:p>
      <w:pPr>
        <w:pStyle w:val="null3"/>
        <w:ind w:firstLine="480"/>
      </w:pPr>
      <w:r>
        <w:rPr/>
        <w:t>（六）招标文件将投标人的资格条件列为评分因素的；</w:t>
      </w:r>
    </w:p>
    <w:p>
      <w:pPr>
        <w:pStyle w:val="null3"/>
        <w:ind w:firstLine="480"/>
      </w:pPr>
      <w:r>
        <w:rPr/>
        <w:t>（七）招标文件有违反国家其他有关强制性规定的情形。</w:t>
      </w:r>
    </w:p>
    <w:p>
      <w:pPr>
        <w:pStyle w:val="null3"/>
        <w:ind w:firstLine="480"/>
      </w:pPr>
      <w:r>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sz w:val="24"/>
          <w:b/>
        </w:rPr>
        <w:t>5.4.2符合性审查</w:t>
      </w:r>
    </w:p>
    <w:p>
      <w:pPr>
        <w:pStyle w:val="null3"/>
        <w:ind w:firstLine="480"/>
      </w:pPr>
      <w:r>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t xml:space="preserve"> 在符合性审查过程中，如果出现评标委员会成员意见不一致的情况，按照少数服从多数的原则确定，但不得违背政府采购基本原则和招标文件规定。</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标的清单</w:t>
            </w:r>
          </w:p>
        </w:tc>
      </w:tr>
      <w:tr>
        <w:tc>
          <w:tcPr>
            <w:tcW w:type="dxa" w:w="831"/>
          </w:tcPr>
          <w:p>
            <w:pPr>
              <w:pStyle w:val="null3"/>
            </w:pPr>
            <w:r>
              <w:rPr/>
              <w:t>2</w:t>
            </w:r>
          </w:p>
        </w:tc>
        <w:tc>
          <w:tcPr>
            <w:tcW w:type="dxa" w:w="2492"/>
          </w:tcPr>
          <w:p>
            <w:pPr>
              <w:pStyle w:val="null3"/>
            </w:pPr>
            <w:r>
              <w:rPr/>
              <w:t>供应商名称字章</w:t>
            </w:r>
          </w:p>
        </w:tc>
        <w:tc>
          <w:tcPr>
            <w:tcW w:type="dxa" w:w="3322"/>
          </w:tcPr>
          <w:p>
            <w:pPr>
              <w:pStyle w:val="null3"/>
            </w:pPr>
            <w:r>
              <w:rPr/>
              <w:t>供应商名称字章是否一致</w:t>
            </w:r>
          </w:p>
        </w:tc>
        <w:tc>
          <w:tcPr>
            <w:tcW w:type="dxa" w:w="1661"/>
          </w:tcPr>
          <w:p>
            <w:pPr>
              <w:pStyle w:val="null3"/>
            </w:pPr>
            <w:r>
              <w:rPr/>
              <w:t>开标一览表 中小企业声明函 商务应答表 4分项报价表 投标人应提交的相关资格证明材料 产品技术参数表 1资格证明文件 投标函 残疾人福利性单位声明函 标的清单 投标文件封面 3评审细则及标准相关对应内容 监狱企业的证明文件 2拒绝政府采购领域商业贿赂承诺书</w:t>
            </w:r>
          </w:p>
        </w:tc>
      </w:tr>
      <w:tr>
        <w:tc>
          <w:tcPr>
            <w:tcW w:type="dxa" w:w="831"/>
          </w:tcPr>
          <w:p>
            <w:pPr>
              <w:pStyle w:val="null3"/>
            </w:pPr>
            <w:r>
              <w:rPr/>
              <w:t>3</w:t>
            </w:r>
          </w:p>
        </w:tc>
        <w:tc>
          <w:tcPr>
            <w:tcW w:type="dxa" w:w="2492"/>
          </w:tcPr>
          <w:p>
            <w:pPr>
              <w:pStyle w:val="null3"/>
            </w:pPr>
            <w:r>
              <w:rPr/>
              <w:t>投标文件的签字盖章</w:t>
            </w:r>
          </w:p>
        </w:tc>
        <w:tc>
          <w:tcPr>
            <w:tcW w:type="dxa" w:w="3322"/>
          </w:tcPr>
          <w:p>
            <w:pPr>
              <w:pStyle w:val="null3"/>
            </w:pPr>
            <w:r>
              <w:rPr/>
              <w:t>投标文件的签字盖章是否按照磋商文件要求进行的</w:t>
            </w:r>
          </w:p>
        </w:tc>
        <w:tc>
          <w:tcPr>
            <w:tcW w:type="dxa" w:w="1661"/>
          </w:tcPr>
          <w:p>
            <w:pPr>
              <w:pStyle w:val="null3"/>
            </w:pPr>
            <w:r>
              <w:rPr/>
              <w:t>开标一览表 中小企业声明函 商务应答表 4分项报价表 投标人应提交的相关资格证明材料 产品技术参数表 1资格证明文件 投标函 残疾人福利性单位声明函 标的清单 投标文件封面 3评审细则及标准相关对应内容 监狱企业的证明文件 2拒绝政府采购领域商业贿赂承诺书</w:t>
            </w:r>
          </w:p>
        </w:tc>
      </w:tr>
      <w:tr>
        <w:tc>
          <w:tcPr>
            <w:tcW w:type="dxa" w:w="831"/>
          </w:tcPr>
          <w:p>
            <w:pPr>
              <w:pStyle w:val="null3"/>
            </w:pPr>
            <w:r>
              <w:rPr/>
              <w:t>4</w:t>
            </w:r>
          </w:p>
        </w:tc>
        <w:tc>
          <w:tcPr>
            <w:tcW w:type="dxa" w:w="2492"/>
          </w:tcPr>
          <w:p>
            <w:pPr>
              <w:pStyle w:val="null3"/>
            </w:pPr>
            <w:r>
              <w:rPr/>
              <w:t>投标有效期</w:t>
            </w:r>
          </w:p>
        </w:tc>
        <w:tc>
          <w:tcPr>
            <w:tcW w:type="dxa" w:w="3322"/>
          </w:tcPr>
          <w:p>
            <w:pPr>
              <w:pStyle w:val="null3"/>
            </w:pPr>
            <w:r>
              <w:rPr/>
              <w:t>投标有效期是否满足磋商最低要求90天的</w:t>
            </w:r>
          </w:p>
        </w:tc>
        <w:tc>
          <w:tcPr>
            <w:tcW w:type="dxa" w:w="1661"/>
          </w:tcPr>
          <w:p>
            <w:pPr>
              <w:pStyle w:val="null3"/>
            </w:pPr>
            <w:r>
              <w:rPr/>
              <w:t>投标函</w:t>
            </w:r>
          </w:p>
        </w:tc>
      </w:tr>
      <w:tr>
        <w:tc>
          <w:tcPr>
            <w:tcW w:type="dxa" w:w="831"/>
          </w:tcPr>
          <w:p>
            <w:pPr>
              <w:pStyle w:val="null3"/>
            </w:pPr>
            <w:r>
              <w:rPr/>
              <w:t>5</w:t>
            </w:r>
          </w:p>
        </w:tc>
        <w:tc>
          <w:tcPr>
            <w:tcW w:type="dxa" w:w="2492"/>
          </w:tcPr>
          <w:p>
            <w:pPr>
              <w:pStyle w:val="null3"/>
            </w:pPr>
            <w:r>
              <w:rPr/>
              <w:t>投标报价有效性</w:t>
            </w:r>
          </w:p>
        </w:tc>
        <w:tc>
          <w:tcPr>
            <w:tcW w:type="dxa" w:w="3322"/>
          </w:tcPr>
          <w:p>
            <w:pPr>
              <w:pStyle w:val="null3"/>
            </w:pPr>
            <w:r>
              <w:rPr/>
              <w:t>投标报价是否唯一有效的或磋商报价是否超过采购预算</w:t>
            </w:r>
          </w:p>
        </w:tc>
        <w:tc>
          <w:tcPr>
            <w:tcW w:type="dxa" w:w="1661"/>
          </w:tcPr>
          <w:p>
            <w:pPr>
              <w:pStyle w:val="null3"/>
            </w:pPr>
            <w:r>
              <w:rPr/>
              <w:t>开标一览表 投标函 标的清单</w:t>
            </w:r>
          </w:p>
        </w:tc>
      </w:tr>
      <w:tr>
        <w:tc>
          <w:tcPr>
            <w:tcW w:type="dxa" w:w="831"/>
          </w:tcPr>
          <w:p>
            <w:pPr>
              <w:pStyle w:val="null3"/>
            </w:pPr>
            <w:r>
              <w:rPr/>
              <w:t>6</w:t>
            </w:r>
          </w:p>
        </w:tc>
        <w:tc>
          <w:tcPr>
            <w:tcW w:type="dxa" w:w="2492"/>
          </w:tcPr>
          <w:p>
            <w:pPr>
              <w:pStyle w:val="null3"/>
            </w:pPr>
            <w:r>
              <w:rPr/>
              <w:t>技术、商务要求是否满足实质性要求</w:t>
            </w:r>
          </w:p>
        </w:tc>
        <w:tc>
          <w:tcPr>
            <w:tcW w:type="dxa" w:w="3322"/>
          </w:tcPr>
          <w:p>
            <w:pPr>
              <w:pStyle w:val="null3"/>
            </w:pPr>
            <w:r>
              <w:rPr/>
              <w:t>技术、商务要求是否满足实质性要求的</w:t>
            </w:r>
          </w:p>
        </w:tc>
        <w:tc>
          <w:tcPr>
            <w:tcW w:type="dxa" w:w="1661"/>
          </w:tcPr>
          <w:p>
            <w:pPr>
              <w:pStyle w:val="null3"/>
            </w:pPr>
            <w:r>
              <w:rPr/>
              <w:t>产品技术参数表 商务应答表</w:t>
            </w:r>
          </w:p>
        </w:tc>
      </w:tr>
    </w:tbl>
    <w:p>
      <w:pPr>
        <w:pStyle w:val="null3"/>
        <w:ind w:firstLine="480"/>
      </w:pPr>
      <w:r>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sz w:val="24"/>
          <w:b/>
        </w:rPr>
        <w:t>5.4.3解释、澄清有关问题</w:t>
      </w:r>
    </w:p>
    <w:p>
      <w:pPr>
        <w:pStyle w:val="null3"/>
        <w:ind w:firstLine="480"/>
      </w:pPr>
      <w:r>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t>（一）投标人投标文件中不响应招标文件规定的技术参数指标和商务应答；</w:t>
      </w:r>
    </w:p>
    <w:p>
      <w:pPr>
        <w:pStyle w:val="null3"/>
        <w:ind w:firstLine="480"/>
      </w:pPr>
      <w:r>
        <w:rPr/>
        <w:t>（二）投标人投标文件中未提供的证明其是否符合招标文件资格、符合性规定要求的相关材料。</w:t>
      </w:r>
    </w:p>
    <w:p>
      <w:pPr>
        <w:pStyle w:val="null3"/>
        <w:ind w:firstLine="480"/>
      </w:pPr>
      <w:r>
        <w:rPr/>
        <w:t>（三）投标人投标文件中的材料因印刷、影印等不清晰而难以辨认的。</w:t>
      </w:r>
    </w:p>
    <w:p>
      <w:pPr>
        <w:pStyle w:val="null3"/>
        <w:ind w:firstLine="480"/>
      </w:pPr>
      <w:r>
        <w:rPr/>
        <w:t>四、投标文件报价出现下列情况的，按以下原则处理：</w:t>
      </w:r>
    </w:p>
    <w:p>
      <w:pPr>
        <w:pStyle w:val="null3"/>
        <w:ind w:firstLine="480"/>
      </w:pPr>
      <w:r>
        <w:rPr/>
        <w:t>（一）投标文件中开标一览表（报价表）内容与投标文件中相应内容不一致的，以开标一览表（报价表）为准；</w:t>
      </w:r>
    </w:p>
    <w:p>
      <w:pPr>
        <w:pStyle w:val="null3"/>
        <w:ind w:firstLine="480"/>
      </w:pPr>
      <w:r>
        <w:rPr/>
        <w:t>（二）大写金额和小写金额不一致的，以大写金额为准，但大写金额出现文字错误，导致金额无法判断的除外；</w:t>
      </w:r>
    </w:p>
    <w:p>
      <w:pPr>
        <w:pStyle w:val="null3"/>
        <w:ind w:firstLine="480"/>
      </w:pPr>
      <w:r>
        <w:rPr/>
        <w:t>（三）单价金额小数点或者百分比有明显错位的，以开标一览表总价为准，并修改单价；</w:t>
      </w:r>
    </w:p>
    <w:p>
      <w:pPr>
        <w:pStyle w:val="null3"/>
        <w:ind w:firstLine="480"/>
      </w:pPr>
      <w:r>
        <w:rPr/>
        <w:t>（四）总价金额与按单价汇总金额不一致的，以单价金额计算结果为准。</w:t>
      </w:r>
    </w:p>
    <w:p>
      <w:pPr>
        <w:pStyle w:val="null3"/>
        <w:ind w:firstLine="480"/>
      </w:pPr>
      <w:r>
        <w:rPr/>
        <w:t xml:space="preserve"> 同时出现两种以上不一致的，按照前款规定的顺序修正。修正后的报价经投标人确认后产生约束力，投标人不确认的，其投标无效。</w:t>
      </w:r>
    </w:p>
    <w:p>
      <w:pPr>
        <w:pStyle w:val="null3"/>
        <w:ind w:firstLine="480"/>
      </w:pPr>
      <w:r>
        <w:rPr/>
        <w:t>五、对不同语言文本投标文件的解释发生异议的，以中文文本为准。</w:t>
      </w:r>
    </w:p>
    <w:p>
      <w:pPr>
        <w:pStyle w:val="null3"/>
        <w:ind w:firstLine="480"/>
      </w:pPr>
      <w:r>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t>评标委员会应当积极履行澄清、说明或者更正的职责，不得滥用权力。</w:t>
      </w:r>
    </w:p>
    <w:p>
      <w:pPr>
        <w:pStyle w:val="null3"/>
        <w:outlineLvl w:val="3"/>
      </w:pPr>
      <w:r>
        <w:rPr>
          <w:sz w:val="24"/>
          <w:b/>
        </w:rPr>
        <w:t>5.4.4比较与评价</w:t>
      </w:r>
    </w:p>
    <w:p>
      <w:pPr>
        <w:pStyle w:val="null3"/>
        <w:ind w:firstLine="480"/>
      </w:pPr>
      <w:r>
        <w:rPr/>
        <w:t xml:space="preserve"> 评标委员会应当按照招标文件规定的评标细则及标准，对符合性检查合格的投标文件进行商务和技术评估，综合比较和评价。</w:t>
      </w:r>
    </w:p>
    <w:p>
      <w:pPr>
        <w:pStyle w:val="null3"/>
        <w:outlineLvl w:val="3"/>
      </w:pPr>
      <w:r>
        <w:rPr>
          <w:sz w:val="24"/>
          <w:b/>
        </w:rPr>
        <w:t xml:space="preserve"> 5.4.5复核</w:t>
      </w:r>
    </w:p>
    <w:p>
      <w:pPr>
        <w:pStyle w:val="null3"/>
        <w:ind w:firstLine="480"/>
      </w:pPr>
      <w:r>
        <w:rPr/>
        <w:t xml:space="preserve"> 评分汇总结束后，评标委员会应当进行复核，对拟推荐为中标候选供应商、报价最低、投标文件被认定为无效等进行重点复核。</w:t>
      </w:r>
    </w:p>
    <w:p>
      <w:pPr>
        <w:pStyle w:val="null3"/>
        <w:ind w:firstLine="480"/>
      </w:pPr>
      <w:r>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t>评标结果汇总完成后，除下列情形外，任何人不得修改评标结果：</w:t>
      </w:r>
    </w:p>
    <w:p>
      <w:pPr>
        <w:pStyle w:val="null3"/>
        <w:ind w:firstLine="480"/>
      </w:pPr>
      <w:r>
        <w:rPr/>
        <w:t>（一）分值汇总计算错误的；</w:t>
      </w:r>
    </w:p>
    <w:p>
      <w:pPr>
        <w:pStyle w:val="null3"/>
        <w:ind w:firstLine="480"/>
      </w:pPr>
      <w:r>
        <w:rPr/>
        <w:t>（二）分项评分超出评分标准范围的；</w:t>
      </w:r>
    </w:p>
    <w:p>
      <w:pPr>
        <w:pStyle w:val="null3"/>
        <w:ind w:firstLine="480"/>
      </w:pPr>
      <w:r>
        <w:rPr/>
        <w:t>（三）评标委员会成员对客观评审因素评分不一致的；</w:t>
      </w:r>
    </w:p>
    <w:p>
      <w:pPr>
        <w:pStyle w:val="null3"/>
        <w:ind w:firstLine="480"/>
      </w:pPr>
      <w:r>
        <w:rPr/>
        <w:t>（四）经评标委员会认定评分畸高、畸低的。</w:t>
      </w:r>
    </w:p>
    <w:p>
      <w:pPr>
        <w:pStyle w:val="null3"/>
        <w:ind w:firstLine="480"/>
      </w:pPr>
      <w:r>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sz w:val="24"/>
          <w:b/>
        </w:rPr>
        <w:t>5.4.6确定中标候选人名单</w:t>
      </w:r>
    </w:p>
    <w:p>
      <w:pPr>
        <w:pStyle w:val="null3"/>
      </w:pPr>
      <w:r>
        <w:rPr/>
        <w:t>采购包1：</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sz w:val="24"/>
          <w:b/>
        </w:rPr>
        <w:t>5.4.7编写评标报告</w:t>
      </w:r>
    </w:p>
    <w:p>
      <w:pPr>
        <w:pStyle w:val="null3"/>
        <w:ind w:firstLine="480"/>
      </w:pPr>
      <w:r>
        <w:rPr/>
        <w:t>评标报告是评标委员会根据全体评标成员签字的评标记录和评标结果编写的报告，其主要内容包括：</w:t>
      </w:r>
    </w:p>
    <w:p>
      <w:pPr>
        <w:pStyle w:val="null3"/>
        <w:ind w:firstLine="480"/>
      </w:pPr>
      <w:r>
        <w:rPr/>
        <w:t>一、招标公告刊登的媒体名称、开标日期和地点；</w:t>
      </w:r>
    </w:p>
    <w:p>
      <w:pPr>
        <w:pStyle w:val="null3"/>
        <w:ind w:firstLine="480"/>
      </w:pPr>
      <w:r>
        <w:rPr/>
        <w:t>二、投标人名单和评标委员会成员名单；</w:t>
      </w:r>
    </w:p>
    <w:p>
      <w:pPr>
        <w:pStyle w:val="null3"/>
        <w:ind w:firstLine="480"/>
      </w:pPr>
      <w:r>
        <w:rPr/>
        <w:t>三、评审方法和标准；</w:t>
      </w:r>
    </w:p>
    <w:p>
      <w:pPr>
        <w:pStyle w:val="null3"/>
        <w:ind w:firstLine="480"/>
      </w:pPr>
      <w:r>
        <w:rPr/>
        <w:t>四、开标记录和评审情况及说明，包括投标无效供应商名单及原因；</w:t>
      </w:r>
    </w:p>
    <w:p>
      <w:pPr>
        <w:pStyle w:val="null3"/>
        <w:ind w:firstLine="480"/>
      </w:pPr>
      <w:r>
        <w:rPr/>
        <w:t>五、评标结果，确定的中标候选人名单或者经采购人委托直接确定的中标人</w:t>
      </w:r>
    </w:p>
    <w:p>
      <w:pPr>
        <w:pStyle w:val="null3"/>
        <w:ind w:firstLine="480"/>
      </w:pPr>
      <w:r>
        <w:rPr/>
        <w:t xml:space="preserve"> 六、其他需要说明的情况，包括评标过程中投标人根据评标委员会要求进行的澄清、说明或者补正，评标委员会成员的更换等；</w:t>
      </w:r>
    </w:p>
    <w:p>
      <w:pPr>
        <w:pStyle w:val="null3"/>
        <w:ind w:firstLine="480"/>
      </w:pPr>
      <w:r>
        <w:rPr/>
        <w:t>七、报价最高的投标人为中标候选人的，评标委员会应当对其报价的合理性予以特别说明。</w:t>
      </w:r>
    </w:p>
    <w:p>
      <w:pPr>
        <w:pStyle w:val="null3"/>
        <w:ind w:firstLine="480"/>
      </w:pPr>
      <w:r>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sz w:val="28"/>
          <w:b/>
        </w:rPr>
        <w:t>5.5评标争议处理规则</w:t>
      </w:r>
    </w:p>
    <w:p>
      <w:pPr>
        <w:pStyle w:val="null3"/>
        <w:ind w:firstLine="480"/>
      </w:pPr>
      <w:r>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sz w:val="28"/>
          <w:b/>
        </w:rPr>
        <w:t>5.6评标细则及标准</w:t>
      </w:r>
    </w:p>
    <w:p>
      <w:pPr>
        <w:pStyle w:val="null3"/>
        <w:ind w:firstLine="480"/>
      </w:pPr>
      <w:r>
        <w:rPr/>
        <w:t xml:space="preserve"> 一、评标委员会只对通过资格审查的投标文件，根据招标文件的要求采用相同的评标程序、评分办法及标准进行评价和比较。</w:t>
      </w:r>
    </w:p>
    <w:p>
      <w:pPr>
        <w:pStyle w:val="null3"/>
        <w:ind w:firstLine="480"/>
      </w:pPr>
      <w:r>
        <w:rPr/>
        <w:t>二、评标委员会成员应依据招标文件规定的评分标准和方法独立评审。</w:t>
      </w:r>
    </w:p>
    <w:p>
      <w:pPr>
        <w:pStyle w:val="null3"/>
        <w:outlineLvl w:val="3"/>
      </w:pPr>
      <w:r>
        <w:rPr>
          <w:sz w:val="24"/>
          <w:b/>
        </w:rPr>
        <w:t>5.6.1评分办法</w:t>
      </w:r>
    </w:p>
    <w:p>
      <w:pPr>
        <w:pStyle w:val="null3"/>
        <w:ind w:firstLine="480"/>
      </w:pPr>
      <w:r>
        <w:rPr/>
        <w:t>若采用综合评分法的，由评标委员会各成员对通过资格检查和符合性审查的投标人的投标文件进行独立评审。 投标报价得分=（评标基准价／投标报价）×100</w:t>
      </w:r>
    </w:p>
    <w:p>
      <w:pPr>
        <w:pStyle w:val="null3"/>
        <w:ind w:firstLine="480"/>
      </w:pPr>
      <w:r>
        <w:rPr/>
        <w:t>评标总得分＝F1×A1＋F2×A2＋……＋Fn×An</w:t>
      </w:r>
    </w:p>
    <w:p>
      <w:pPr>
        <w:pStyle w:val="null3"/>
        <w:ind w:firstLine="480"/>
      </w:pPr>
      <w:r>
        <w:rPr/>
        <w:t>F1、F2……Fn分别为各项评审因素的得分；</w:t>
      </w:r>
    </w:p>
    <w:p>
      <w:pPr>
        <w:pStyle w:val="null3"/>
        <w:ind w:firstLine="480"/>
      </w:pPr>
      <w:r>
        <w:rPr/>
        <w:t>A1、A2、……An 分别为各项评审因素所占的权重（A1＋A2＋……＋An＝1）。</w:t>
      </w:r>
    </w:p>
    <w:p>
      <w:pPr>
        <w:pStyle w:val="null3"/>
        <w:ind w:firstLine="480"/>
      </w:pPr>
      <w:r>
        <w:rPr/>
        <w:t>评标过程中，不得去掉报价中的最高报价和最低报价。</w:t>
      </w:r>
    </w:p>
    <w:p>
      <w:pPr>
        <w:pStyle w:val="null3"/>
        <w:ind w:firstLine="480"/>
      </w:pPr>
      <w:r>
        <w:rPr/>
        <w:t>因落实政府采购政策进行价格调整的，以调整后的价格计算评标基准价和投标报价。</w:t>
      </w:r>
    </w:p>
    <w:p>
      <w:pPr>
        <w:pStyle w:val="null3"/>
        <w:outlineLvl w:val="3"/>
      </w:pPr>
      <w:r>
        <w:rPr>
          <w:sz w:val="24"/>
          <w:b/>
        </w:rPr>
        <w:t>5.6.2评分标准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详细评审70.0000分</w:t>
            </w:r>
          </w:p>
          <w:p>
            <w:pPr>
              <w:pStyle w:val="null3"/>
            </w:pPr>
            <w:r>
              <w:rPr/>
              <w:t>报价得分30.0000分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技术响应</w:t>
            </w:r>
          </w:p>
        </w:tc>
        <w:tc>
          <w:tcPr>
            <w:tcW w:type="dxa" w:w="2492"/>
          </w:tcPr>
          <w:p>
            <w:pPr>
              <w:pStyle w:val="null3"/>
            </w:pPr>
            <w:r>
              <w:rPr/>
              <w:t>投标产品完全符合、响应招标文件要求，没有负偏离的得30分，参数中每有一条技术指标负偏离扣2分，扣完为止。满分30分。赋分必须以佐证材料提供的技术参数为准。 注：投标供应商须在技术响应表中对技术参数进行回应，并尽可能多的提供相关技术参数佐证材料（佐证材料包括但不限于：经厂家确认的产品彩页、检测报告、官网截图等证明材料，佐证材料须包含产品的技术参数，并按要求放入投标文件正本中）予以证明其技术参数的响应性。供应商自行承担因证明材料不全而被视为技术参数偏离的风险。</w:t>
            </w:r>
          </w:p>
        </w:tc>
        <w:tc>
          <w:tcPr>
            <w:tcW w:type="dxa" w:w="831"/>
          </w:tcPr>
          <w:p>
            <w:pPr>
              <w:pStyle w:val="null3"/>
              <w:jc w:val="right"/>
            </w:pPr>
            <w:r>
              <w:rPr/>
              <w:t>30.0000</w:t>
            </w:r>
          </w:p>
        </w:tc>
        <w:tc>
          <w:tcPr>
            <w:tcW w:type="dxa" w:w="831"/>
          </w:tcPr>
          <w:p>
            <w:pPr>
              <w:pStyle w:val="null3"/>
            </w:pPr>
            <w:r>
              <w:rPr/>
              <w:t>主观</w:t>
            </w:r>
          </w:p>
        </w:tc>
        <w:tc>
          <w:tcPr>
            <w:tcW w:type="dxa" w:w="1661"/>
          </w:tcPr>
          <w:p>
            <w:pPr>
              <w:pStyle w:val="null3"/>
            </w:pPr>
            <w:r>
              <w:rPr/>
              <w:t>产品技术参数表</w:t>
            </w:r>
          </w:p>
          <w:p>
            <w:pPr>
              <w:pStyle w:val="null3"/>
            </w:pPr>
            <w:r>
              <w:rPr/>
              <w:t>商务应答表</w:t>
            </w:r>
          </w:p>
        </w:tc>
      </w:tr>
      <w:tr>
        <w:tc>
          <w:tcPr>
            <w:tcW w:type="dxa" w:w="831"/>
            <w:vMerge/>
          </w:tcPr>
          <w:p/>
        </w:tc>
        <w:tc>
          <w:tcPr>
            <w:tcW w:type="dxa" w:w="1661"/>
          </w:tcPr>
          <w:p>
            <w:pPr>
              <w:pStyle w:val="null3"/>
            </w:pPr>
            <w:r>
              <w:rPr/>
              <w:t>产品配置</w:t>
            </w:r>
          </w:p>
        </w:tc>
        <w:tc>
          <w:tcPr>
            <w:tcW w:type="dxa" w:w="2492"/>
          </w:tcPr>
          <w:p>
            <w:pPr>
              <w:pStyle w:val="null3"/>
            </w:pPr>
            <w:r>
              <w:rPr/>
              <w:t>根据产品配置清单、性能、行业使用广泛性进行评审：产品配置清单详细完整、行业使用广泛好，计4.1-7分；产品配置清单详细较完整、行业使用广泛一般，计2.1-4分；产品配置清单详细不全、行业使用广泛差，计0.1-2分；未提供不计分。</w:t>
            </w:r>
          </w:p>
        </w:tc>
        <w:tc>
          <w:tcPr>
            <w:tcW w:type="dxa" w:w="831"/>
          </w:tcPr>
          <w:p>
            <w:pPr>
              <w:pStyle w:val="null3"/>
              <w:jc w:val="right"/>
            </w:pPr>
            <w:r>
              <w:rPr/>
              <w:t>7.0000</w:t>
            </w:r>
          </w:p>
        </w:tc>
        <w:tc>
          <w:tcPr>
            <w:tcW w:type="dxa" w:w="831"/>
          </w:tcPr>
          <w:p>
            <w:pPr>
              <w:pStyle w:val="null3"/>
            </w:pPr>
            <w:r>
              <w:rPr/>
              <w:t>主观</w:t>
            </w:r>
          </w:p>
        </w:tc>
        <w:tc>
          <w:tcPr>
            <w:tcW w:type="dxa" w:w="1661"/>
          </w:tcPr>
          <w:p>
            <w:pPr>
              <w:pStyle w:val="null3"/>
            </w:pPr>
            <w:r>
              <w:rPr/>
              <w:t>3评审细则及标准相关对应内容</w:t>
            </w:r>
          </w:p>
        </w:tc>
      </w:tr>
      <w:tr>
        <w:tc>
          <w:tcPr>
            <w:tcW w:type="dxa" w:w="831"/>
            <w:vMerge/>
          </w:tcPr>
          <w:p/>
        </w:tc>
        <w:tc>
          <w:tcPr>
            <w:tcW w:type="dxa" w:w="1661"/>
          </w:tcPr>
          <w:p>
            <w:pPr>
              <w:pStyle w:val="null3"/>
            </w:pPr>
            <w:r>
              <w:rPr/>
              <w:t>技术工艺</w:t>
            </w:r>
          </w:p>
        </w:tc>
        <w:tc>
          <w:tcPr>
            <w:tcW w:type="dxa" w:w="2492"/>
          </w:tcPr>
          <w:p>
            <w:pPr>
              <w:pStyle w:val="null3"/>
            </w:pPr>
            <w:r>
              <w:rPr/>
              <w:t>根据所投产品技术工艺，性能，使用效果，质量等进行评审：技术工艺先进，性能稳定，具有较好的使用效果、质量稳定可靠，计4.1-7分； 技术工艺良好，性能较稳定，使用效果良好、质量稳定一般，计2.1-4分； 技术工艺差，性能稳定性差，使用效果差、、质量稳定差，计0.1-2分； 未提供不计分。</w:t>
            </w:r>
          </w:p>
        </w:tc>
        <w:tc>
          <w:tcPr>
            <w:tcW w:type="dxa" w:w="831"/>
          </w:tcPr>
          <w:p>
            <w:pPr>
              <w:pStyle w:val="null3"/>
              <w:jc w:val="right"/>
            </w:pPr>
            <w:r>
              <w:rPr/>
              <w:t>7.0000</w:t>
            </w:r>
          </w:p>
        </w:tc>
        <w:tc>
          <w:tcPr>
            <w:tcW w:type="dxa" w:w="831"/>
          </w:tcPr>
          <w:p>
            <w:pPr>
              <w:pStyle w:val="null3"/>
            </w:pPr>
            <w:r>
              <w:rPr/>
              <w:t>客观</w:t>
            </w:r>
          </w:p>
        </w:tc>
        <w:tc>
          <w:tcPr>
            <w:tcW w:type="dxa" w:w="1661"/>
          </w:tcPr>
          <w:p>
            <w:pPr>
              <w:pStyle w:val="null3"/>
            </w:pPr>
            <w:r>
              <w:rPr/>
              <w:t>3评审细则及标准相关对应内容</w:t>
            </w:r>
          </w:p>
        </w:tc>
      </w:tr>
      <w:tr>
        <w:tc>
          <w:tcPr>
            <w:tcW w:type="dxa" w:w="831"/>
            <w:vMerge/>
          </w:tcPr>
          <w:p/>
        </w:tc>
        <w:tc>
          <w:tcPr>
            <w:tcW w:type="dxa" w:w="1661"/>
          </w:tcPr>
          <w:p>
            <w:pPr>
              <w:pStyle w:val="null3"/>
            </w:pPr>
            <w:r>
              <w:rPr/>
              <w:t>生产、供货组织安排</w:t>
            </w:r>
          </w:p>
        </w:tc>
        <w:tc>
          <w:tcPr>
            <w:tcW w:type="dxa" w:w="2492"/>
          </w:tcPr>
          <w:p>
            <w:pPr>
              <w:pStyle w:val="null3"/>
            </w:pPr>
            <w:r>
              <w:rPr/>
              <w:t>供应商提供针对本项目的生产、供货组织安排，安装调试以及详细的人员、财力调配、运输、派送等方案措施：方案措施完整、合理、可执行性强，计3.1-5分；方案措施较完整、较合理、执行性一般，计1.1-3分； 方案措施简单、不合理、执行性差，计0.1-1分；未提供不计分。</w:t>
            </w:r>
          </w:p>
        </w:tc>
        <w:tc>
          <w:tcPr>
            <w:tcW w:type="dxa" w:w="831"/>
          </w:tcPr>
          <w:p>
            <w:pPr>
              <w:pStyle w:val="null3"/>
              <w:jc w:val="right"/>
            </w:pPr>
            <w:r>
              <w:rPr/>
              <w:t>5.0000</w:t>
            </w:r>
          </w:p>
        </w:tc>
        <w:tc>
          <w:tcPr>
            <w:tcW w:type="dxa" w:w="831"/>
          </w:tcPr>
          <w:p>
            <w:pPr>
              <w:pStyle w:val="null3"/>
            </w:pPr>
            <w:r>
              <w:rPr/>
              <w:t>客观</w:t>
            </w:r>
          </w:p>
        </w:tc>
        <w:tc>
          <w:tcPr>
            <w:tcW w:type="dxa" w:w="1661"/>
          </w:tcPr>
          <w:p>
            <w:pPr>
              <w:pStyle w:val="null3"/>
            </w:pPr>
            <w:r>
              <w:rPr/>
              <w:t>3评审细则及标准相关对应内容</w:t>
            </w:r>
          </w:p>
        </w:tc>
      </w:tr>
      <w:tr>
        <w:tc>
          <w:tcPr>
            <w:tcW w:type="dxa" w:w="831"/>
            <w:vMerge/>
          </w:tcPr>
          <w:p/>
        </w:tc>
        <w:tc>
          <w:tcPr>
            <w:tcW w:type="dxa" w:w="1661"/>
          </w:tcPr>
          <w:p>
            <w:pPr>
              <w:pStyle w:val="null3"/>
            </w:pPr>
            <w:r>
              <w:rPr/>
              <w:t>验收方案</w:t>
            </w:r>
          </w:p>
        </w:tc>
        <w:tc>
          <w:tcPr>
            <w:tcW w:type="dxa" w:w="2492"/>
          </w:tcPr>
          <w:p>
            <w:pPr>
              <w:pStyle w:val="null3"/>
            </w:pPr>
            <w:r>
              <w:rPr/>
              <w:t>供应商提供针对本项目具体详细可行的验收方案：方案完整、合理、具体有效、便于实施，计2.1-4分；方案不够完整、具体，计0.1-2分；未提供不计分。</w:t>
            </w:r>
          </w:p>
        </w:tc>
        <w:tc>
          <w:tcPr>
            <w:tcW w:type="dxa" w:w="831"/>
          </w:tcPr>
          <w:p>
            <w:pPr>
              <w:pStyle w:val="null3"/>
              <w:jc w:val="right"/>
            </w:pPr>
            <w:r>
              <w:rPr/>
              <w:t>4.0000</w:t>
            </w:r>
          </w:p>
        </w:tc>
        <w:tc>
          <w:tcPr>
            <w:tcW w:type="dxa" w:w="831"/>
          </w:tcPr>
          <w:p>
            <w:pPr>
              <w:pStyle w:val="null3"/>
            </w:pPr>
            <w:r>
              <w:rPr/>
              <w:t>客观</w:t>
            </w:r>
          </w:p>
        </w:tc>
        <w:tc>
          <w:tcPr>
            <w:tcW w:type="dxa" w:w="1661"/>
          </w:tcPr>
          <w:p>
            <w:pPr>
              <w:pStyle w:val="null3"/>
            </w:pPr>
            <w:r>
              <w:rPr/>
              <w:t>3评审细则及标准相关对应内容</w:t>
            </w:r>
          </w:p>
        </w:tc>
      </w:tr>
      <w:tr>
        <w:tc>
          <w:tcPr>
            <w:tcW w:type="dxa" w:w="831"/>
            <w:vMerge/>
          </w:tcPr>
          <w:p/>
        </w:tc>
        <w:tc>
          <w:tcPr>
            <w:tcW w:type="dxa" w:w="1661"/>
          </w:tcPr>
          <w:p>
            <w:pPr>
              <w:pStyle w:val="null3"/>
            </w:pPr>
            <w:r>
              <w:rPr/>
              <w:t>质保期</w:t>
            </w:r>
          </w:p>
        </w:tc>
        <w:tc>
          <w:tcPr>
            <w:tcW w:type="dxa" w:w="2492"/>
          </w:tcPr>
          <w:p>
            <w:pPr>
              <w:pStyle w:val="null3"/>
            </w:pPr>
            <w:r>
              <w:rPr/>
              <w:t>质保期必须满足招标要求，在此基础上每增加6个月质保得1分，最多得2分。</w:t>
            </w:r>
          </w:p>
        </w:tc>
        <w:tc>
          <w:tcPr>
            <w:tcW w:type="dxa" w:w="831"/>
          </w:tcPr>
          <w:p>
            <w:pPr>
              <w:pStyle w:val="null3"/>
              <w:jc w:val="right"/>
            </w:pPr>
            <w:r>
              <w:rPr/>
              <w:t>2.0000</w:t>
            </w:r>
          </w:p>
        </w:tc>
        <w:tc>
          <w:tcPr>
            <w:tcW w:type="dxa" w:w="831"/>
          </w:tcPr>
          <w:p>
            <w:pPr>
              <w:pStyle w:val="null3"/>
            </w:pPr>
            <w:r>
              <w:rPr/>
              <w:t>客观</w:t>
            </w:r>
          </w:p>
        </w:tc>
        <w:tc>
          <w:tcPr>
            <w:tcW w:type="dxa" w:w="1661"/>
          </w:tcPr>
          <w:p>
            <w:pPr>
              <w:pStyle w:val="null3"/>
            </w:pPr>
            <w:r>
              <w:rPr/>
              <w:t>3评审细则及标准相关对应内容</w:t>
            </w:r>
          </w:p>
        </w:tc>
      </w:tr>
      <w:tr>
        <w:tc>
          <w:tcPr>
            <w:tcW w:type="dxa" w:w="831"/>
            <w:vMerge/>
          </w:tcPr>
          <w:p/>
        </w:tc>
        <w:tc>
          <w:tcPr>
            <w:tcW w:type="dxa" w:w="1661"/>
          </w:tcPr>
          <w:p>
            <w:pPr>
              <w:pStyle w:val="null3"/>
            </w:pPr>
            <w:r>
              <w:rPr/>
              <w:t>售后服务方案</w:t>
            </w:r>
          </w:p>
        </w:tc>
        <w:tc>
          <w:tcPr>
            <w:tcW w:type="dxa" w:w="2492"/>
          </w:tcPr>
          <w:p>
            <w:pPr>
              <w:pStyle w:val="null3"/>
            </w:pPr>
            <w:r>
              <w:rPr/>
              <w:t>供应商针对本项目提供的售后服务方案，包含但不限于：日常维护，应急响应速度及措施，备品备件计划，质保范围等：售后服务方案完整、明确、具体、补救措施切实可行，计5分；售后服务方案不够具体详细，计3分；售后服务方案不合理，计1分；未提供不计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3评审细则及标准相关对应内容</w:t>
            </w:r>
          </w:p>
        </w:tc>
      </w:tr>
      <w:tr>
        <w:tc>
          <w:tcPr>
            <w:tcW w:type="dxa" w:w="831"/>
            <w:vMerge/>
          </w:tcPr>
          <w:p/>
        </w:tc>
        <w:tc>
          <w:tcPr>
            <w:tcW w:type="dxa" w:w="1661"/>
          </w:tcPr>
          <w:p>
            <w:pPr>
              <w:pStyle w:val="null3"/>
            </w:pPr>
            <w:r>
              <w:rPr/>
              <w:t>培训措施</w:t>
            </w:r>
          </w:p>
        </w:tc>
        <w:tc>
          <w:tcPr>
            <w:tcW w:type="dxa" w:w="2492"/>
          </w:tcPr>
          <w:p>
            <w:pPr>
              <w:pStyle w:val="null3"/>
            </w:pPr>
            <w:r>
              <w:rPr/>
              <w:t>供应商针对本项目提供完整、可行的培训方案，明确具体培训方式、时间、地点、人员以及培训内容情况：培训方案完整、实施性强得3.1-5分；培训方案不明确得1.1-3分；培训方案不合理0.1-1分；未提供不得分。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3评审细则及标准相关对应内容</w:t>
            </w:r>
          </w:p>
        </w:tc>
      </w:tr>
      <w:tr>
        <w:tc>
          <w:tcPr>
            <w:tcW w:type="dxa" w:w="831"/>
            <w:vMerge/>
          </w:tcPr>
          <w:p/>
        </w:tc>
        <w:tc>
          <w:tcPr>
            <w:tcW w:type="dxa" w:w="1661"/>
          </w:tcPr>
          <w:p>
            <w:pPr>
              <w:pStyle w:val="null3"/>
            </w:pPr>
            <w:r>
              <w:rPr/>
              <w:t>业绩</w:t>
            </w:r>
          </w:p>
        </w:tc>
        <w:tc>
          <w:tcPr>
            <w:tcW w:type="dxa" w:w="2492"/>
          </w:tcPr>
          <w:p>
            <w:pPr>
              <w:pStyle w:val="null3"/>
            </w:pPr>
            <w:r>
              <w:rPr/>
              <w:t>供应商提供2021年1月1日以来与本项目类似项目业绩，每提供一个业绩得1分，最高得5分。须提供合同复印件复印件加盖公章装订在投标文件中，以签订合同时间为准。</w:t>
            </w:r>
          </w:p>
        </w:tc>
        <w:tc>
          <w:tcPr>
            <w:tcW w:type="dxa" w:w="831"/>
          </w:tcPr>
          <w:p>
            <w:pPr>
              <w:pStyle w:val="null3"/>
              <w:jc w:val="right"/>
            </w:pPr>
            <w:r>
              <w:rPr/>
              <w:t>5.0000</w:t>
            </w:r>
          </w:p>
        </w:tc>
        <w:tc>
          <w:tcPr>
            <w:tcW w:type="dxa" w:w="831"/>
          </w:tcPr>
          <w:p>
            <w:pPr>
              <w:pStyle w:val="null3"/>
            </w:pPr>
            <w:r>
              <w:rPr/>
              <w:t>客观</w:t>
            </w:r>
          </w:p>
        </w:tc>
        <w:tc>
          <w:tcPr>
            <w:tcW w:type="dxa" w:w="1661"/>
          </w:tcPr>
          <w:p>
            <w:pPr>
              <w:pStyle w:val="null3"/>
            </w:pPr>
            <w:r>
              <w:rPr/>
              <w:t>3评审细则及标准相关对应内容</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价格分统一采用低价优先法计算，即满足招标文件要求且投标价格最低的投标报价为评标基准价，其价格分为满分。其他投标人的价格分统一按照下列公式计算：投标报价得分=(评标基准价／投标报价)×30。计算分数时四舍五入取小数点后两位</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开标一览表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开标一览表 中小企业声明函 残疾人福利性单位声明函 标的清单 监狱企业的证明文件</w:t>
            </w:r>
          </w:p>
        </w:tc>
      </w:tr>
    </w:tbl>
    <w:p>
      <w:pPr>
        <w:pStyle w:val="null3"/>
        <w:ind w:firstLine="480"/>
      </w:pPr>
      <w:r>
        <w:rPr/>
        <w:t>说明：</w:t>
      </w:r>
    </w:p>
    <w:p>
      <w:pPr>
        <w:pStyle w:val="null3"/>
        <w:ind w:firstLine="480"/>
      </w:pPr>
      <w:r>
        <w:rPr/>
        <w:t>1、评分的取值按四舍五入法，保留小数点后两位；</w:t>
      </w:r>
    </w:p>
    <w:p>
      <w:pPr>
        <w:pStyle w:val="null3"/>
        <w:ind w:firstLine="480"/>
      </w:pPr>
      <w:r>
        <w:rPr/>
        <w:t>2、评分标准中要求提供复印件的证明材料须清晰可辨。</w:t>
      </w:r>
    </w:p>
    <w:p>
      <w:pPr>
        <w:pStyle w:val="null3"/>
        <w:ind w:firstLine="480"/>
      </w:pPr>
      <w:r>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sz w:val="28"/>
          <w:b/>
        </w:rPr>
        <w:t>5.7废标</w:t>
      </w:r>
    </w:p>
    <w:p>
      <w:pPr>
        <w:pStyle w:val="null3"/>
        <w:ind w:firstLine="480"/>
      </w:pPr>
      <w:r>
        <w:rPr/>
        <w:t>本次政府采购活动中，出现下列情形之一的，予以废标：</w:t>
      </w:r>
    </w:p>
    <w:p>
      <w:pPr>
        <w:pStyle w:val="null3"/>
        <w:ind w:firstLine="480"/>
      </w:pPr>
      <w:r>
        <w:rPr/>
        <w:t>一、符合专业条件的投标人或者对招标文件作实质响应的投标人不足三家的；</w:t>
      </w:r>
    </w:p>
    <w:p>
      <w:pPr>
        <w:pStyle w:val="null3"/>
        <w:ind w:firstLine="480"/>
      </w:pPr>
      <w:r>
        <w:rPr/>
        <w:t>二、出现影响采购公正的违法、违规行为的；</w:t>
      </w:r>
    </w:p>
    <w:p>
      <w:pPr>
        <w:pStyle w:val="null3"/>
        <w:ind w:firstLine="480"/>
      </w:pPr>
      <w:r>
        <w:rPr/>
        <w:t>三、投标人的报价均超过了采购预算，采购人不能支付的；</w:t>
      </w:r>
    </w:p>
    <w:p>
      <w:pPr>
        <w:pStyle w:val="null3"/>
        <w:ind w:firstLine="480"/>
      </w:pPr>
      <w:r>
        <w:rPr/>
        <w:t>四、因重大变故，采购任务取消的；</w:t>
      </w:r>
    </w:p>
    <w:p>
      <w:pPr>
        <w:pStyle w:val="null3"/>
        <w:ind w:firstLine="480"/>
      </w:pPr>
      <w:r>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sz w:val="28"/>
          <w:b/>
        </w:rPr>
        <w:t>5.8定标</w:t>
      </w:r>
    </w:p>
    <w:p>
      <w:pPr>
        <w:pStyle w:val="null3"/>
        <w:outlineLvl w:val="3"/>
      </w:pPr>
      <w:r>
        <w:rPr>
          <w:sz w:val="24"/>
          <w:b/>
        </w:rPr>
        <w:t>5.8.1 定标原则</w:t>
      </w:r>
    </w:p>
    <w:p>
      <w:pPr>
        <w:pStyle w:val="null3"/>
      </w:pPr>
      <w:r>
        <w:rPr/>
        <w:t>采购人在评标报告确定的中标候选人名单中按顺序确定1名中标人。中标候选人并列的，由采购人采取随机抽取的方式确定中标人。</w:t>
      </w:r>
    </w:p>
    <w:p>
      <w:pPr>
        <w:pStyle w:val="null3"/>
        <w:outlineLvl w:val="3"/>
      </w:pPr>
      <w:r>
        <w:rPr>
          <w:sz w:val="24"/>
          <w:b/>
        </w:rPr>
        <w:t>5.8.2定标程序</w:t>
      </w:r>
    </w:p>
    <w:p>
      <w:pPr>
        <w:pStyle w:val="null3"/>
      </w:pPr>
      <w:r>
        <w:rPr/>
        <w:t>一、评标委员会在项目电子化交易系统中编制评标情况，生成评标报告。</w:t>
      </w:r>
    </w:p>
    <w:p>
      <w:pPr>
        <w:pStyle w:val="null3"/>
      </w:pPr>
      <w:r>
        <w:rPr/>
        <w:t>二、代理机构在评标结束之日起2个工作日内将评标报告送采购人。</w:t>
      </w:r>
    </w:p>
    <w:p>
      <w:pPr>
        <w:pStyle w:val="null3"/>
      </w:pPr>
      <w:r>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t>四、根据确定的中标供应商，代理机构在陕西省政府采购网上发布中标结果公告，通过项目电子化交易系统向中标供应商发出中标通知书。</w:t>
      </w:r>
    </w:p>
    <w:p>
      <w:pPr>
        <w:pStyle w:val="null3"/>
        <w:outlineLvl w:val="2"/>
      </w:pPr>
      <w:r>
        <w:rPr>
          <w:sz w:val="28"/>
          <w:b/>
        </w:rPr>
        <w:t>5.9评审专家在政府采购活动中承担以下义务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5.10评审专家在政府采购活动中应当遵守以下工作纪律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（六）服从评审现场采购组织单位的现场秩序管理，接受评审现场监督人员的合法监督。</w:t>
      </w:r>
    </w:p>
    <w:p>
      <w:pPr>
        <w:pStyle w:val="null3"/>
        <w:ind w:firstLine="480"/>
      </w:pPr>
      <w:r>
        <w:rPr/>
        <w:t>（七）遵守有关廉洁自律规定，不得私下接触供应商， 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第六章 投标文件格式</w:t>
      </w:r>
    </w:p>
    <w:p>
      <w:pPr>
        <w:pStyle w:val="null3"/>
      </w:pPr>
      <w:r>
        <w:rPr/>
        <w:t>采购包1：</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详见附件：投标人应提交的相关资格证明材料</w:t>
      </w:r>
    </w:p>
    <w:p>
      <w:pPr>
        <w:pStyle w:val="null3"/>
        <w:ind w:firstLine="960"/>
      </w:pPr>
      <w:r>
        <w:rPr/>
        <w:t>详见附件：产品技术参数表</w:t>
      </w:r>
    </w:p>
    <w:p>
      <w:pPr>
        <w:pStyle w:val="null3"/>
        <w:ind w:firstLine="960"/>
      </w:pPr>
      <w:r>
        <w:rPr/>
        <w:t>详见附件：商务应答表</w:t>
      </w:r>
    </w:p>
    <w:p>
      <w:pPr>
        <w:pStyle w:val="null3"/>
        <w:ind w:firstLine="960"/>
      </w:pPr>
      <w:r>
        <w:rPr/>
        <w:t>详见附件：开标一览表</w:t>
      </w:r>
    </w:p>
    <w:p>
      <w:pPr>
        <w:pStyle w:val="null3"/>
        <w:ind w:firstLine="960"/>
      </w:pPr>
      <w:r>
        <w:rPr/>
        <w:t>详见附件：标的清单</w:t>
      </w:r>
    </w:p>
    <w:p>
      <w:pPr>
        <w:pStyle w:val="null3"/>
        <w:ind w:firstLine="960"/>
      </w:pPr>
      <w:r>
        <w:rPr/>
        <w:t>详见附件：2拒绝政府采购领域商业贿赂承诺书</w:t>
      </w:r>
    </w:p>
    <w:p>
      <w:pPr>
        <w:pStyle w:val="null3"/>
        <w:ind w:firstLine="960"/>
      </w:pPr>
      <w:r>
        <w:rPr/>
        <w:t>详见附件：4分项报价表</w:t>
      </w:r>
    </w:p>
    <w:p>
      <w:pPr>
        <w:pStyle w:val="null3"/>
        <w:ind w:firstLine="960"/>
      </w:pPr>
      <w:r>
        <w:rPr/>
        <w:t>详见附件：3评审细则及标准相关对应内容</w:t>
      </w:r>
    </w:p>
    <w:p>
      <w:pPr>
        <w:pStyle w:val="null3"/>
        <w:ind w:firstLine="960"/>
      </w:pPr>
      <w:r>
        <w:rPr/>
        <w:t>详见附件：1资格证明文件</w:t>
      </w:r>
    </w:p>
    <w:p>
      <w:pPr>
        <w:pStyle w:val="null3"/>
      </w:pPr>
      <w:r>
        <w:rPr/>
        <w:t xml:space="preserve"> </w:t>
        <w:br/>
        <w:br w:type="page"/>
      </w:r>
    </w:p>
    <w:p>
      <w:pPr>
        <w:pStyle w:val="null3"/>
        <w:jc w:val="center"/>
        <w:outlineLvl w:val="1"/>
      </w:pPr>
      <w:r>
        <w:rPr>
          <w:sz w:val="36"/>
          <w:b/>
        </w:rPr>
        <w:t>第七章 拟签订合同文本</w:t>
      </w:r>
    </w:p>
    <w:p>
      <w:pPr>
        <w:pStyle w:val="null3"/>
      </w:pPr>
      <w:r>
        <w:rPr/>
        <w:t>详见附件：合同模板.DCX.docx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