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硒鼓类耗材采购项目(二次)</w:t>
      </w:r>
    </w:p>
    <w:p>
      <w:pPr>
        <w:pStyle w:val="null3"/>
        <w:jc w:val="center"/>
        <w:outlineLvl w:val="2"/>
      </w:pPr>
      <w:r>
        <w:rPr>
          <w:sz w:val="28"/>
          <w:b/>
        </w:rPr>
        <w:t>采购项目编号：</w:t>
      </w:r>
      <w:r>
        <w:rPr>
          <w:sz w:val="28"/>
          <w:b/>
        </w:rPr>
        <w:t>KY2024-3-206.1B1</w:t>
      </w:r>
      <w:r>
        <w:br/>
      </w:r>
      <w:r>
        <w:br/>
      </w:r>
      <w:r>
        <w:br/>
      </w:r>
    </w:p>
    <w:p>
      <w:pPr>
        <w:pStyle w:val="null3"/>
        <w:jc w:val="center"/>
        <w:outlineLvl w:val="2"/>
      </w:pPr>
      <w:r>
        <w:rPr>
          <w:sz w:val="28"/>
          <w:b/>
        </w:rPr>
        <w:t>西北妇女儿童医院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西北妇女儿童医院</w:t>
      </w:r>
      <w:r>
        <w:rPr/>
        <w:t>委托，拟对</w:t>
      </w:r>
      <w:r>
        <w:rPr/>
        <w:t>硒鼓类耗材采购项目(二次)</w:t>
      </w:r>
      <w:r>
        <w:rPr/>
        <w:t>进行国内公开招标，兹邀请符合本次招标要求的供应商参加投标。</w:t>
      </w:r>
    </w:p>
    <w:p>
      <w:pPr>
        <w:pStyle w:val="null3"/>
        <w:outlineLvl w:val="2"/>
      </w:pPr>
      <w:r>
        <w:rPr>
          <w:sz w:val="28"/>
          <w:b/>
        </w:rPr>
        <w:t>一、采购项目编号：</w:t>
      </w:r>
      <w:r>
        <w:rPr>
          <w:sz w:val="28"/>
          <w:b/>
        </w:rPr>
        <w:t>KY2024-3-206.1B1</w:t>
      </w:r>
    </w:p>
    <w:p>
      <w:pPr>
        <w:pStyle w:val="null3"/>
        <w:outlineLvl w:val="2"/>
      </w:pPr>
      <w:r>
        <w:rPr>
          <w:sz w:val="28"/>
          <w:b/>
        </w:rPr>
        <w:t>二、采购项目名称：</w:t>
      </w:r>
      <w:r>
        <w:rPr>
          <w:sz w:val="28"/>
          <w:b/>
        </w:rPr>
        <w:t>硒鼓类耗材采购项目(二次)</w:t>
      </w:r>
    </w:p>
    <w:p>
      <w:pPr>
        <w:pStyle w:val="null3"/>
        <w:outlineLvl w:val="2"/>
      </w:pPr>
      <w:r>
        <w:rPr>
          <w:sz w:val="28"/>
          <w:b/>
        </w:rPr>
        <w:t>三、招标项目简介</w:t>
      </w:r>
    </w:p>
    <w:p>
      <w:pPr>
        <w:pStyle w:val="null3"/>
        <w:ind w:firstLine="480"/>
      </w:pPr>
      <w:r>
        <w:rPr/>
        <w:t>硒鼓类耗材采购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响应文件递交截止日前六个月内至少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4、社会保障资金缴纳证明：提供响应文件递交截止日前六个月内至少一个月的社会保障资金缴存单据或社保机构开具的社会保险参保缴费情况证明，依法不需要缴纳社会保障资金的单位应提供相关证明材料。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8、法定代表人授权书：法定代表人授权书及被授权人身份证复印件（法定代表人直接投标只须提交其身份证复印件；被授权人投标需提供投标文件递交截止日前六个月内至少一个月的的社保证明）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西北妇女儿童医院</w:t>
      </w:r>
    </w:p>
    <w:p>
      <w:pPr>
        <w:pStyle w:val="null3"/>
      </w:pPr>
      <w:r>
        <w:rPr/>
        <w:t xml:space="preserve"> 地址： </w:t>
      </w:r>
      <w:r>
        <w:rPr/>
        <w:t>西安市雁翔路1616号</w:t>
      </w:r>
    </w:p>
    <w:p>
      <w:pPr>
        <w:pStyle w:val="null3"/>
      </w:pPr>
      <w:r>
        <w:rPr/>
        <w:t xml:space="preserve"> 邮编： </w:t>
      </w:r>
      <w:r>
        <w:rPr/>
        <w:t>710000</w:t>
      </w:r>
    </w:p>
    <w:p>
      <w:pPr>
        <w:pStyle w:val="null3"/>
      </w:pPr>
      <w:r>
        <w:rPr/>
        <w:t xml:space="preserve"> 联系人： </w:t>
      </w:r>
      <w:r>
        <w:rPr/>
        <w:t>冯老师</w:t>
      </w:r>
    </w:p>
    <w:p>
      <w:pPr>
        <w:pStyle w:val="null3"/>
      </w:pPr>
      <w:r>
        <w:rPr/>
        <w:t xml:space="preserve"> 联系电话： </w:t>
      </w:r>
      <w:r>
        <w:rPr/>
        <w:t>029-89550065</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徐闫靖双、王琦、戈迪</w:t>
      </w:r>
    </w:p>
    <w:p>
      <w:pPr>
        <w:pStyle w:val="null3"/>
      </w:pPr>
      <w:r>
        <w:rPr/>
        <w:t xml:space="preserve"> 联系电话： </w:t>
      </w:r>
      <w:r>
        <w:rPr/>
        <w:t>029-81206622/81206633-841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银行账号：86113010750181501003520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预算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西北妇女儿童医院</w:t>
      </w:r>
      <w:r>
        <w:rPr/>
        <w:t>和</w:t>
      </w:r>
      <w:r>
        <w:rPr/>
        <w:t>陕西开源招标有限公司</w:t>
      </w:r>
      <w:r>
        <w:rPr/>
        <w:t>享有。对招标文件中供应商参加本次政府采购活动应当具备的条件，招标项目技术、服务、商务及其他要求，评标细则及标准由</w:t>
      </w:r>
      <w:r>
        <w:rPr/>
        <w:t>西北妇女儿童医院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西北妇女儿童医院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联系人：徐闫靖双、王琦、戈迪</w:t>
      </w:r>
    </w:p>
    <w:p>
      <w:pPr>
        <w:pStyle w:val="null3"/>
      </w:pPr>
      <w:r>
        <w:rPr/>
        <w:t>联系电话：029-81206622/81206633-841</w:t>
      </w:r>
    </w:p>
    <w:p>
      <w:pPr>
        <w:pStyle w:val="null3"/>
      </w:pPr>
      <w:r>
        <w:rPr/>
        <w:t>地址：029-81206622/81206633-841</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硒鼓类耗材采购</w:t>
      </w:r>
    </w:p>
    <w:p>
      <w:pPr>
        <w:pStyle w:val="null3"/>
        <w:outlineLvl w:val="2"/>
      </w:pPr>
      <w:r>
        <w:rPr>
          <w:sz w:val="28"/>
          <w:b/>
        </w:rPr>
        <w:t>3.2采购内容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硒鼓类耗材</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标的名称：硒鼓类耗材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一、采购清单</w:t>
            </w:r>
          </w:p>
          <w:p>
            <w:pPr>
              <w:pStyle w:val="null3"/>
              <w:jc w:val="left"/>
            </w:pPr>
            <w:r>
              <w:rPr/>
              <w:t xml:space="preserve"> </w:t>
            </w:r>
          </w:p>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品类</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技术参数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单价最高限价</w:t>
                  </w:r>
                  <w:r>
                    <w:rPr>
                      <w:rFonts w:ascii="宋体" w:hAnsi="宋体" w:cs="宋体" w:eastAsia="宋体"/>
                      <w:sz w:val="24"/>
                      <w:color w:val="000000"/>
                    </w:rPr>
                    <w:t>(元)</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核心产品</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≥2000页，适用于惠普1020、1005系列打印机，5%覆盖率。</w:t>
                  </w:r>
                </w:p>
                <w:p>
                  <w:pPr>
                    <w:pStyle w:val="null3"/>
                    <w:jc w:val="left"/>
                  </w:pPr>
                  <w:r>
                    <w:rPr>
                      <w:rFonts w:ascii="宋体" w:hAnsi="宋体" w:cs="宋体" w:eastAsia="宋体"/>
                      <w:sz w:val="24"/>
                      <w:color w:val="000000"/>
                    </w:rPr>
                    <w:t>其他参数：图像密度</w:t>
                  </w:r>
                  <w:r>
                    <w:rPr>
                      <w:rFonts w:ascii="宋体" w:hAnsi="宋体" w:cs="宋体" w:eastAsia="宋体"/>
                      <w:sz w:val="24"/>
                      <w:color w:val="000000"/>
                    </w:rPr>
                    <w:t>≥1.3，底灰值≤0.</w:t>
                  </w:r>
                  <w:r>
                    <w:rPr>
                      <w:rFonts w:ascii="宋体" w:hAnsi="宋体" w:cs="宋体" w:eastAsia="宋体"/>
                      <w:sz w:val="24"/>
                      <w:color w:val="000000"/>
                    </w:rPr>
                    <w:t>9</w:t>
                  </w:r>
                  <w:r>
                    <w:rPr>
                      <w:rFonts w:ascii="宋体" w:hAnsi="宋体" w:cs="宋体" w:eastAsia="宋体"/>
                      <w:sz w:val="24"/>
                      <w:color w:val="000000"/>
                    </w:rPr>
                    <w:t>，定影牢固度</w:t>
                  </w:r>
                  <w:r>
                    <w:rPr>
                      <w:rFonts w:ascii="宋体" w:hAnsi="宋体" w:cs="宋体" w:eastAsia="宋体"/>
                      <w:sz w:val="24"/>
                      <w:color w:val="000000"/>
                    </w:rPr>
                    <w:t>≥90，底灰等级≤16。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≥3600页，适用于惠普208</w:t>
                  </w:r>
                  <w:r>
                    <w:rPr>
                      <w:rFonts w:ascii="宋体" w:hAnsi="宋体" w:cs="宋体" w:eastAsia="宋体"/>
                      <w:sz w:val="24"/>
                      <w:color w:val="000000"/>
                    </w:rPr>
                    <w:t>系列</w:t>
                  </w:r>
                  <w:r>
                    <w:rPr>
                      <w:rFonts w:ascii="宋体" w:hAnsi="宋体" w:cs="宋体" w:eastAsia="宋体"/>
                      <w:sz w:val="24"/>
                      <w:color w:val="000000"/>
                    </w:rPr>
                    <w:t>打印机，5%覆盖率。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≥12000页，适用于惠普701</w:t>
                  </w:r>
                  <w:r>
                    <w:rPr>
                      <w:rFonts w:ascii="宋体" w:hAnsi="宋体" w:cs="宋体" w:eastAsia="宋体"/>
                      <w:sz w:val="24"/>
                      <w:color w:val="000000"/>
                    </w:rPr>
                    <w:t>系列</w:t>
                  </w:r>
                  <w:r>
                    <w:rPr>
                      <w:rFonts w:ascii="宋体" w:hAnsi="宋体" w:cs="宋体" w:eastAsia="宋体"/>
                      <w:sz w:val="24"/>
                      <w:color w:val="000000"/>
                    </w:rPr>
                    <w:t>打印机，5%覆盖率。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≥10000页，适用于惠普507</w:t>
                  </w:r>
                  <w:r>
                    <w:rPr>
                      <w:rFonts w:ascii="宋体" w:hAnsi="宋体" w:cs="宋体" w:eastAsia="宋体"/>
                      <w:sz w:val="24"/>
                      <w:color w:val="000000"/>
                    </w:rPr>
                    <w:t>系列</w:t>
                  </w:r>
                  <w:r>
                    <w:rPr>
                      <w:rFonts w:ascii="宋体" w:hAnsi="宋体" w:cs="宋体" w:eastAsia="宋体"/>
                      <w:sz w:val="24"/>
                      <w:color w:val="000000"/>
                    </w:rPr>
                    <w:t>打印机，5%覆盖率,包含全新芯片。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≥2400页，四色，适用于惠普400、451</w:t>
                  </w:r>
                  <w:r>
                    <w:rPr>
                      <w:rFonts w:ascii="宋体" w:hAnsi="宋体" w:cs="宋体" w:eastAsia="宋体"/>
                      <w:sz w:val="24"/>
                      <w:color w:val="000000"/>
                    </w:rPr>
                    <w:t>系列</w:t>
                  </w:r>
                  <w:r>
                    <w:rPr>
                      <w:rFonts w:ascii="宋体" w:hAnsi="宋体" w:cs="宋体" w:eastAsia="宋体"/>
                      <w:sz w:val="24"/>
                      <w:color w:val="000000"/>
                    </w:rPr>
                    <w:t>打印机，包含芯片，四色5%覆盖率。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≥2500页，四色，适用于惠普254、281</w:t>
                  </w:r>
                  <w:r>
                    <w:rPr>
                      <w:rFonts w:ascii="宋体" w:hAnsi="宋体" w:cs="宋体" w:eastAsia="宋体"/>
                      <w:sz w:val="24"/>
                      <w:color w:val="000000"/>
                    </w:rPr>
                    <w:t>系列</w:t>
                  </w:r>
                  <w:r>
                    <w:rPr>
                      <w:rFonts w:ascii="宋体" w:hAnsi="宋体" w:cs="宋体" w:eastAsia="宋体"/>
                      <w:sz w:val="24"/>
                      <w:color w:val="000000"/>
                    </w:rPr>
                    <w:t>打印机，5%覆盖率。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≥6000页，四色，适用于惠普479、454</w:t>
                  </w:r>
                  <w:r>
                    <w:rPr>
                      <w:rFonts w:ascii="宋体" w:hAnsi="宋体" w:cs="宋体" w:eastAsia="宋体"/>
                      <w:sz w:val="24"/>
                      <w:color w:val="000000"/>
                    </w:rPr>
                    <w:t>系列</w:t>
                  </w:r>
                  <w:r>
                    <w:rPr>
                      <w:rFonts w:ascii="宋体" w:hAnsi="宋体" w:cs="宋体" w:eastAsia="宋体"/>
                      <w:sz w:val="24"/>
                      <w:color w:val="000000"/>
                    </w:rPr>
                    <w:t>打印机，包含全新芯片，5%覆盖率。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≥3000页，适用惠普401、425</w:t>
                  </w:r>
                  <w:r>
                    <w:rPr>
                      <w:rFonts w:ascii="宋体" w:hAnsi="宋体" w:cs="宋体" w:eastAsia="宋体"/>
                      <w:sz w:val="24"/>
                      <w:color w:val="000000"/>
                    </w:rPr>
                    <w:t>系列</w:t>
                  </w:r>
                  <w:r>
                    <w:rPr>
                      <w:rFonts w:ascii="宋体" w:hAnsi="宋体" w:cs="宋体" w:eastAsia="宋体"/>
                      <w:sz w:val="24"/>
                      <w:color w:val="000000"/>
                    </w:rPr>
                    <w:t>打印机，5%覆盖率。</w:t>
                  </w:r>
                </w:p>
                <w:p>
                  <w:pPr>
                    <w:pStyle w:val="null3"/>
                    <w:jc w:val="left"/>
                  </w:pPr>
                  <w:r>
                    <w:rPr>
                      <w:rFonts w:ascii="宋体" w:hAnsi="宋体" w:cs="宋体" w:eastAsia="宋体"/>
                      <w:sz w:val="24"/>
                      <w:color w:val="000000"/>
                    </w:rPr>
                    <w:t>其他参数：图像密度蓝色</w:t>
                  </w:r>
                  <w:r>
                    <w:rPr>
                      <w:rFonts w:ascii="宋体" w:hAnsi="宋体" w:cs="宋体" w:eastAsia="宋体"/>
                      <w:sz w:val="24"/>
                      <w:color w:val="000000"/>
                    </w:rPr>
                    <w:t>≥1.13,红色≥1.18,黄色≥0.96,黑色≥1.32。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≥1800页，四色，适用惠普181、154、180</w:t>
                  </w:r>
                  <w:r>
                    <w:rPr>
                      <w:rFonts w:ascii="宋体" w:hAnsi="宋体" w:cs="宋体" w:eastAsia="宋体"/>
                      <w:sz w:val="24"/>
                      <w:color w:val="000000"/>
                    </w:rPr>
                    <w:t>系列</w:t>
                  </w:r>
                  <w:r>
                    <w:rPr>
                      <w:rFonts w:ascii="宋体" w:hAnsi="宋体" w:cs="宋体" w:eastAsia="宋体"/>
                      <w:sz w:val="24"/>
                      <w:color w:val="000000"/>
                    </w:rPr>
                    <w:t>打印机，包含全新芯片</w:t>
                  </w:r>
                  <w:r>
                    <w:rPr>
                      <w:rFonts w:ascii="宋体" w:hAnsi="宋体" w:cs="宋体" w:eastAsia="宋体"/>
                      <w:sz w:val="24"/>
                      <w:color w:val="000000"/>
                    </w:rPr>
                    <w:t>，</w:t>
                  </w:r>
                  <w:r>
                    <w:rPr>
                      <w:rFonts w:ascii="宋体" w:hAnsi="宋体" w:cs="宋体" w:eastAsia="宋体"/>
                      <w:sz w:val="24"/>
                      <w:color w:val="000000"/>
                    </w:rPr>
                    <w:t>5%覆盖率。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≥1600页，适用于惠普1106、1108、1136</w:t>
                  </w:r>
                  <w:r>
                    <w:rPr>
                      <w:rFonts w:ascii="宋体" w:hAnsi="宋体" w:cs="宋体" w:eastAsia="宋体"/>
                      <w:sz w:val="24"/>
                      <w:color w:val="000000"/>
                    </w:rPr>
                    <w:t>系列</w:t>
                  </w:r>
                  <w:r>
                    <w:rPr>
                      <w:rFonts w:ascii="宋体" w:hAnsi="宋体" w:cs="宋体" w:eastAsia="宋体"/>
                      <w:sz w:val="24"/>
                      <w:color w:val="000000"/>
                    </w:rPr>
                    <w:t>打印机，5%覆盖率。</w:t>
                  </w:r>
                </w:p>
                <w:p>
                  <w:pPr>
                    <w:pStyle w:val="null3"/>
                    <w:jc w:val="left"/>
                  </w:pPr>
                  <w:r>
                    <w:rPr>
                      <w:rFonts w:ascii="宋体" w:hAnsi="宋体" w:cs="宋体" w:eastAsia="宋体"/>
                      <w:sz w:val="24"/>
                      <w:color w:val="000000"/>
                    </w:rPr>
                    <w:t>其他参数：图像密度</w:t>
                  </w:r>
                  <w:r>
                    <w:rPr>
                      <w:rFonts w:ascii="宋体" w:hAnsi="宋体" w:cs="宋体" w:eastAsia="宋体"/>
                      <w:sz w:val="24"/>
                      <w:color w:val="000000"/>
                    </w:rPr>
                    <w:t>≥1.</w:t>
                  </w:r>
                  <w:r>
                    <w:rPr>
                      <w:rFonts w:ascii="宋体" w:hAnsi="宋体" w:cs="宋体" w:eastAsia="宋体"/>
                      <w:sz w:val="24"/>
                      <w:color w:val="000000"/>
                    </w:rPr>
                    <w:t>3</w:t>
                  </w:r>
                  <w:r>
                    <w:rPr>
                      <w:rFonts w:ascii="宋体" w:hAnsi="宋体" w:cs="宋体" w:eastAsia="宋体"/>
                      <w:sz w:val="24"/>
                      <w:color w:val="000000"/>
                    </w:rPr>
                    <w:t>，底灰值</w:t>
                  </w:r>
                  <w:r>
                    <w:rPr>
                      <w:rFonts w:ascii="宋体" w:hAnsi="宋体" w:cs="宋体" w:eastAsia="宋体"/>
                      <w:sz w:val="24"/>
                      <w:color w:val="000000"/>
                    </w:rPr>
                    <w:t>≤0.8，定影牢固度≥90，底灰等级≤16。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59</w:t>
                  </w:r>
                </w:p>
                <w:p>
                  <w:pPr>
                    <w:pStyle w:val="null3"/>
                    <w:jc w:val="both"/>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是</w:t>
                  </w:r>
                </w:p>
              </w:tc>
            </w:tr>
          </w:tbl>
          <w:p/>
        </w:tc>
      </w:tr>
      <w:tr>
        <w:tc>
          <w:tcPr>
            <w:tcW w:type="dxa" w:w="2769"/>
          </w:tcPr>
          <w:p/>
        </w:tc>
        <w:tc>
          <w:tcPr>
            <w:tcW w:type="dxa" w:w="2769"/>
          </w:tcPr>
          <w:p>
            <w:pPr>
              <w:pStyle w:val="null3"/>
            </w:pPr>
            <w:r>
              <w:rPr/>
              <w:t>11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≥9000页，适用惠普403</w:t>
                  </w:r>
                  <w:r>
                    <w:rPr>
                      <w:rFonts w:ascii="宋体" w:hAnsi="宋体" w:cs="宋体" w:eastAsia="宋体"/>
                      <w:sz w:val="24"/>
                      <w:color w:val="000000"/>
                    </w:rPr>
                    <w:t>系列</w:t>
                  </w:r>
                  <w:r>
                    <w:rPr>
                      <w:rFonts w:ascii="宋体" w:hAnsi="宋体" w:cs="宋体" w:eastAsia="宋体"/>
                      <w:sz w:val="24"/>
                      <w:color w:val="000000"/>
                    </w:rPr>
                    <w:t>打印机，5%覆盖率。其他参数：图像密度≥1.35，底灰值≤1.65，定影牢固度≥96，底灰等级≤15。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≥10500页，适用惠普305、405、429</w:t>
                  </w:r>
                  <w:r>
                    <w:rPr>
                      <w:rFonts w:ascii="宋体" w:hAnsi="宋体" w:cs="宋体" w:eastAsia="宋体"/>
                      <w:sz w:val="24"/>
                      <w:color w:val="000000"/>
                    </w:rPr>
                    <w:t>系列</w:t>
                  </w:r>
                  <w:r>
                    <w:rPr>
                      <w:rFonts w:ascii="宋体" w:hAnsi="宋体" w:cs="宋体" w:eastAsia="宋体"/>
                      <w:sz w:val="24"/>
                      <w:color w:val="000000"/>
                    </w:rPr>
                    <w:t>打印机，包含全新芯片，5%覆盖率。其他参数：图像密度≥1.5，底灰值≤0.8，定影牢固度≥97，底灰等级≤12。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墨水</w:t>
                  </w:r>
                  <w:r>
                    <w:rPr>
                      <w:rFonts w:ascii="宋体" w:hAnsi="宋体" w:cs="宋体" w:eastAsia="宋体"/>
                      <w:sz w:val="24"/>
                      <w:color w:val="00000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≥6000页，四色，适用于佳能1800、2800、3810、2881、4810、4800、3812、2812、2800</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2种防伪标签鉴别方法。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粉盒</w:t>
                  </w:r>
                  <w:r>
                    <w:rPr>
                      <w:rFonts w:ascii="宋体" w:hAnsi="宋体" w:cs="宋体" w:eastAsia="宋体"/>
                      <w:sz w:val="24"/>
                      <w:color w:val="00000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≥6500页，黑色，适用于兄弟8260,8900,9310</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3</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t>★</w:t>
            </w:r>
          </w:p>
        </w:tc>
        <w:tc>
          <w:tcPr>
            <w:tcW w:type="dxa" w:w="2769"/>
          </w:tcPr>
          <w:p>
            <w:pPr>
              <w:pStyle w:val="null3"/>
            </w:pPr>
            <w:r>
              <w:rPr/>
              <w:t>15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粉盒</w:t>
                  </w:r>
                  <w:r>
                    <w:rPr>
                      <w:rFonts w:ascii="宋体" w:hAnsi="宋体" w:cs="宋体" w:eastAsia="宋体"/>
                      <w:sz w:val="24"/>
                      <w:color w:val="00000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≥6500页，彩色，适用于兄弟8260,8900,9310</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3</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tc>
        <w:tc>
          <w:tcPr>
            <w:tcW w:type="dxa" w:w="2769"/>
          </w:tcPr>
          <w:p>
            <w:pPr>
              <w:pStyle w:val="null3"/>
            </w:pPr>
            <w:r>
              <w:rPr/>
              <w:t>16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≥30000页，四色成像鼓，适用于兄弟8260、8900、9310</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3</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1030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17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7</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墨水</w:t>
                  </w:r>
                  <w:r>
                    <w:rPr>
                      <w:rFonts w:ascii="宋体" w:hAnsi="宋体" w:cs="宋体" w:eastAsia="宋体"/>
                      <w:sz w:val="24"/>
                      <w:color w:val="00000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打印量黑色</w:t>
                  </w:r>
                  <w:r>
                    <w:rPr>
                      <w:rFonts w:ascii="宋体" w:hAnsi="宋体" w:cs="宋体" w:eastAsia="宋体"/>
                      <w:sz w:val="24"/>
                      <w:color w:val="000000"/>
                    </w:rPr>
                    <w:t>≥3000页，彩色≥5400页适用于爱普生850、1800、805、801</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3</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575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t>★</w:t>
            </w:r>
          </w:p>
        </w:tc>
        <w:tc>
          <w:tcPr>
            <w:tcW w:type="dxa" w:w="2769"/>
          </w:tcPr>
          <w:p>
            <w:pPr>
              <w:pStyle w:val="null3"/>
            </w:pPr>
            <w:r>
              <w:rPr/>
              <w:t>18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8</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≥1700页，适用于惠普1006</w:t>
                  </w:r>
                </w:p>
                <w:p>
                  <w:pPr>
                    <w:pStyle w:val="null3"/>
                    <w:jc w:val="left"/>
                  </w:pPr>
                  <w:r>
                    <w:rPr>
                      <w:rFonts w:ascii="宋体" w:hAnsi="宋体" w:cs="宋体" w:eastAsia="宋体"/>
                      <w:sz w:val="24"/>
                      <w:color w:val="000000"/>
                    </w:rPr>
                    <w:t>（1106）、1008、1136</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pPr>
              <w:pStyle w:val="null3"/>
            </w:pPr>
            <w:r>
              <w:rPr/>
              <w:t>▲</w:t>
            </w:r>
          </w:p>
        </w:tc>
        <w:tc>
          <w:tcPr>
            <w:tcW w:type="dxa" w:w="2769"/>
          </w:tcPr>
          <w:p>
            <w:pPr>
              <w:pStyle w:val="null3"/>
            </w:pPr>
            <w:r>
              <w:rPr/>
              <w:t>19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9</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墨盒</w:t>
                  </w:r>
                  <w:r>
                    <w:rPr>
                      <w:rFonts w:ascii="宋体" w:hAnsi="宋体" w:cs="宋体" w:eastAsia="宋体"/>
                      <w:sz w:val="24"/>
                      <w:color w:val="00000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打印量黑色</w:t>
                  </w:r>
                  <w:r>
                    <w:rPr>
                      <w:rFonts w:ascii="宋体" w:hAnsi="宋体" w:cs="宋体" w:eastAsia="宋体"/>
                      <w:sz w:val="24"/>
                      <w:color w:val="000000"/>
                    </w:rPr>
                    <w:t>≥2500页，彩色≥1500，适用于惠普8600、8100、8610、8620</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pPr>
              <w:pStyle w:val="null3"/>
            </w:pPr>
            <w:r>
              <w:rPr/>
              <w:t>▲</w:t>
            </w:r>
          </w:p>
        </w:tc>
        <w:tc>
          <w:tcPr>
            <w:tcW w:type="dxa" w:w="2769"/>
          </w:tcPr>
          <w:p>
            <w:pPr>
              <w:pStyle w:val="null3"/>
            </w:pPr>
            <w:r>
              <w:rPr/>
              <w:t>20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≥3000页，适用于惠普403、427</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660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pPr>
              <w:pStyle w:val="null3"/>
            </w:pPr>
            <w:r>
              <w:rPr/>
              <w:t>▲</w:t>
            </w:r>
          </w:p>
        </w:tc>
        <w:tc>
          <w:tcPr>
            <w:tcW w:type="dxa" w:w="2769"/>
          </w:tcPr>
          <w:p>
            <w:pPr>
              <w:pStyle w:val="null3"/>
            </w:pPr>
            <w:r>
              <w:rPr/>
              <w:t>21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≥2100页，适用于佳能6230、6200</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2</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t>▲</w:t>
            </w:r>
          </w:p>
        </w:tc>
        <w:tc>
          <w:tcPr>
            <w:tcW w:type="dxa" w:w="2769"/>
          </w:tcPr>
          <w:p>
            <w:pPr>
              <w:pStyle w:val="null3"/>
            </w:pPr>
            <w:r>
              <w:rPr/>
              <w:t>22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粉盒</w:t>
                  </w:r>
                  <w:r>
                    <w:rPr>
                      <w:rFonts w:ascii="宋体" w:hAnsi="宋体" w:cs="宋体" w:eastAsia="宋体"/>
                      <w:sz w:val="24"/>
                      <w:color w:val="000000"/>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w:t>
                  </w:r>
                  <w:r>
                    <w:rPr>
                      <w:rFonts w:ascii="宋体" w:hAnsi="宋体" w:cs="宋体" w:eastAsia="宋体"/>
                      <w:sz w:val="24"/>
                      <w:color w:val="000000"/>
                    </w:rPr>
                    <w:t>≥24000页，适用于理光2554、3054、3554、2555、3055、3500、3000、2500</w:t>
                  </w:r>
                  <w:r>
                    <w:rPr>
                      <w:rFonts w:ascii="宋体" w:hAnsi="宋体" w:cs="宋体" w:eastAsia="宋体"/>
                      <w:sz w:val="24"/>
                      <w:color w:val="000000"/>
                    </w:rPr>
                    <w:t>系列</w:t>
                  </w:r>
                  <w:r>
                    <w:rPr>
                      <w:rFonts w:ascii="宋体" w:hAnsi="宋体" w:cs="宋体" w:eastAsia="宋体"/>
                      <w:sz w:val="24"/>
                      <w:color w:val="000000"/>
                    </w:rPr>
                    <w:t>复印机，</w:t>
                  </w:r>
                </w:p>
                <w:p>
                  <w:pPr>
                    <w:pStyle w:val="null3"/>
                    <w:jc w:val="left"/>
                  </w:pPr>
                  <w:r>
                    <w:rPr>
                      <w:rFonts w:ascii="宋体" w:hAnsi="宋体" w:cs="宋体" w:eastAsia="宋体"/>
                      <w:sz w:val="24"/>
                      <w:color w:val="000000"/>
                    </w:rPr>
                    <w:t>其他参数：图像密度</w:t>
                  </w:r>
                  <w:r>
                    <w:rPr>
                      <w:rFonts w:ascii="宋体" w:hAnsi="宋体" w:cs="宋体" w:eastAsia="宋体"/>
                      <w:sz w:val="24"/>
                      <w:color w:val="000000"/>
                    </w:rPr>
                    <w:t>≥1.</w:t>
                  </w:r>
                  <w:r>
                    <w:rPr>
                      <w:rFonts w:ascii="宋体" w:hAnsi="宋体" w:cs="宋体" w:eastAsia="宋体"/>
                      <w:sz w:val="24"/>
                      <w:color w:val="000000"/>
                    </w:rPr>
                    <w:t>2</w:t>
                  </w:r>
                  <w:r>
                    <w:rPr>
                      <w:rFonts w:ascii="宋体" w:hAnsi="宋体" w:cs="宋体" w:eastAsia="宋体"/>
                      <w:sz w:val="24"/>
                      <w:color w:val="000000"/>
                    </w:rPr>
                    <w:t>，底灰值</w:t>
                  </w:r>
                  <w:r>
                    <w:rPr>
                      <w:rFonts w:ascii="宋体" w:hAnsi="宋体" w:cs="宋体" w:eastAsia="宋体"/>
                      <w:sz w:val="24"/>
                      <w:color w:val="000000"/>
                    </w:rPr>
                    <w:t>≤0.</w:t>
                  </w:r>
                  <w:r>
                    <w:rPr>
                      <w:rFonts w:ascii="宋体" w:hAnsi="宋体" w:cs="宋体" w:eastAsia="宋体"/>
                      <w:sz w:val="24"/>
                      <w:color w:val="000000"/>
                    </w:rPr>
                    <w:t>02</w:t>
                  </w:r>
                  <w:r>
                    <w:rPr>
                      <w:rFonts w:ascii="宋体" w:hAnsi="宋体" w:cs="宋体" w:eastAsia="宋体"/>
                      <w:sz w:val="24"/>
                      <w:color w:val="000000"/>
                    </w:rPr>
                    <w:t>，定影牢固度</w:t>
                  </w:r>
                  <w:r>
                    <w:rPr>
                      <w:rFonts w:ascii="宋体" w:hAnsi="宋体" w:cs="宋体" w:eastAsia="宋体"/>
                      <w:sz w:val="24"/>
                      <w:color w:val="000000"/>
                    </w:rPr>
                    <w:t>≥90，</w:t>
                  </w:r>
                  <w:r>
                    <w:rPr>
                      <w:rFonts w:ascii="宋体" w:hAnsi="宋体" w:cs="宋体" w:eastAsia="宋体"/>
                      <w:sz w:val="24"/>
                      <w:color w:val="000000"/>
                    </w:rPr>
                    <w:t>分辨力</w:t>
                  </w:r>
                  <w:r>
                    <w:rPr>
                      <w:rFonts w:ascii="宋体" w:hAnsi="宋体" w:cs="宋体" w:eastAsia="宋体"/>
                      <w:sz w:val="24"/>
                      <w:color w:val="000000"/>
                    </w:rPr>
                    <w:t>≥3.6，层次≥7</w:t>
                  </w:r>
                  <w:r>
                    <w:rPr>
                      <w:rFonts w:ascii="宋体" w:hAnsi="宋体" w:cs="宋体" w:eastAsia="宋体"/>
                      <w:sz w:val="24"/>
                      <w:color w:val="000000"/>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pPr>
              <w:pStyle w:val="null3"/>
            </w:pPr>
            <w:r>
              <w:rPr/>
              <w:t>★</w:t>
            </w:r>
          </w:p>
        </w:tc>
        <w:tc>
          <w:tcPr>
            <w:tcW w:type="dxa" w:w="2769"/>
          </w:tcPr>
          <w:p>
            <w:pPr>
              <w:pStyle w:val="null3"/>
            </w:pPr>
            <w:r>
              <w:rPr/>
              <w:t>23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16</w:t>
                  </w:r>
                </w:p>
                <w:p>
                  <w:pPr>
                    <w:pStyle w:val="null3"/>
                    <w:jc w:val="center"/>
                  </w:p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打印量黑色</w:t>
                  </w:r>
                  <w:r>
                    <w:rPr>
                      <w:rFonts w:ascii="宋体" w:hAnsi="宋体" w:cs="宋体" w:eastAsia="宋体"/>
                      <w:sz w:val="24"/>
                      <w:color w:val="000000"/>
                    </w:rPr>
                    <w:t>≥2400页，彩色≥2100页，四色，适用于惠普M454dw、M479dw、M480f</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tc>
        <w:tc>
          <w:tcPr>
            <w:tcW w:type="dxa" w:w="2769"/>
          </w:tcPr>
          <w:p>
            <w:pPr>
              <w:pStyle w:val="null3"/>
            </w:pPr>
            <w:r>
              <w:rPr/>
              <w:t>24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硒鼓</w:t>
                  </w:r>
                  <w:r>
                    <w:rPr>
                      <w:rFonts w:ascii="宋体" w:hAnsi="宋体" w:cs="宋体" w:eastAsia="宋体"/>
                      <w:sz w:val="24"/>
                      <w:color w:val="000000"/>
                    </w:rPr>
                    <w:t>17</w:t>
                  </w:r>
                </w:p>
                <w:p>
                  <w:pPr>
                    <w:pStyle w:val="null3"/>
                    <w:jc w:val="center"/>
                  </w:p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打印量黑色</w:t>
                  </w:r>
                  <w:r>
                    <w:rPr>
                      <w:rFonts w:ascii="宋体" w:hAnsi="宋体" w:cs="宋体" w:eastAsia="宋体"/>
                      <w:sz w:val="24"/>
                      <w:color w:val="000000"/>
                    </w:rPr>
                    <w:t>≥1400页，彩色青黄红≥1300页，四色，适用惠普m281fdw/m254dw/254nw</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墨盒</w:t>
                  </w:r>
                  <w:r>
                    <w:rPr>
                      <w:rFonts w:ascii="宋体" w:hAnsi="宋体" w:cs="宋体" w:eastAsia="宋体"/>
                      <w:sz w:val="24"/>
                      <w:color w:val="00000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打印量黑色</w:t>
                  </w:r>
                  <w:r>
                    <w:rPr>
                      <w:rFonts w:ascii="宋体" w:hAnsi="宋体" w:cs="宋体" w:eastAsia="宋体"/>
                      <w:sz w:val="24"/>
                      <w:color w:val="000000"/>
                    </w:rPr>
                    <w:t>≥155页，彩色≥165页，适用于惠普2621、2132、1112、1111、2623</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t>▲</w:t>
            </w:r>
          </w:p>
        </w:tc>
        <w:tc>
          <w:tcPr>
            <w:tcW w:type="dxa" w:w="2769"/>
          </w:tcPr>
          <w:p>
            <w:pPr>
              <w:pStyle w:val="null3"/>
            </w:pPr>
            <w:r>
              <w:rPr/>
              <w:t>26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294"/>
              <w:gridCol w:w="279"/>
              <w:gridCol w:w="1156"/>
              <w:gridCol w:w="329"/>
              <w:gridCol w:w="329"/>
            </w:tblGrid>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墨盒</w:t>
                  </w:r>
                  <w:r>
                    <w:rPr>
                      <w:rFonts w:ascii="宋体" w:hAnsi="宋体" w:cs="宋体" w:eastAsia="宋体"/>
                      <w:sz w:val="24"/>
                      <w:color w:val="000000"/>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打印量黑色</w:t>
                  </w:r>
                  <w:r>
                    <w:rPr>
                      <w:rFonts w:ascii="宋体" w:hAnsi="宋体" w:cs="宋体" w:eastAsia="宋体"/>
                      <w:sz w:val="24"/>
                      <w:color w:val="000000"/>
                    </w:rPr>
                    <w:t>≥1500页，彩色≥750页，适用于惠普2520、2029、2029、4729</w:t>
                  </w:r>
                  <w:r>
                    <w:rPr>
                      <w:rFonts w:ascii="宋体" w:hAnsi="宋体" w:cs="宋体" w:eastAsia="宋体"/>
                      <w:sz w:val="24"/>
                      <w:color w:val="000000"/>
                    </w:rPr>
                    <w:t>系列</w:t>
                  </w:r>
                  <w:r>
                    <w:rPr>
                      <w:rFonts w:ascii="宋体" w:hAnsi="宋体" w:cs="宋体" w:eastAsia="宋体"/>
                      <w:sz w:val="24"/>
                      <w:color w:val="000000"/>
                    </w:rPr>
                    <w:t>打印机，</w:t>
                  </w:r>
                  <w:r>
                    <w:rPr>
                      <w:rFonts w:ascii="宋体" w:hAnsi="宋体" w:cs="宋体" w:eastAsia="宋体"/>
                      <w:sz w:val="24"/>
                      <w:color w:val="000000"/>
                    </w:rPr>
                    <w:t>支持至少</w:t>
                  </w:r>
                  <w:r>
                    <w:rPr>
                      <w:rFonts w:ascii="宋体" w:hAnsi="宋体" w:cs="宋体" w:eastAsia="宋体"/>
                      <w:sz w:val="24"/>
                      <w:color w:val="000000"/>
                    </w:rPr>
                    <w:t>4</w:t>
                  </w:r>
                  <w:r>
                    <w:rPr>
                      <w:rFonts w:ascii="宋体" w:hAnsi="宋体" w:cs="宋体" w:eastAsia="宋体"/>
                      <w:sz w:val="24"/>
                      <w:color w:val="000000"/>
                    </w:rPr>
                    <w:t>种防伪标签鉴别方法。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tc>
      </w:tr>
      <w:tr>
        <w:tc>
          <w:tcPr>
            <w:tcW w:type="dxa" w:w="2769"/>
          </w:tcPr>
          <w:p/>
        </w:tc>
        <w:tc>
          <w:tcPr>
            <w:tcW w:type="dxa" w:w="2769"/>
          </w:tcPr>
          <w:p>
            <w:pPr>
              <w:pStyle w:val="null3"/>
            </w:pPr>
            <w:r>
              <w:rPr/>
              <w:t>27</w:t>
            </w:r>
          </w:p>
        </w:tc>
        <w:tc>
          <w:tcPr>
            <w:tcW w:type="dxa" w:w="2769"/>
          </w:tcPr>
          <w:p>
            <w:pPr>
              <w:pStyle w:val="null3"/>
              <w:jc w:val="left"/>
            </w:pPr>
            <w:r>
              <w:rPr>
                <w:rFonts w:ascii="宋体" w:hAnsi="宋体" w:cs="宋体" w:eastAsia="宋体"/>
                <w:sz w:val="24"/>
              </w:rPr>
              <w:t>二、采购要求：</w:t>
            </w:r>
          </w:p>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产品质量</w:t>
            </w:r>
            <w:r>
              <w:rPr>
                <w:rFonts w:ascii="宋体" w:hAnsi="宋体" w:cs="宋体" w:eastAsia="宋体"/>
                <w:sz w:val="24"/>
              </w:rPr>
              <w:t>：</w:t>
            </w:r>
            <w:r>
              <w:rPr>
                <w:rFonts w:ascii="宋体" w:hAnsi="宋体" w:cs="宋体" w:eastAsia="宋体"/>
                <w:sz w:val="24"/>
              </w:rPr>
              <w:t>产品合格率在</w:t>
            </w:r>
            <w:r>
              <w:rPr>
                <w:rFonts w:ascii="宋体" w:hAnsi="宋体" w:cs="宋体" w:eastAsia="宋体"/>
                <w:sz w:val="24"/>
              </w:rPr>
              <w:t>98%以上</w:t>
            </w:r>
            <w:r>
              <w:rPr>
                <w:rFonts w:ascii="宋体" w:hAnsi="宋体" w:cs="宋体" w:eastAsia="宋体"/>
                <w:sz w:val="24"/>
              </w:rPr>
              <w:t>，</w:t>
            </w:r>
            <w:r>
              <w:rPr>
                <w:rFonts w:ascii="宋体" w:hAnsi="宋体" w:cs="宋体" w:eastAsia="宋体"/>
                <w:sz w:val="24"/>
              </w:rPr>
              <w:t>低于合格率或</w:t>
            </w:r>
            <w:r>
              <w:rPr>
                <w:rFonts w:ascii="宋体" w:hAnsi="宋体" w:cs="宋体" w:eastAsia="宋体"/>
                <w:sz w:val="24"/>
              </w:rPr>
              <w:t>发生</w:t>
            </w:r>
            <w:r>
              <w:rPr>
                <w:rFonts w:ascii="宋体" w:hAnsi="宋体" w:cs="宋体" w:eastAsia="宋体"/>
                <w:sz w:val="24"/>
              </w:rPr>
              <w:t>批次</w:t>
            </w:r>
            <w:r>
              <w:rPr>
                <w:rFonts w:ascii="宋体" w:hAnsi="宋体" w:cs="宋体" w:eastAsia="宋体"/>
                <w:sz w:val="24"/>
              </w:rPr>
              <w:t>质量问题，供应商须在</w:t>
            </w:r>
            <w:r>
              <w:rPr>
                <w:rFonts w:ascii="宋体" w:hAnsi="宋体" w:cs="宋体" w:eastAsia="宋体"/>
                <w:sz w:val="24"/>
              </w:rPr>
              <w:t>1</w:t>
            </w:r>
            <w:r>
              <w:rPr>
                <w:rFonts w:ascii="宋体" w:hAnsi="宋体" w:cs="宋体" w:eastAsia="宋体"/>
                <w:sz w:val="24"/>
              </w:rPr>
              <w:t>个</w:t>
            </w:r>
            <w:r>
              <w:rPr>
                <w:rFonts w:ascii="宋体" w:hAnsi="宋体" w:cs="宋体" w:eastAsia="宋体"/>
                <w:sz w:val="24"/>
              </w:rPr>
              <w:t>日历天内将已使用及未使用产品</w:t>
            </w:r>
            <w:r>
              <w:rPr>
                <w:rFonts w:ascii="宋体" w:hAnsi="宋体" w:cs="宋体" w:eastAsia="宋体"/>
                <w:sz w:val="24"/>
              </w:rPr>
              <w:t>无条件</w:t>
            </w:r>
            <w:r>
              <w:rPr>
                <w:rFonts w:ascii="宋体" w:hAnsi="宋体" w:cs="宋体" w:eastAsia="宋体"/>
                <w:sz w:val="24"/>
              </w:rPr>
              <w:t>先</w:t>
            </w:r>
            <w:r>
              <w:rPr>
                <w:rFonts w:ascii="宋体" w:hAnsi="宋体" w:cs="宋体" w:eastAsia="宋体"/>
                <w:sz w:val="24"/>
              </w:rPr>
              <w:t>换</w:t>
            </w:r>
            <w:r>
              <w:rPr>
                <w:rFonts w:ascii="宋体" w:hAnsi="宋体" w:cs="宋体" w:eastAsia="宋体"/>
                <w:sz w:val="24"/>
              </w:rPr>
              <w:t>新后查找原因</w:t>
            </w:r>
            <w:r>
              <w:rPr>
                <w:rFonts w:ascii="宋体" w:hAnsi="宋体" w:cs="宋体" w:eastAsia="宋体"/>
                <w:sz w:val="24"/>
              </w:rPr>
              <w:t>。</w:t>
            </w:r>
            <w:r>
              <w:rPr>
                <w:rFonts w:ascii="宋体" w:hAnsi="宋体" w:cs="宋体" w:eastAsia="宋体"/>
                <w:sz w:val="24"/>
              </w:rPr>
              <w:t>如在使用过程中因质量问题收到使用部门投诉三次及以上，采购人有权自行采购符合使用要求的产品进行替代，替代产品费用由中标人承担。提供质量保证承诺。</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质保期：硒鼓类耗材质保期自验收合格通过之日起不低于</w:t>
            </w:r>
            <w:r>
              <w:rPr>
                <w:rFonts w:ascii="宋体" w:hAnsi="宋体" w:cs="宋体" w:eastAsia="宋体"/>
                <w:sz w:val="24"/>
              </w:rPr>
              <w:t>12个月，所有供应的产品库房存放6月未领取使用的</w:t>
            </w:r>
            <w:r>
              <w:rPr>
                <w:rFonts w:ascii="宋体" w:hAnsi="宋体" w:cs="宋体" w:eastAsia="宋体"/>
                <w:sz w:val="24"/>
              </w:rPr>
              <w:t>投标供应商</w:t>
            </w:r>
            <w:r>
              <w:rPr>
                <w:rFonts w:ascii="宋体" w:hAnsi="宋体" w:cs="宋体" w:eastAsia="宋体"/>
                <w:sz w:val="24"/>
              </w:rPr>
              <w:t>应调换最新日期的同样产品。</w:t>
            </w:r>
          </w:p>
          <w:p>
            <w:pPr>
              <w:pStyle w:val="null3"/>
              <w:jc w:val="left"/>
            </w:pPr>
            <w:r>
              <w:rPr>
                <w:rFonts w:ascii="宋体" w:hAnsi="宋体" w:cs="宋体" w:eastAsia="宋体"/>
                <w:sz w:val="24"/>
              </w:rPr>
              <w:t>3、供货要求：供应商在总额度内，其所有供应的产品型号不变，数量以实际供货使用情况为准。</w:t>
            </w:r>
          </w:p>
          <w:p>
            <w:pPr>
              <w:pStyle w:val="null3"/>
              <w:jc w:val="left"/>
            </w:pPr>
            <w:r>
              <w:rPr>
                <w:rFonts w:ascii="宋体" w:hAnsi="宋体" w:cs="宋体" w:eastAsia="宋体"/>
                <w:sz w:val="24"/>
              </w:rPr>
              <w:t>4、供货要求：投标供应商在本地有库房及充足的库存，需专业的售后服务团队及至少1名驻场人员作为和采购人专门对接的售后服务人员，需满足曲江院区和后宰门院区售后需求；</w:t>
            </w:r>
          </w:p>
          <w:p>
            <w:pPr>
              <w:pStyle w:val="null3"/>
              <w:jc w:val="left"/>
            </w:pPr>
            <w:r>
              <w:rPr>
                <w:rFonts w:ascii="宋体" w:hAnsi="宋体" w:cs="宋体" w:eastAsia="宋体"/>
                <w:sz w:val="24"/>
              </w:rPr>
              <w:t>5.服务响应时间：接到</w:t>
            </w:r>
            <w:r>
              <w:rPr>
                <w:rFonts w:ascii="宋体" w:hAnsi="宋体" w:cs="宋体" w:eastAsia="宋体"/>
                <w:sz w:val="24"/>
              </w:rPr>
              <w:t>采购人</w:t>
            </w:r>
            <w:r>
              <w:rPr>
                <w:rFonts w:ascii="宋体" w:hAnsi="宋体" w:cs="宋体" w:eastAsia="宋体"/>
                <w:sz w:val="24"/>
              </w:rPr>
              <w:t>电话后，</w:t>
            </w:r>
            <w:r>
              <w:rPr>
                <w:rFonts w:ascii="宋体" w:hAnsi="宋体" w:cs="宋体" w:eastAsia="宋体"/>
                <w:sz w:val="24"/>
              </w:rPr>
              <w:t>10分钟内做出响应，30分钟内到达用户现场解决问题。如在2小时内无法</w:t>
            </w:r>
            <w:r>
              <w:rPr>
                <w:rFonts w:ascii="宋体" w:hAnsi="宋体" w:cs="宋体" w:eastAsia="宋体"/>
                <w:sz w:val="24"/>
              </w:rPr>
              <w:t>解决</w:t>
            </w:r>
            <w:r>
              <w:rPr>
                <w:rFonts w:ascii="宋体" w:hAnsi="宋体" w:cs="宋体" w:eastAsia="宋体"/>
                <w:sz w:val="24"/>
              </w:rPr>
              <w:t>，提供相同产品或不低于故障产品规格档次的备用产品供采购人使用，以确保正常使用。</w:t>
            </w:r>
            <w:r>
              <w:rPr>
                <w:rFonts w:ascii="宋体" w:hAnsi="宋体" w:cs="宋体" w:eastAsia="宋体"/>
                <w:sz w:val="24"/>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接到采购人通知≦8小时交货，双方以送货单签字确认。</w:t>
      </w:r>
    </w:p>
    <w:p>
      <w:pPr>
        <w:pStyle w:val="null3"/>
        <w:outlineLvl w:val="3"/>
      </w:pPr>
      <w:r>
        <w:rPr>
          <w:sz w:val="24"/>
          <w:b/>
        </w:rPr>
        <w:t>3.4.2交货地点</w:t>
      </w:r>
    </w:p>
    <w:p>
      <w:pPr>
        <w:pStyle w:val="null3"/>
      </w:pPr>
      <w:r>
        <w:rPr/>
        <w:t>采购包1：</w:t>
      </w:r>
    </w:p>
    <w:p>
      <w:pPr>
        <w:pStyle w:val="null3"/>
      </w:pPr>
      <w:r>
        <w:rPr/>
        <w:t>采购人指定地点（两院区）</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合同签订后，银行转账，分批供货、按成交单价每季度据实结算，结算金额不超过预算总金额，付款前成交供应商提供符合税法规定的等额增值税发票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合同签订后，银行转账，分批供货、按成交单价每季度据实结算，结算金额不超过预算总金额，付款前成交供应商提供符合税法规定的等额增值税发票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合同签订后，银行转账，分批供货、按成交单价每季度据实结算，结算金额不超过预算总金额，付款前成交供应商提供符合税法规定的等额增值税发票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合同签订后，银行转账，分批供货、按成交单价每季度据实结算，结算金额不超过预算总金额，付款前成交供应商提供符合税法规定的等额增值税发票</w:t>
      </w:r>
      <w:r>
        <w:rPr/>
        <w:t xml:space="preserve"> ，达到付款条件起 </w:t>
      </w:r>
      <w:r>
        <w:rPr/>
        <w:t>30</w:t>
      </w:r>
      <w:r>
        <w:rPr/>
        <w:t xml:space="preserve"> 日内，支付合同总金额的 </w:t>
      </w:r>
      <w:r>
        <w:rPr/>
        <w:t>25.00</w:t>
      </w:r>
      <w:r>
        <w:rPr/>
        <w:t>%。</w:t>
      </w:r>
    </w:p>
    <w:p>
      <w:pPr>
        <w:pStyle w:val="null3"/>
        <w:outlineLvl w:val="3"/>
      </w:pPr>
      <w:r>
        <w:rPr>
          <w:sz w:val="24"/>
          <w:b/>
        </w:rPr>
        <w:t>3.4.5验收标准和方法</w:t>
      </w:r>
    </w:p>
    <w:p>
      <w:pPr>
        <w:pStyle w:val="null3"/>
      </w:pPr>
      <w:r>
        <w:rPr/>
        <w:t>采购包1：</w:t>
      </w:r>
    </w:p>
    <w:p>
      <w:pPr>
        <w:pStyle w:val="null3"/>
      </w:pPr>
      <w:r>
        <w:rPr/>
        <w:t>以招投标文件及国家相应的标准、规范等为依据，按照采购人验收相关规定执行，到货的品名、型号、数量、技术参数和总金额与投标清单一致，符合采购文件技术要求，被认定为不合格的，供应商须无条件进行换新。</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硒鼓类耗材质保期自验收合格通过之日起不低于12个月，所有供应的产品库房存放6月未领取使用的投标供应商应调换最新日期的同样产品。</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徐闫靖双、王琦，联系电话：029-81206622/81206633-841）。 3、若电子投标文件与纸质投标文件不一致的，以电子投标文件为准。4、本项目投标报价为各个产品单价之和，以此作为评审用的投标报价，结算时按投标人分项报价表中产品单价×实际供应数量进行结算。5、3.4.4支付约定中的付款方式为系统固定格式，供应商须按照以下内容进行实质响应：合同签订后，银行转账，分批供货，按成交单价每季度据实结算，结算金额不超过预算总金额，付款前成交供应商提供符合税法规定的等额增值税发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六个月内至少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法定代表人授权书及被授权人身份证复印件（法定代表人直接投标只须提交其身份证复印件；被授权人投标需提供投标文件递交截止日前六个月内至少一个月的的社保证明）</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 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 投标人资格条件证明文件</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分项报价表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投标人投标保证金缴纳是否符合招标文件要求；</w:t>
            </w:r>
          </w:p>
        </w:tc>
        <w:tc>
          <w:tcPr>
            <w:tcW w:type="dxa" w:w="1661"/>
          </w:tcPr>
          <w:p>
            <w:pPr>
              <w:pStyle w:val="null3"/>
            </w:pPr>
            <w:r>
              <w:rPr/>
              <w:t>投标人认为有必要说明的问题</w:t>
            </w:r>
          </w:p>
        </w:tc>
      </w:tr>
      <w:tr>
        <w:tc>
          <w:tcPr>
            <w:tcW w:type="dxa" w:w="831"/>
          </w:tcPr>
          <w:p>
            <w:pPr>
              <w:pStyle w:val="null3"/>
            </w:pPr>
            <w:r>
              <w:rPr/>
              <w:t>7</w:t>
            </w:r>
          </w:p>
        </w:tc>
        <w:tc>
          <w:tcPr>
            <w:tcW w:type="dxa" w:w="2492"/>
          </w:tcPr>
          <w:p>
            <w:pPr>
              <w:pStyle w:val="null3"/>
            </w:pPr>
            <w:r>
              <w:rPr/>
              <w:t>不同供应商的投标文件是否由同一单位或者个人编制</w:t>
            </w:r>
          </w:p>
        </w:tc>
        <w:tc>
          <w:tcPr>
            <w:tcW w:type="dxa" w:w="3322"/>
          </w:tcPr>
          <w:p>
            <w:pPr>
              <w:pStyle w:val="null3"/>
            </w:pPr>
            <w:r>
              <w:rPr/>
              <w:t>不同供应商的投标文件是否由同一单位或者个人编制</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不同供应商是否委托同一单位或者个人办理投标事宜</w:t>
            </w:r>
          </w:p>
        </w:tc>
        <w:tc>
          <w:tcPr>
            <w:tcW w:type="dxa" w:w="3322"/>
          </w:tcPr>
          <w:p>
            <w:pPr>
              <w:pStyle w:val="null3"/>
            </w:pPr>
            <w:r>
              <w:rPr/>
              <w:t>不同供应商是否委托同一单位或者个人办理投标事宜</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不同供应商的投标文件载明的项目管理成员或者联系人员是否为同一人</w:t>
            </w:r>
          </w:p>
        </w:tc>
        <w:tc>
          <w:tcPr>
            <w:tcW w:type="dxa" w:w="3322"/>
          </w:tcPr>
          <w:p>
            <w:pPr>
              <w:pStyle w:val="null3"/>
            </w:pPr>
            <w:r>
              <w:rPr/>
              <w:t>不同供应商的投标文件载明的项目管理成员或者联系人员是否为同一人</w:t>
            </w:r>
          </w:p>
        </w:tc>
        <w:tc>
          <w:tcPr>
            <w:tcW w:type="dxa" w:w="1661"/>
          </w:tcPr>
          <w:p>
            <w:pPr>
              <w:pStyle w:val="null3"/>
            </w:pPr>
            <w:r>
              <w:rPr/>
              <w:t>详细评审---驻场服务 投标函 投标人资格条件证明文件 详细评审---人员服务</w:t>
            </w:r>
          </w:p>
        </w:tc>
      </w:tr>
      <w:tr>
        <w:tc>
          <w:tcPr>
            <w:tcW w:type="dxa" w:w="831"/>
          </w:tcPr>
          <w:p>
            <w:pPr>
              <w:pStyle w:val="null3"/>
            </w:pPr>
            <w:r>
              <w:rPr/>
              <w:t>10</w:t>
            </w:r>
          </w:p>
        </w:tc>
        <w:tc>
          <w:tcPr>
            <w:tcW w:type="dxa" w:w="2492"/>
          </w:tcPr>
          <w:p>
            <w:pPr>
              <w:pStyle w:val="null3"/>
            </w:pPr>
            <w:r>
              <w:rPr/>
              <w:t>不同供应商的投标文件是否异常一致或者投标报价呈规律性差异</w:t>
            </w:r>
          </w:p>
        </w:tc>
        <w:tc>
          <w:tcPr>
            <w:tcW w:type="dxa" w:w="3322"/>
          </w:tcPr>
          <w:p>
            <w:pPr>
              <w:pStyle w:val="null3"/>
            </w:pPr>
            <w:r>
              <w:rPr/>
              <w:t>不同供应商的投标文件是否异常一致或者投标报价呈规律性差异</w:t>
            </w:r>
          </w:p>
        </w:tc>
        <w:tc>
          <w:tcPr>
            <w:tcW w:type="dxa" w:w="1661"/>
          </w:tcPr>
          <w:p>
            <w:pPr>
              <w:pStyle w:val="null3"/>
            </w:pPr>
            <w:r>
              <w:rPr/>
              <w:t>开标一览表 分项报价表 标的清单</w:t>
            </w:r>
          </w:p>
        </w:tc>
      </w:tr>
      <w:tr>
        <w:tc>
          <w:tcPr>
            <w:tcW w:type="dxa" w:w="831"/>
          </w:tcPr>
          <w:p>
            <w:pPr>
              <w:pStyle w:val="null3"/>
            </w:pPr>
            <w:r>
              <w:rPr/>
              <w:t>11</w:t>
            </w:r>
          </w:p>
        </w:tc>
        <w:tc>
          <w:tcPr>
            <w:tcW w:type="dxa" w:w="2492"/>
          </w:tcPr>
          <w:p>
            <w:pPr>
              <w:pStyle w:val="null3"/>
            </w:pPr>
            <w:r>
              <w:rPr/>
              <w:t>不同供应商的投标保证金是否从同一单位或者个人的账户转出</w:t>
            </w:r>
          </w:p>
        </w:tc>
        <w:tc>
          <w:tcPr>
            <w:tcW w:type="dxa" w:w="3322"/>
          </w:tcPr>
          <w:p>
            <w:pPr>
              <w:pStyle w:val="null3"/>
            </w:pPr>
            <w:r>
              <w:rPr/>
              <w:t>不同供应商的投标保证金是否从同一单位或者个人的账户转出</w:t>
            </w:r>
          </w:p>
        </w:tc>
        <w:tc>
          <w:tcPr>
            <w:tcW w:type="dxa" w:w="1661"/>
          </w:tcPr>
          <w:p>
            <w:pPr>
              <w:pStyle w:val="null3"/>
            </w:pPr>
            <w:r>
              <w:rPr/>
              <w:t>投标函 投标人认为有必要说明的问题</w:t>
            </w:r>
          </w:p>
        </w:tc>
      </w:tr>
      <w:tr>
        <w:tc>
          <w:tcPr>
            <w:tcW w:type="dxa" w:w="831"/>
          </w:tcPr>
          <w:p>
            <w:pPr>
              <w:pStyle w:val="null3"/>
            </w:pPr>
            <w:r>
              <w:rPr/>
              <w:t>12</w:t>
            </w:r>
          </w:p>
        </w:tc>
        <w:tc>
          <w:tcPr>
            <w:tcW w:type="dxa" w:w="2492"/>
          </w:tcPr>
          <w:p>
            <w:pPr>
              <w:pStyle w:val="null3"/>
            </w:pPr>
            <w:r>
              <w:rPr/>
              <w:t>法律、法规和招标文件规定的其他无效情形</w:t>
            </w:r>
          </w:p>
        </w:tc>
        <w:tc>
          <w:tcPr>
            <w:tcW w:type="dxa" w:w="3322"/>
          </w:tcPr>
          <w:p>
            <w:pPr>
              <w:pStyle w:val="null3"/>
            </w:pPr>
            <w:r>
              <w:rPr/>
              <w:t>是否符合法律法规和招标文件规定的其他实质性要求</w:t>
            </w:r>
          </w:p>
        </w:tc>
        <w:tc>
          <w:tcPr>
            <w:tcW w:type="dxa" w:w="1661"/>
          </w:tcPr>
          <w:p>
            <w:pPr>
              <w:pStyle w:val="null3"/>
            </w:pPr>
            <w:r>
              <w:rPr/>
              <w:t>开标一览表 产品技术参数表 分项报价表 投标函 投标人认为有必要说明的问题 商务应答表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响应产品的技术指标、参数完全符合、满足招标文件要求，没有负偏离的计30分；“▲”参数负偏离一项扣2分，非“▲”参数负偏离一项扣1分，扣完为止。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详细评审---技术参数</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针对本项目有详细可行整体实施方案，以下四项为基础包括但不限于： 1、供货组织安排及进度计划安排； 2、维保方案(包括替换残次品临时性备品备件方案)； 3、物力调配、运输及应急保障措施； 4、硒鼓、粉盒维修方案等。 方案各项内容全面详细、阐述条理清晰、技术先进、功能配置合理，能有效保障本项目实施得6分，每有一项缺陷扣1.5分，扣完为止。 备注：缺陷是指内容不合理、虽有内容但不完善、内容表述前后不一致、不符合科学事实、套用其他项目方案或与项目需求不匹配及其他不利于项目实施的等任意一种情形。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详细评审---实施方案</w:t>
            </w:r>
          </w:p>
        </w:tc>
      </w:tr>
      <w:tr>
        <w:tc>
          <w:tcPr>
            <w:tcW w:type="dxa" w:w="831"/>
            <w:vMerge/>
          </w:tcPr>
          <w:p/>
        </w:tc>
        <w:tc>
          <w:tcPr>
            <w:tcW w:type="dxa" w:w="1661"/>
          </w:tcPr>
          <w:p>
            <w:pPr>
              <w:pStyle w:val="null3"/>
            </w:pPr>
            <w:r>
              <w:rPr/>
              <w:t>人员服务</w:t>
            </w:r>
          </w:p>
        </w:tc>
        <w:tc>
          <w:tcPr>
            <w:tcW w:type="dxa" w:w="2492"/>
          </w:tcPr>
          <w:p>
            <w:pPr>
              <w:pStyle w:val="null3"/>
            </w:pPr>
            <w:r>
              <w:rPr/>
              <w:t>提供针对本项目拟定的管理机构、工作职能组织运行图、岗位职责制度等；具有完整的组织机构，人员保障措施分工合理、职责明确，各项管理制度健全，能够确保项目顺利实施的计3分，组织机构单一，人员保障措施及分工职责无针对性，管理制度简单等其他情况，计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详细评审---人员服务</w:t>
            </w:r>
          </w:p>
        </w:tc>
      </w:tr>
      <w:tr>
        <w:tc>
          <w:tcPr>
            <w:tcW w:type="dxa" w:w="831"/>
            <w:vMerge/>
          </w:tcPr>
          <w:p/>
        </w:tc>
        <w:tc>
          <w:tcPr>
            <w:tcW w:type="dxa" w:w="1661"/>
          </w:tcPr>
          <w:p>
            <w:pPr>
              <w:pStyle w:val="null3"/>
            </w:pPr>
            <w:r>
              <w:rPr/>
              <w:t>驻场服务</w:t>
            </w:r>
          </w:p>
        </w:tc>
        <w:tc>
          <w:tcPr>
            <w:tcW w:type="dxa" w:w="2492"/>
          </w:tcPr>
          <w:p>
            <w:pPr>
              <w:pStyle w:val="null3"/>
            </w:pPr>
            <w:r>
              <w:rPr/>
              <w:t>供应商提供工作日驻场人员名单，以及具体服务方案：驻场人员≥2人，驻场服务方案完善，有相应的管理制度及服务标准，计4分；驻场人员≥2人，驻场服务方案较为完善，能基本保障服务质量，计3分，驻场人员仅安排1人或驻场服务方案有明显缺漏、不合理的计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详细评审---驻场服务</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产品进货渠道正规，确保生产供应的产品无假货、水货、翻新货且无产权纠纷，提供所投产品的合法来源渠道证明文件，根据响应程度计0-2分。未提供来源渠道证明文件的不计分。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详细评审---进货渠道</w:t>
            </w:r>
          </w:p>
        </w:tc>
      </w:tr>
      <w:tr>
        <w:tc>
          <w:tcPr>
            <w:tcW w:type="dxa" w:w="831"/>
            <w:vMerge/>
          </w:tcPr>
          <w:p/>
        </w:tc>
        <w:tc>
          <w:tcPr>
            <w:tcW w:type="dxa" w:w="1661"/>
          </w:tcPr>
          <w:p>
            <w:pPr>
              <w:pStyle w:val="null3"/>
            </w:pPr>
            <w:r>
              <w:rPr/>
              <w:t>质量保证</w:t>
            </w:r>
          </w:p>
        </w:tc>
        <w:tc>
          <w:tcPr>
            <w:tcW w:type="dxa" w:w="2492"/>
          </w:tcPr>
          <w:p>
            <w:pPr>
              <w:pStyle w:val="null3"/>
            </w:pPr>
            <w:r>
              <w:rPr/>
              <w:t>根据各投标人所投标品牌、型号、技术规格描述是否明确，选型是否合理，存储库房环境是否适合产品存放。提供相关证明材料及质量保证承诺。 1、证明材料完善，产品品牌型号、技术规格明确，选型合理，库房环境完全符合存放要求，有质量保证承诺。得4分; 2、证明材料基本完善，产品品牌型号、技术规格明确，选型较合理，库房环境基本符合存放要求，有质量保证承诺。得3分; 3、证明材料简单，产品品牌型号、技术规格明确，选型基本合理，库房环境基本符合存放要求，有质量保证承诺。得2分； 4、证明材料有缺失，产品品牌型号、技术规格不明确，库房环境无法满足存放要求，质量保证承诺欠缺。得1分。未提供不得分。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根据各供应商针对本项目的售后服务方案，包括但不限于：1、接到采购人通知后的服务响应措施； 2、售后服务承诺、保证措施； 3、耗材储备情况等。 4、使用后废旧硒鼓的回收、处置。 方案各项内容全面详细、阐述条理清晰、能有效保障本项目实施得6分，每有一项缺陷，扣1.5分，扣完为止。 备注：缺陷是指内容不合理、虽有内容但不完善、内容表述前后不一致、不符合科学事实、套用其他项目方案或与项目需求不匹配及其他不利于项目实施的等任意一种情形。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业绩</w:t>
            </w:r>
          </w:p>
        </w:tc>
        <w:tc>
          <w:tcPr>
            <w:tcW w:type="dxa" w:w="2492"/>
          </w:tcPr>
          <w:p>
            <w:pPr>
              <w:pStyle w:val="null3"/>
            </w:pPr>
            <w:r>
              <w:rPr/>
              <w:t>提供2020年1月1日至开标前同类的业绩，须提供合同复印件加盖公章，提供不全不计分，每提供一份计0.5分，此项共计5分。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价格分统一采用低价高分法计算，即满足招标文件要求且投标价格最低的投标报价为评标基准价，其价格分为满分。其他投标人的价格分统一按照下列公式计算： 投标报价得分=(评标基准价／投标报价)×价格权值 计算分数时四舍五入取小数点后两位。 注:本项目投标报价为各个产品单价之和，以此作为评审用的投标报价</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详见附件：投标人认为有必要说明的问题</w:t>
      </w:r>
    </w:p>
    <w:p>
      <w:pPr>
        <w:pStyle w:val="null3"/>
        <w:ind w:firstLine="960"/>
      </w:pPr>
      <w:r>
        <w:rPr/>
        <w:t>详见附件：详细评审---技术参数</w:t>
      </w:r>
    </w:p>
    <w:p>
      <w:pPr>
        <w:pStyle w:val="null3"/>
        <w:ind w:firstLine="960"/>
      </w:pPr>
      <w:r>
        <w:rPr/>
        <w:t>详见附件：详细评审---进货渠道</w:t>
      </w:r>
    </w:p>
    <w:p>
      <w:pPr>
        <w:pStyle w:val="null3"/>
        <w:ind w:firstLine="960"/>
      </w:pPr>
      <w:r>
        <w:rPr/>
        <w:t>详见附件：详细评审---人员服务</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详见附件：详细评审---驻场服务</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