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版本号：241029001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陕西省药品安全监管综合业务系统2024年升级改造和运维服务项目</w:t>
      </w:r>
    </w:p>
    <w:p>
      <w:pPr>
        <w:pStyle w:val="null3"/>
        <w:jc w:val="center"/>
        <w:outlineLvl w:val="5"/>
      </w:pPr>
      <w:r>
        <w:rPr>
          <w:sz w:val="15"/>
          <w:b/>
        </w:rPr>
        <w:t xml:space="preserve">采购项目编号: </w:t>
      </w:r>
      <w:r>
        <w:rPr>
          <w:sz w:val="15"/>
          <w:b/>
        </w:rPr>
        <w:t>ZX2024-10-29</w:t>
      </w:r>
      <w:r>
        <w:br/>
      </w:r>
      <w:r>
        <w:br/>
      </w:r>
      <w:r>
        <w:br/>
      </w:r>
    </w:p>
    <w:p>
      <w:pPr>
        <w:pStyle w:val="null3"/>
        <w:jc w:val="center"/>
        <w:outlineLvl w:val="5"/>
      </w:pPr>
      <w:r>
        <w:rPr>
          <w:sz w:val="15"/>
          <w:b/>
        </w:rPr>
        <w:t>陕西省药品监督管理局机关</w:t>
      </w:r>
    </w:p>
    <w:p>
      <w:pPr>
        <w:pStyle w:val="null3"/>
        <w:jc w:val="center"/>
        <w:outlineLvl w:val="5"/>
      </w:pPr>
      <w:r>
        <w:rPr>
          <w:sz w:val="15"/>
          <w:b/>
        </w:rPr>
        <w:t>陕西正信招标有限公司</w:t>
      </w:r>
      <w:r>
        <w:rPr>
          <w:sz w:val="15"/>
          <w:b/>
        </w:rPr>
        <w:t>共同编制</w:t>
      </w:r>
    </w:p>
    <w:p>
      <w:pPr>
        <w:pStyle w:val="null3"/>
        <w:jc w:val="center"/>
        <w:outlineLvl w:val="5"/>
      </w:pPr>
      <w:r>
        <w:rPr>
          <w:sz w:val="15"/>
          <w:b/>
        </w:rPr>
        <w:t>2024年10月29日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陕西正信招标有限公司</w:t>
      </w:r>
      <w:r>
        <w:rPr/>
        <w:t>（以下简称“代理机构”）受</w:t>
      </w:r>
      <w:r>
        <w:rPr/>
        <w:t>陕西省药品监督管理局机关</w:t>
      </w:r>
      <w:r>
        <w:rPr/>
        <w:t>委托，拟对</w:t>
      </w:r>
      <w:r>
        <w:rPr/>
        <w:t>陕西省药品安全监管综合业务系统2024年升级改造和运维服务项目</w:t>
      </w:r>
      <w:r>
        <w:rPr/>
        <w:t>采用单一来源方式进行采购，现邀请贵公司参加该项目的协商。</w:t>
      </w:r>
    </w:p>
    <w:p>
      <w:pPr>
        <w:pStyle w:val="null3"/>
        <w:outlineLvl w:val="2"/>
      </w:pPr>
      <w:r>
        <w:rPr>
          <w:sz w:val="28"/>
          <w:b/>
        </w:rPr>
        <w:t xml:space="preserve"> 一、采购项目编号：</w:t>
      </w:r>
      <w:r>
        <w:rPr>
          <w:sz w:val="28"/>
          <w:b/>
        </w:rPr>
        <w:t>ZX2024-10-29</w:t>
      </w:r>
    </w:p>
    <w:p>
      <w:pPr>
        <w:pStyle w:val="null3"/>
        <w:outlineLvl w:val="2"/>
      </w:pPr>
      <w:r>
        <w:rPr>
          <w:sz w:val="28"/>
          <w:b/>
        </w:rPr>
        <w:t xml:space="preserve"> 二、采购项目名称：</w:t>
      </w:r>
      <w:r>
        <w:rPr>
          <w:sz w:val="28"/>
          <w:b/>
        </w:rPr>
        <w:t>陕西省药品安全监管综合业务系统2024年升级改造和运维服务项目</w:t>
      </w:r>
    </w:p>
    <w:p>
      <w:pPr>
        <w:pStyle w:val="null3"/>
        <w:outlineLvl w:val="2"/>
      </w:pPr>
      <w:r>
        <w:rPr>
          <w:sz w:val="28"/>
          <w:b/>
        </w:rPr>
        <w:t>三、协商项目简介：</w:t>
      </w:r>
    </w:p>
    <w:p>
      <w:pPr>
        <w:pStyle w:val="null3"/>
        <w:ind w:firstLine="480"/>
      </w:pPr>
      <w:r>
        <w:rPr/>
        <w:t>陕西省药品安全监管综合业务系统2024年升级改造和运维服务项目，1项，具体详见采购文件第3章。</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采购包1（陕西省药品安全监管综合业务系统2024年升级改造和运维服务项目）：属于专门面向中小企业采购。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参加协商的，须提供身份证复印件；法定代表人授权本单位他人参加协商的，须提供法定代表人授权委托书及被授权人身份证复印件，供应商需在项目电子化交易系统中按要求上传相应证明文件并进行电子签章。</w:t>
      </w:r>
    </w:p>
    <w:p>
      <w:pPr>
        <w:pStyle w:val="null3"/>
      </w:pPr>
      <w:r>
        <w:rPr/>
        <w:t>2、不接受联合体投标，不允许分包：本项目不接受联合体投标，不允许分包。供应商提供《非联合体不分包投标声明》并进行电子签章。</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陕西省药品监督管理局机关</w:t>
      </w:r>
    </w:p>
    <w:p>
      <w:pPr>
        <w:pStyle w:val="null3"/>
      </w:pPr>
      <w:r>
        <w:rPr/>
        <w:t xml:space="preserve"> 地址： </w:t>
      </w:r>
      <w:r>
        <w:rPr/>
        <w:t>西安市高新六路56号</w:t>
      </w:r>
    </w:p>
    <w:p>
      <w:pPr>
        <w:pStyle w:val="null3"/>
      </w:pPr>
      <w:r>
        <w:rPr/>
        <w:t xml:space="preserve"> 邮编： </w:t>
      </w:r>
      <w:r>
        <w:rPr/>
        <w:t>710065</w:t>
      </w:r>
    </w:p>
    <w:p>
      <w:pPr>
        <w:pStyle w:val="null3"/>
      </w:pPr>
      <w:r>
        <w:rPr/>
        <w:t xml:space="preserve"> 联系人： </w:t>
      </w:r>
      <w:r>
        <w:rPr/>
        <w:t>贺老师</w:t>
      </w:r>
    </w:p>
    <w:p>
      <w:pPr>
        <w:pStyle w:val="null3"/>
      </w:pPr>
      <w:r>
        <w:rPr/>
        <w:t xml:space="preserve"> 联系电话： </w:t>
      </w:r>
      <w:r>
        <w:rPr/>
        <w:t>029-62288184</w:t>
      </w:r>
    </w:p>
    <w:p>
      <w:pPr>
        <w:pStyle w:val="null3"/>
        <w:outlineLvl w:val="2"/>
      </w:pPr>
      <w:r>
        <w:rPr>
          <w:sz w:val="28"/>
          <w:b/>
        </w:rPr>
        <w:t xml:space="preserve"> 代理机构：</w:t>
      </w:r>
      <w:r>
        <w:rPr>
          <w:sz w:val="28"/>
          <w:b/>
        </w:rPr>
        <w:t>陕西正信招标有限公司</w:t>
      </w:r>
    </w:p>
    <w:p>
      <w:pPr>
        <w:pStyle w:val="null3"/>
      </w:pPr>
      <w:r>
        <w:rPr/>
        <w:t xml:space="preserve"> 地址： </w:t>
      </w:r>
      <w:r>
        <w:rPr/>
        <w:t>西安市红缨路南口6号均明拍卖广场4层</w:t>
      </w:r>
    </w:p>
    <w:p>
      <w:pPr>
        <w:pStyle w:val="null3"/>
      </w:pPr>
      <w:r>
        <w:rPr/>
        <w:t xml:space="preserve"> 邮编： </w:t>
      </w:r>
      <w:r>
        <w:rPr/>
        <w:t>710000</w:t>
      </w:r>
    </w:p>
    <w:p>
      <w:pPr>
        <w:pStyle w:val="null3"/>
      </w:pPr>
      <w:r>
        <w:rPr/>
        <w:t xml:space="preserve"> 联系人： </w:t>
      </w:r>
      <w:r>
        <w:rPr/>
        <w:t>胡怡洁 张浥清 曹婷 蔡丹 王琦</w:t>
      </w:r>
    </w:p>
    <w:p>
      <w:pPr>
        <w:pStyle w:val="null3"/>
      </w:pPr>
      <w:r>
        <w:rPr/>
        <w:t xml:space="preserve"> 联系电话： </w:t>
      </w:r>
      <w:r>
        <w:rPr/>
        <w:t>029-88411508转8022</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采购包1：2,190,000.00元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采购包1：2,190,000.00元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否</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否</w:t>
            </w:r>
            <w:r>
              <w:rPr/>
              <w:t>产品属于节能产品政府采购品目清单中应优先采购的产品范围，本项目采购</w:t>
            </w:r>
            <w:r>
              <w:rPr/>
              <w:t>否</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代理服务费收费标准：1、参照国家计委颁布的《招标代理服务收费管理暂行办法》（计价格[2002]1980号）和（发改办价格[2003]857号）收费标准收取。 2、收款账户如下： 收款单位：陕西正信招标有限公司 开户银行：中国银行股份有限公司西安四府街支行 银行账号：102460065607 3、代理服务费按差额定率累进法计算。 4、转账备注：241029项目服务费。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陕西省药品监督管理局机关</w:t>
      </w:r>
      <w:r>
        <w:rPr/>
        <w:t>和</w:t>
      </w:r>
      <w:r>
        <w:rPr/>
        <w:t>陕西正信招标有限公司</w:t>
      </w:r>
      <w:r>
        <w:rPr/>
        <w:t>享有。对采购文件中供应商参加本次政府采购活动应当具备的条件、项目技术、服务、商务及其他要求，评审标准由采购人负责解释。除前述采购文件内容，其他内容由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陕西省药品监督管理局机关</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陕西正信招标有限公司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按照采购文件、响应文件以及合同要求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陕西省药品安全监管综合业务系统2024年升级改造和运维服务项目，1项。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2,190,000.00</w:t>
      </w:r>
    </w:p>
    <w:p>
      <w:pPr>
        <w:pStyle w:val="null3"/>
      </w:pPr>
      <w:r>
        <w:rPr/>
        <w:t>采购包最高限价（元）: 2,190,000.00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升级运维陕西省药品安全监管综合业务系统</w:t>
            </w:r>
          </w:p>
        </w:tc>
        <w:tc>
          <w:tcPr>
            <w:tcW w:type="dxa" w:w="831"/>
          </w:tcPr>
          <w:p>
            <w:pPr>
              <w:pStyle w:val="null3"/>
              <w:jc w:val="right"/>
            </w:pPr>
            <w:r>
              <w:rPr/>
              <w:t>1.00</w:t>
            </w:r>
          </w:p>
        </w:tc>
        <w:tc>
          <w:tcPr>
            <w:tcW w:type="dxa" w:w="831"/>
          </w:tcPr>
          <w:p>
            <w:pPr>
              <w:pStyle w:val="null3"/>
              <w:jc w:val="right"/>
            </w:pPr>
            <w:r>
              <w:rPr/>
              <w:t>2,190,000.00</w:t>
            </w:r>
          </w:p>
        </w:tc>
        <w:tc>
          <w:tcPr>
            <w:tcW w:type="dxa" w:w="831"/>
          </w:tcPr>
          <w:p>
            <w:pPr>
              <w:pStyle w:val="null3"/>
            </w:pPr>
            <w:r>
              <w:rPr/>
              <w:t>年</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标的名称：升级运维陕西省药品安全监管综合业务系统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b/>
              </w:rPr>
              <w:t>一、业务需求</w:t>
            </w:r>
          </w:p>
          <w:p>
            <w:pPr>
              <w:pStyle w:val="null3"/>
            </w:pPr>
            <w:r>
              <w:rPr/>
              <w:t>本期建设内容分为以下三项：</w:t>
            </w:r>
          </w:p>
          <w:p>
            <w:pPr>
              <w:pStyle w:val="null3"/>
            </w:pPr>
            <w:r>
              <w:rPr/>
              <w:t>1.业务功能升级改造</w:t>
            </w:r>
          </w:p>
          <w:p>
            <w:pPr>
              <w:pStyle w:val="null3"/>
            </w:pPr>
            <w:r>
              <w:rPr/>
              <w:t>随着陕西省药品安全监管综合业务系统应用过程中，根据各业务部门工作实际工作需要，对原有功能进行优化，通过进一步提升信息化水平，优化系统功能，从而全面实现数字化辅助监管，是促进社会经济健康发展，确保人民群众药品安全有效的重要手段。</w:t>
            </w:r>
          </w:p>
          <w:p>
            <w:pPr>
              <w:pStyle w:val="null3"/>
            </w:pPr>
            <w:r>
              <w:rPr/>
              <w:t>2.新增功能建设</w:t>
            </w:r>
          </w:p>
          <w:p>
            <w:pPr>
              <w:pStyle w:val="null3"/>
            </w:pPr>
            <w:r>
              <w:rPr/>
              <w:t>随着陕西省药品安全监管业务系统不断应用，依据信息化建设总体规划，结合全省药品安全监管领域的业务新需求，陕西省药品安全监管综合业务系统需与监管业务形充分结合，从而新增对应功能。</w:t>
            </w:r>
          </w:p>
          <w:p>
            <w:pPr>
              <w:pStyle w:val="null3"/>
            </w:pPr>
            <w:r>
              <w:rPr/>
              <w:t>3.监管数据对接</w:t>
            </w:r>
          </w:p>
          <w:p>
            <w:pPr>
              <w:pStyle w:val="null3"/>
            </w:pPr>
            <w:r>
              <w:rPr/>
              <w:t>根据药品监管数据资源共享管理办法等规章制度，进一步明确药品相关监管数据产生、保存、更新、使用、共享、开放、维护的权责，该保密的必须保密，该公开的必须公开，该共享的必须共享，从源头上破除各自为战的局面，避免形成“数据孤岛”。</w:t>
            </w:r>
          </w:p>
          <w:p>
            <w:pPr>
              <w:pStyle w:val="null3"/>
            </w:pPr>
            <w:r>
              <w:rPr/>
              <w:t>按照《政务信息资源目录编制指南》，编制本部门、本级的政务信息资源目录，并依照信息资源目录开展数据交换，支撑政务信息资源跨地区、跨层级、跨部门互认共享。依托国家电子政务外网，以国家、省两级数据中心为主干通道和核心节点，实现与国家数据中心的互联互通和共建共享，通过数据交换，结合自身业务进行数据开发利用，将数据通过数据接口对接至国家局、下级药品监管部门、省信用办、省政府服务网及其它政府部门，实现数据共享。</w:t>
            </w:r>
          </w:p>
          <w:p>
            <w:pPr>
              <w:pStyle w:val="null3"/>
            </w:pPr>
            <w:r>
              <w:rPr>
                <w:b/>
              </w:rPr>
              <w:t>二、系统功能需求</w:t>
            </w:r>
          </w:p>
          <w:p>
            <w:pPr>
              <w:pStyle w:val="null3"/>
            </w:pPr>
            <w:r>
              <w:rPr/>
              <w:t>本次项目包括业务升级改造、新系统功能建设、数据共享对接三个方面的内容。</w:t>
            </w:r>
          </w:p>
          <w:p>
            <w:pPr>
              <w:pStyle w:val="null3"/>
            </w:pPr>
            <w:r>
              <w:rPr>
                <w:b/>
              </w:rPr>
              <w:t>（一）业务功能升级改造</w:t>
            </w:r>
          </w:p>
          <w:p>
            <w:pPr>
              <w:pStyle w:val="null3"/>
            </w:pPr>
            <w:r>
              <w:rPr/>
              <w:t>1.第一类医疗器械产品备案优化升级</w:t>
            </w:r>
          </w:p>
          <w:p>
            <w:pPr>
              <w:pStyle w:val="null3"/>
            </w:pPr>
            <w:r>
              <w:rPr/>
              <w:t>根据医疗器械管理办法要求在第一类医疗器械产品备案变更，增加产品技术要求变更及电子证照功能。</w:t>
            </w:r>
          </w:p>
          <w:p>
            <w:pPr>
              <w:pStyle w:val="null3"/>
            </w:pPr>
            <w:r>
              <w:rPr/>
              <w:t>2.化妆品生产许可事项优化升级</w:t>
            </w:r>
          </w:p>
          <w:p>
            <w:pPr>
              <w:pStyle w:val="null3"/>
            </w:pPr>
            <w:r>
              <w:rPr/>
              <w:t>根据最新管理办法的要求，更新企业申请表单以及电子证照样式。</w:t>
            </w:r>
          </w:p>
          <w:p>
            <w:pPr>
              <w:pStyle w:val="null3"/>
            </w:pPr>
            <w:r>
              <w:rPr/>
              <w:t>3.中药制剂备案事项优化升级</w:t>
            </w:r>
          </w:p>
          <w:p>
            <w:pPr>
              <w:pStyle w:val="null3"/>
            </w:pPr>
            <w:r>
              <w:rPr/>
              <w:t>根据药品注册处业务需求，中药制剂备案，实施并行流程并自动公示与取消公示。</w:t>
            </w:r>
          </w:p>
          <w:p>
            <w:pPr>
              <w:pStyle w:val="null3"/>
            </w:pPr>
            <w:r>
              <w:rPr/>
              <w:t>4.第一类医疗器械生产备案事项优化升级</w:t>
            </w:r>
          </w:p>
          <w:p>
            <w:pPr>
              <w:pStyle w:val="null3"/>
            </w:pPr>
            <w:r>
              <w:rPr/>
              <w:t>根据各地市局的要求第一类医疗器械生产备案增加电子证照功能。</w:t>
            </w:r>
          </w:p>
          <w:p>
            <w:pPr>
              <w:pStyle w:val="null3"/>
            </w:pPr>
            <w:r>
              <w:rPr/>
              <w:t>5.第二类医疗器械经营备案事项优化升级</w:t>
            </w:r>
          </w:p>
          <w:p>
            <w:pPr>
              <w:pStyle w:val="null3"/>
            </w:pPr>
            <w:r>
              <w:rPr/>
              <w:t>根据各地市局的要求第二类医疗器械经营备案增加电子证照功能。</w:t>
            </w:r>
          </w:p>
          <w:p>
            <w:pPr>
              <w:pStyle w:val="null3"/>
            </w:pPr>
            <w:r>
              <w:rPr/>
              <w:t>6.药品经营批发/连锁总部/零售单体事项优化升级</w:t>
            </w:r>
          </w:p>
          <w:p>
            <w:pPr>
              <w:pStyle w:val="null3"/>
            </w:pPr>
            <w:r>
              <w:rPr/>
              <w:t>根据《药品经营和使用质量监督管理办法》（国家市场监督管理总局令第84号）相关工作的要求，需要对药品经营企业经营范围、许可证编号等其他内容进行需求调整。</w:t>
            </w:r>
          </w:p>
          <w:p>
            <w:pPr>
              <w:pStyle w:val="null3"/>
            </w:pPr>
            <w:r>
              <w:rPr/>
              <w:t>7.国产药品再注册事项优化升级</w:t>
            </w:r>
          </w:p>
          <w:p>
            <w:pPr>
              <w:pStyle w:val="null3"/>
            </w:pPr>
            <w:r>
              <w:rPr/>
              <w:t>根据药品注册处要求，在国产药品再注册审批在受理之前增加缴费确认和财务确认环节。</w:t>
            </w:r>
          </w:p>
          <w:p>
            <w:pPr>
              <w:pStyle w:val="null3"/>
            </w:pPr>
            <w:r>
              <w:rPr/>
              <w:t>8.稽查执法系统功能优化升级</w:t>
            </w:r>
          </w:p>
          <w:p>
            <w:pPr>
              <w:pStyle w:val="null3"/>
            </w:pPr>
            <w:r>
              <w:rPr/>
              <w:t>根据陕西省药品抽样技术中心的要求，对稽查执法系统的执法文书功能优化。</w:t>
            </w:r>
          </w:p>
          <w:p>
            <w:pPr>
              <w:pStyle w:val="null3"/>
            </w:pPr>
            <w:r>
              <w:rPr>
                <w:b/>
              </w:rPr>
              <w:t>（二）新增系统功能</w:t>
            </w:r>
          </w:p>
          <w:p>
            <w:pPr>
              <w:pStyle w:val="null3"/>
            </w:pPr>
            <w:r>
              <w:rPr/>
              <w:t>1.省内生产企业、省外委托储存配送企业备案事项</w:t>
            </w:r>
          </w:p>
          <w:p>
            <w:pPr>
              <w:pStyle w:val="null3"/>
            </w:pPr>
            <w:r>
              <w:rPr/>
              <w:t>按照采购人业务处室的要求，新增省内生产企业、省外委托储存配送企业备案，涉及企业端和监管端以及公示端。</w:t>
            </w:r>
          </w:p>
          <w:p>
            <w:pPr>
              <w:pStyle w:val="null3"/>
            </w:pPr>
            <w:r>
              <w:rPr/>
              <w:t>2.药品批发企业委托储存配送企业备案事项</w:t>
            </w:r>
          </w:p>
          <w:p>
            <w:pPr>
              <w:pStyle w:val="null3"/>
            </w:pPr>
            <w:r>
              <w:rPr/>
              <w:t>按照采购人业务处室的要求，新增药品批发企业委托储存配送企业备案，涉及企业端和监管端以及公示端。</w:t>
            </w:r>
          </w:p>
          <w:p>
            <w:pPr>
              <w:pStyle w:val="null3"/>
            </w:pPr>
            <w:r>
              <w:rPr/>
              <w:t>3.医疗器械生产产品品种报告事项事项</w:t>
            </w:r>
          </w:p>
          <w:p>
            <w:pPr>
              <w:pStyle w:val="null3"/>
            </w:pPr>
            <w:r>
              <w:rPr/>
              <w:t>根据采购人业务处室的要求，新增医疗器械产品品种报告事项，涉及企业端和监管端。</w:t>
            </w:r>
          </w:p>
          <w:p>
            <w:pPr>
              <w:pStyle w:val="null3"/>
            </w:pPr>
            <w:r>
              <w:rPr/>
              <w:t>4.医疗器械临床试验备案事项</w:t>
            </w:r>
          </w:p>
          <w:p>
            <w:pPr>
              <w:pStyle w:val="null3"/>
            </w:pPr>
            <w:r>
              <w:rPr/>
              <w:t>根据医疗器械处的要求，新增医疗器械临床试验备案的审批流程，涉及企业端和监管端以及公示端。</w:t>
            </w:r>
          </w:p>
          <w:p>
            <w:pPr>
              <w:pStyle w:val="null3"/>
            </w:pPr>
            <w:r>
              <w:rPr/>
              <w:t>5.医疗器械生产许可事项允许延续未生效证照申请变更</w:t>
            </w:r>
          </w:p>
          <w:p>
            <w:pPr>
              <w:pStyle w:val="null3"/>
            </w:pPr>
            <w:r>
              <w:rPr/>
              <w:t>第二三类医疗器械生产许可延续审批完成之后证照仍未生效，此时企业申请发起变更时，①需由企业选择仅对延续之前的证照进行变更还是同时变更延续之后的证照，如果对延续之后的证照也要同时变更时，需要在变更完成时生成2个证照信息，分别是：原证照+变更信息和延续后+变更信息（日期不变）。②变更之后同步档案只同步本次变更记录的信息，同时将变更信息同步至延续记录中，待延续生效之后同步延续+变更的信息。</w:t>
            </w:r>
          </w:p>
          <w:p>
            <w:pPr>
              <w:pStyle w:val="null3"/>
            </w:pPr>
            <w:r>
              <w:rPr/>
              <w:t>6.第二类医疗器械产品注册事项允许延续未生效证照申请变更</w:t>
            </w:r>
          </w:p>
          <w:p>
            <w:pPr>
              <w:pStyle w:val="null3"/>
            </w:pPr>
            <w:r>
              <w:rPr/>
              <w:t>第二类医疗器械产品注册延续审批完成之后证照仍未生效，此时企业申请发起变更时，①需由企业选择仅对延续之前的证照进行变更还是同时变更延续之后的证照，如果对延续之后的证照也要同时变更时，需要在变更完成时生成2个证照信息，分别是：原证照+变更信息和延续后+变更信息（日期不变）。②变更之后同步档案只同步本次变更记录的信息，同时将变更信息同步至延续记录中，待延续生效之后同步延续+变更的信息。</w:t>
            </w:r>
          </w:p>
          <w:p>
            <w:pPr>
              <w:pStyle w:val="null3"/>
            </w:pPr>
            <w:r>
              <w:rPr/>
              <w:t>7.第二类体外诊断试剂事项允许延续未生效证照申请变更</w:t>
            </w:r>
          </w:p>
          <w:p>
            <w:pPr>
              <w:pStyle w:val="null3"/>
            </w:pPr>
            <w:r>
              <w:rPr/>
              <w:t>第二类体外诊断试剂延续审批完成之后证照仍未生效，此时企业申请发起变更时，①需由企业选择仅对延续之前的证照进行变更还是同时变更延续之后的证照，如果对延续之后的证照也要同时变更时，需要在变更完成时生成2个证照信息，分别是：原证照+变更信息和延续后+变更信息（日期不变）。②变更之后同步档案只同步本次变更记录的信息，同时将变更信息同步至延续记录中，待延续生效之后同步延续+变更的信息。</w:t>
            </w:r>
          </w:p>
          <w:p>
            <w:pPr>
              <w:pStyle w:val="null3"/>
            </w:pPr>
            <w:r>
              <w:rPr/>
              <w:t>8.第三类医疗器械经营许可事项允许延续未生效证照申请变更</w:t>
            </w:r>
          </w:p>
          <w:p>
            <w:pPr>
              <w:pStyle w:val="null3"/>
            </w:pPr>
            <w:r>
              <w:rPr/>
              <w:t>第三类医疗器械经营许可延续审批完成之后证照仍未生效，此时企业申请发起变更时，①需由企业选择仅对延续之前的证照进行变更还是同时变更延续之后的证照，如果对延续之后的证照也要同时变更时，需要在变更完成时生成2个证照信息，分别是：原证照+变更信息和延续后+变更信息（日期不变）。②变更之后同步档案只同步本次变更记录的信息，同时将变更信息同步至延续记录中，待延续生效之后同步延续+变更的信息。</w:t>
            </w:r>
          </w:p>
          <w:p>
            <w:pPr>
              <w:pStyle w:val="null3"/>
            </w:pPr>
            <w:r>
              <w:rPr/>
              <w:t>9.电子版药品说明书二维码</w:t>
            </w:r>
          </w:p>
          <w:p>
            <w:pPr>
              <w:pStyle w:val="null3"/>
            </w:pPr>
            <w:r>
              <w:rPr/>
              <w:t>根据国家药品监督管理局和药品注册处建设方案的要求，新增电子说明书二维码的申报端，监管端以及生成的二维码需要有语音播报功能。</w:t>
            </w:r>
          </w:p>
          <w:p>
            <w:pPr>
              <w:pStyle w:val="null3"/>
            </w:pPr>
            <w:r>
              <w:rPr/>
              <w:t>10.药品生产许可允许同时申报多次变更事项</w:t>
            </w:r>
          </w:p>
          <w:p>
            <w:pPr>
              <w:pStyle w:val="null3"/>
            </w:pPr>
            <w:r>
              <w:rPr/>
              <w:t>随着上市许可持有人制度的实施，药品已上市品种转移及新药上市申请数量明显增多吧。现要求在行政许可系统中尚有未办结事项的情况下允许企业在系统中提交新的许可申请。</w:t>
            </w:r>
          </w:p>
          <w:p>
            <w:pPr>
              <w:pStyle w:val="null3"/>
            </w:pPr>
            <w:r>
              <w:rPr/>
              <w:t>11.化妆品经营企业档案认领事项</w:t>
            </w:r>
          </w:p>
          <w:p>
            <w:pPr>
              <w:pStyle w:val="null3"/>
            </w:pPr>
            <w:r>
              <w:rPr/>
              <w:t>为了摸清化妆品经营企业底数，在监管档案新增化妆品经营企业档案认领功能。①化妆品经营档案认领，增加【地址级别】查询条件。②仅编辑四级联动（可以不到4级）就可保存，无需校验【类别】的填写，修改四级联动之后，状态仍为“未标记”状态。③【类别】中增加“不涉及化妆品经营”，当选择该类别时，企业档案状态为“已标记”，但不进入“化妆经营档案”栏目下。</w:t>
            </w:r>
          </w:p>
          <w:p>
            <w:pPr>
              <w:pStyle w:val="null3"/>
            </w:pPr>
            <w:r>
              <w:rPr/>
              <w:t>12.一件事一次办事项</w:t>
            </w:r>
          </w:p>
          <w:p>
            <w:pPr>
              <w:pStyle w:val="null3"/>
            </w:pPr>
            <w:r>
              <w:rPr/>
              <w:t>根据省政府要求，在企业申报端增设【一件事一次办】栏目，该栏目下增加“医疗器械生产许可证和注册证变更企业名称、住所”事项。主要涉及企业端和监管端。</w:t>
            </w:r>
          </w:p>
          <w:p>
            <w:pPr>
              <w:pStyle w:val="null3"/>
            </w:pPr>
            <w:r>
              <w:rPr/>
              <w:t>13.汇总各系统模块的应用情况</w:t>
            </w:r>
          </w:p>
          <w:p>
            <w:pPr>
              <w:pStyle w:val="null3"/>
            </w:pPr>
            <w:r>
              <w:rPr/>
              <w:t>根据采购人业务需求将各个模块对计划任务的完成情况进行汇总并生成报表导出。</w:t>
            </w:r>
          </w:p>
          <w:p>
            <w:pPr>
              <w:pStyle w:val="null3"/>
            </w:pPr>
            <w:r>
              <w:rPr/>
              <w:t>14.药品经营批发、连锁总部企业监督检查</w:t>
            </w:r>
          </w:p>
          <w:p>
            <w:pPr>
              <w:pStyle w:val="null3"/>
            </w:pPr>
            <w:r>
              <w:rPr/>
              <w:t>根据采购人业务需求，规范全省药品流通企业检查流程，检查文书，检查报告。</w:t>
            </w:r>
          </w:p>
          <w:p>
            <w:pPr>
              <w:pStyle w:val="null3"/>
            </w:pPr>
            <w:r>
              <w:rPr/>
              <w:t>15.药品生产企业监督检查</w:t>
            </w:r>
          </w:p>
          <w:p>
            <w:pPr>
              <w:pStyle w:val="null3"/>
            </w:pPr>
            <w:r>
              <w:rPr/>
              <w:t>根据采购人业务需求，规范全省药品生产企业检查流程，检查文书，检查报告。</w:t>
            </w:r>
          </w:p>
          <w:p>
            <w:pPr>
              <w:pStyle w:val="null3"/>
            </w:pPr>
            <w:r>
              <w:rPr/>
              <w:t>16.医疗器械生产企业监督检查</w:t>
            </w:r>
          </w:p>
          <w:p>
            <w:pPr>
              <w:pStyle w:val="null3"/>
            </w:pPr>
            <w:r>
              <w:rPr/>
              <w:t>根据采购人业务需求，规范全省医疗器械企业检查流程，检查文书，检查报告。</w:t>
            </w:r>
          </w:p>
          <w:p>
            <w:pPr>
              <w:pStyle w:val="null3"/>
            </w:pPr>
            <w:r>
              <w:rPr/>
              <w:t>17.化妆品生产企业监督检查</w:t>
            </w:r>
          </w:p>
          <w:p>
            <w:pPr>
              <w:pStyle w:val="null3"/>
            </w:pPr>
            <w:r>
              <w:rPr/>
              <w:t>根据采购人业务需求，规范全省化妆品生产企业检查流程，检查文书，检查报告。</w:t>
            </w:r>
          </w:p>
          <w:p>
            <w:pPr>
              <w:pStyle w:val="null3"/>
            </w:pPr>
            <w:r>
              <w:rPr/>
              <w:t>18.药品网络第三方平台监督检查</w:t>
            </w:r>
          </w:p>
          <w:p>
            <w:pPr>
              <w:pStyle w:val="null3"/>
            </w:pPr>
            <w:r>
              <w:rPr/>
              <w:t>根据采购人业务需求，规范全省药品网络第三方平台企业检查流程，检查文书，检查报告。</w:t>
            </w:r>
          </w:p>
          <w:p>
            <w:pPr>
              <w:pStyle w:val="null3"/>
            </w:pPr>
            <w:r>
              <w:rPr/>
              <w:t>19.药品经营企业标准化检查</w:t>
            </w:r>
          </w:p>
          <w:p>
            <w:pPr>
              <w:pStyle w:val="null3"/>
            </w:pPr>
            <w:r>
              <w:rPr/>
              <w:t>根据《陕西省药械化经营使用单位监督检查工作指南》的要求，规范市县级药品经营企业检查流程，检查文书，检查报告。</w:t>
            </w:r>
          </w:p>
          <w:p>
            <w:pPr>
              <w:pStyle w:val="null3"/>
            </w:pPr>
            <w:r>
              <w:rPr/>
              <w:t>20.医疗器械经营企业标准化检查</w:t>
            </w:r>
          </w:p>
          <w:p>
            <w:pPr>
              <w:pStyle w:val="null3"/>
            </w:pPr>
            <w:r>
              <w:rPr/>
              <w:t>根据《陕西省药械化经营使用单位监督检查工作指南》的要求，规范市县级医疗器械经营企业检查流程，检查文书，检查报告。</w:t>
            </w:r>
          </w:p>
          <w:p>
            <w:pPr>
              <w:pStyle w:val="null3"/>
            </w:pPr>
            <w:r>
              <w:rPr/>
              <w:t>21.化妆品经营企业标准化检查</w:t>
            </w:r>
          </w:p>
          <w:p>
            <w:pPr>
              <w:pStyle w:val="null3"/>
            </w:pPr>
            <w:r>
              <w:rPr/>
              <w:t>根据《陕西省药械化经营使用单位监督检查工作指南》的要求，规范市县级化妆品经营企业检查流程，检查文书，检查报告。</w:t>
            </w:r>
          </w:p>
          <w:p>
            <w:pPr>
              <w:pStyle w:val="null3"/>
            </w:pPr>
            <w:r>
              <w:rPr/>
              <w:t>22.药品网络销售企业标准化检查</w:t>
            </w:r>
          </w:p>
          <w:p>
            <w:pPr>
              <w:pStyle w:val="null3"/>
            </w:pPr>
            <w:r>
              <w:rPr/>
              <w:t>根据《陕西省药械化经营使用单位监督检查工作指南》的要求，规范市县级药品网络销售企业检查流程，检查文书，检查报告。</w:t>
            </w:r>
          </w:p>
          <w:p>
            <w:pPr>
              <w:pStyle w:val="null3"/>
            </w:pPr>
            <w:r>
              <w:rPr/>
              <w:t>23.药品监管APP升级</w:t>
            </w:r>
          </w:p>
          <w:p>
            <w:pPr>
              <w:pStyle w:val="null3"/>
            </w:pPr>
            <w:r>
              <w:rPr/>
              <w:t>根据《陕西省药械化经营使用单位监督检查工作指南》的要求，在移动监管APP中增加现场检查的功能。②基于已有的应用较好的APP进行系统功能升级，同时建立融合体系，通过集成模块化研发升级的能力，将业务、账号及权限统一融合实现，建立集成各厂商、各业务场景APP和小程序，提高办公效率。</w:t>
            </w:r>
          </w:p>
          <w:p>
            <w:pPr>
              <w:pStyle w:val="null3"/>
            </w:pPr>
            <w:r>
              <w:rPr/>
              <w:t>24.你点我检事项</w:t>
            </w:r>
          </w:p>
          <w:p>
            <w:pPr>
              <w:pStyle w:val="null3"/>
            </w:pPr>
            <w:r>
              <w:rPr/>
              <w:t>根据监督抽检处的要求，在微信公众号设立“药品安全，你点我检”的投票链接，并在监管端进行查看。</w:t>
            </w:r>
          </w:p>
          <w:p>
            <w:pPr>
              <w:pStyle w:val="null3"/>
            </w:pPr>
            <w:r>
              <w:rPr>
                <w:b/>
              </w:rPr>
              <w:t>（三）数据共享交换</w:t>
            </w:r>
          </w:p>
          <w:p>
            <w:pPr>
              <w:pStyle w:val="null3"/>
            </w:pPr>
            <w:r>
              <w:rPr/>
              <w:t>1.药品（含疫苗）生产监管检查信息数据归集</w:t>
            </w:r>
          </w:p>
          <w:p>
            <w:pPr>
              <w:pStyle w:val="null3"/>
            </w:pPr>
            <w:r>
              <w:rPr/>
              <w:t>根据国家药品监督管理局要求，通过接口的方式对药品（含疫苗）生产监管检查信息进行对接。</w:t>
            </w:r>
          </w:p>
          <w:p>
            <w:pPr>
              <w:pStyle w:val="null3"/>
            </w:pPr>
            <w:r>
              <w:rPr/>
              <w:t>2.化妆品监督抽检与国抽系统进行对接</w:t>
            </w:r>
          </w:p>
          <w:p>
            <w:pPr>
              <w:pStyle w:val="null3"/>
            </w:pPr>
            <w:r>
              <w:rPr/>
              <w:t>根据国家药品监督管理局化妆品监管司的要求《关于报送省级化妆品抽样检验信息的函》，国家局将采用数据端口对接方式，通过国家化妆品抽检信息系统收集各省（区、市)局组织开展省本级化妆品抽样检验工作的相关数据。现需要省抽系统与国家局进行对接。</w:t>
            </w:r>
          </w:p>
          <w:p>
            <w:pPr>
              <w:pStyle w:val="null3"/>
            </w:pPr>
            <w:r>
              <w:rPr/>
              <w:t>3.医疗器械委托生产备案信息数据归集</w:t>
            </w:r>
          </w:p>
          <w:p>
            <w:pPr>
              <w:pStyle w:val="null3"/>
            </w:pPr>
            <w:r>
              <w:rPr/>
              <w:t>根据国家药品监督管理局要求，通过接口的方式向国家药品监督管理局新版共享平台报送医疗器械委托生产备案的企业数据。</w:t>
            </w:r>
          </w:p>
          <w:p>
            <w:pPr>
              <w:pStyle w:val="null3"/>
            </w:pPr>
            <w:r>
              <w:rPr/>
              <w:t>4.化妆品生产许可信息数据归集</w:t>
            </w:r>
          </w:p>
          <w:p>
            <w:pPr>
              <w:pStyle w:val="null3"/>
            </w:pPr>
            <w:r>
              <w:rPr/>
              <w:t>根据国家药品监督管理局要求，通过接口的方式向国家药品监督管理局新版共享平台报送化妆品生产许可信息的企业数据。</w:t>
            </w:r>
          </w:p>
          <w:p>
            <w:pPr>
              <w:pStyle w:val="null3"/>
            </w:pPr>
            <w:r>
              <w:rPr/>
              <w:t>5.医疗器械生产企业信息数据归集</w:t>
            </w:r>
          </w:p>
          <w:p>
            <w:pPr>
              <w:pStyle w:val="null3"/>
            </w:pPr>
            <w:r>
              <w:rPr/>
              <w:t>根据国家药品监督管理局要求，通过接口的方式向国家药品监督管理局新版共享平台报送医疗器械生产企业数据。</w:t>
            </w:r>
          </w:p>
          <w:p>
            <w:pPr>
              <w:pStyle w:val="null3"/>
            </w:pPr>
            <w:r>
              <w:rPr/>
              <w:t>6.医疗器械经营企业信息数据归集</w:t>
            </w:r>
          </w:p>
          <w:p>
            <w:pPr>
              <w:pStyle w:val="null3"/>
            </w:pPr>
            <w:r>
              <w:rPr/>
              <w:t>根据国家药品监督管理局要求，通过接口的方式向国家药品监督管理局新版共享平台报送医疗器械经营企业数据。</w:t>
            </w:r>
          </w:p>
          <w:p>
            <w:pPr>
              <w:pStyle w:val="null3"/>
            </w:pPr>
            <w:r>
              <w:rPr/>
              <w:t>7.医疗器械网络销售备案信息数据归集</w:t>
            </w:r>
          </w:p>
          <w:p>
            <w:pPr>
              <w:pStyle w:val="null3"/>
            </w:pPr>
            <w:r>
              <w:rPr/>
              <w:t>根据国家药品监督管理局要求，通过接口的方式向国家药品监督管理局新版共享平台报送医疗器械网络销售备案企业数据。</w:t>
            </w:r>
          </w:p>
          <w:p>
            <w:pPr>
              <w:pStyle w:val="null3"/>
            </w:pPr>
            <w:r>
              <w:rPr/>
              <w:t>8.器械网络交易服务第三方备案信息数据归集</w:t>
            </w:r>
          </w:p>
          <w:p>
            <w:pPr>
              <w:pStyle w:val="null3"/>
            </w:pPr>
            <w:r>
              <w:rPr/>
              <w:t>根据国家药品监督管理局要求，通过接口的方式向国家药品监督管理局新版共享平台报送器械网络交易服务第三方备案企业数据。</w:t>
            </w:r>
          </w:p>
          <w:p>
            <w:pPr>
              <w:pStyle w:val="null3"/>
            </w:pPr>
            <w:r>
              <w:rPr/>
              <w:t>9.境内一二类产品信息数据归集</w:t>
            </w:r>
          </w:p>
          <w:p>
            <w:pPr>
              <w:pStyle w:val="null3"/>
            </w:pPr>
            <w:r>
              <w:rPr/>
              <w:t>根据国家药品监督管理局要求，通过接口的方式向国家药品监督管理局新版共享平台报送境内一二类产品信息数据。</w:t>
            </w:r>
          </w:p>
          <w:p>
            <w:pPr>
              <w:pStyle w:val="null3"/>
            </w:pPr>
            <w:r>
              <w:rPr/>
              <w:t>10.药品经营企业信息数据归集</w:t>
            </w:r>
          </w:p>
          <w:p>
            <w:pPr>
              <w:pStyle w:val="null3"/>
            </w:pPr>
            <w:r>
              <w:rPr/>
              <w:t>根据国家药品监督管理局要求，通过接口的方式向国家药品监督管理局新版共享平台报送药品经营企业数据。</w:t>
            </w:r>
          </w:p>
          <w:p>
            <w:pPr>
              <w:pStyle w:val="null3"/>
            </w:pPr>
            <w:r>
              <w:rPr/>
              <w:t>11.互联网药品信息服务数据归集</w:t>
            </w:r>
          </w:p>
          <w:p>
            <w:pPr>
              <w:pStyle w:val="null3"/>
            </w:pPr>
            <w:r>
              <w:rPr/>
              <w:t>根据国家药品监督管理局要求，通过接口的方式向国家药品监督管理局新版共享平台报送互联网药品信息服务企业数据。</w:t>
            </w:r>
          </w:p>
          <w:p>
            <w:pPr>
              <w:pStyle w:val="null3"/>
            </w:pPr>
            <w:r>
              <w:rPr/>
              <w:t>12.与省政府办件库对接</w:t>
            </w:r>
          </w:p>
          <w:p>
            <w:pPr>
              <w:pStyle w:val="null3"/>
            </w:pPr>
            <w:r>
              <w:rPr/>
              <w:t>与办件库通过接口对接的方式对药品生产企业、药品经营企业、器械产品注册、器械生产企业、器械经营企业、化妆品生产企业进行办件数据的交换。</w:t>
            </w:r>
          </w:p>
          <w:p>
            <w:pPr>
              <w:pStyle w:val="null3"/>
            </w:pPr>
            <w:r>
              <w:rPr/>
              <w:t>13.新旧事项库切换对接</w:t>
            </w:r>
          </w:p>
          <w:p>
            <w:pPr>
              <w:pStyle w:val="null3"/>
            </w:pPr>
            <w:r>
              <w:rPr/>
              <w:t>加强对政务服务事项规范管理，提升政务服务规范化水平，并依据《GB/T 39554.1-2020 全国一体化政务服务平台政务服务事项基本目录及实施清单第1部分：编码要求》和《GB/T 39554.2-2020 全国一体化政务服务平台政务服务事项基本目录及实施清单第1部分：要素要求》需要对全省政务服务事项库功能进行优化升级。需要将旧的事项拆分为颗粒化的事项，总计155个事项。</w:t>
            </w:r>
          </w:p>
          <w:p>
            <w:pPr>
              <w:pStyle w:val="null3"/>
            </w:pPr>
            <w:r>
              <w:rPr/>
              <w:t>14.秦务员APP事项对接及页面对接</w:t>
            </w:r>
          </w:p>
          <w:p>
            <w:pPr>
              <w:pStyle w:val="null3"/>
            </w:pPr>
            <w:r>
              <w:rPr/>
              <w:t>按照陕西省政务服务APP应用开发及发布接入指南，完成与“秦务员”的数据对接工作，实现“秦务员”与陕西省药品安全综合业务申报平台的单点登录，药品相关办理事项的事项跳转，办理进度的查询，审批结果的返回以及严格按照“秦务员”的要求进行陕西省药品安全综合业务申报平台的页面改造。</w:t>
            </w:r>
          </w:p>
          <w:p>
            <w:pPr>
              <w:pStyle w:val="null3"/>
            </w:pPr>
            <w:r>
              <w:rPr>
                <w:b/>
              </w:rPr>
              <w:t>三、非功能性需求</w:t>
            </w:r>
          </w:p>
          <w:p>
            <w:pPr>
              <w:pStyle w:val="null3"/>
            </w:pPr>
            <w:r>
              <w:rPr/>
              <w:t>1.性能需求</w:t>
            </w:r>
          </w:p>
          <w:p>
            <w:pPr>
              <w:pStyle w:val="null3"/>
            </w:pPr>
            <w:r>
              <w:rPr/>
              <w:t>本项目系统的性能指标至少要达到以下的基本要求：</w:t>
            </w:r>
          </w:p>
          <w:p>
            <w:pPr>
              <w:pStyle w:val="null3"/>
            </w:pPr>
            <w:r>
              <w:rPr/>
              <w:t>1.1对于特定的业务，项目建设时在最大限度地满足业务开展要求和用户使用习惯的前提下，制定具体的性能要求指标。</w:t>
            </w:r>
          </w:p>
          <w:p>
            <w:pPr>
              <w:pStyle w:val="null3"/>
            </w:pPr>
            <w:r>
              <w:rPr/>
              <w:t>1.2响应时间特指用户当次交易提交给系统到系统反馈出结果的时间：</w:t>
            </w:r>
          </w:p>
          <w:p>
            <w:pPr>
              <w:pStyle w:val="null3"/>
            </w:pPr>
            <w:r>
              <w:rPr/>
              <w:t>（1）系统一般查询响应时间≤3 秒，多条件复杂查询响应时间≤5 秒，涉及复杂逻辑处理和操作响应时间在100 万数据记录内不超过10 秒；</w:t>
            </w:r>
          </w:p>
          <w:p>
            <w:pPr>
              <w:pStyle w:val="null3"/>
            </w:pPr>
            <w:r>
              <w:rPr/>
              <w:t>（2）复杂查询在100 万数据记录内一般不超过20 秒。</w:t>
            </w:r>
          </w:p>
          <w:p>
            <w:pPr>
              <w:pStyle w:val="null3"/>
            </w:pPr>
            <w:r>
              <w:rPr/>
              <w:t>1.3复杂的动态查询的响应时间，随着数据量增长以及查询复杂度的增加，也应保持在业务分析人员可容忍的时间内。</w:t>
            </w:r>
          </w:p>
          <w:p>
            <w:pPr>
              <w:pStyle w:val="null3"/>
            </w:pPr>
            <w:r>
              <w:rPr/>
              <w:t>1.4单项统计、复合汇总统计的响应时间随着数据量增长以及统计复杂度的增加，也应保持在业务分析人员可容忍的时间内。</w:t>
            </w:r>
          </w:p>
          <w:p>
            <w:pPr>
              <w:pStyle w:val="null3"/>
            </w:pPr>
            <w:r>
              <w:rPr/>
              <w:t>1.5提供对外数据共享需求时，不能影响繁忙时间业务分析的使用。</w:t>
            </w:r>
          </w:p>
          <w:p>
            <w:pPr>
              <w:pStyle w:val="null3"/>
            </w:pPr>
            <w:r>
              <w:rPr/>
              <w:t>1.6系统采用负载均衡技术，排除单点故障的可能性。</w:t>
            </w:r>
          </w:p>
          <w:p>
            <w:pPr>
              <w:pStyle w:val="null3"/>
            </w:pPr>
            <w:r>
              <w:rPr/>
              <w:t>2.安全需求</w:t>
            </w:r>
          </w:p>
          <w:p>
            <w:pPr>
              <w:pStyle w:val="null3"/>
            </w:pPr>
            <w:r>
              <w:rPr/>
              <w:t>根据信息化项目合同及安全设计方案的内容，结合国家、地方的信息安全相关标准、规范要求，从项目功能、网络安全、主机安全、应用安全、数据安全等方面，满足安全设计方案的建设目标，项目所采取的安全防护措施应满足项目建设及和后续安全稳定运行的需要，满足信息安全等级保护三级要求，确保电子政务系统的信息安全。</w:t>
            </w:r>
          </w:p>
        </w:tc>
      </w:tr>
    </w:tbl>
    <w:p>
      <w:pPr>
        <w:pStyle w:val="null3"/>
        <w:outlineLvl w:val="3"/>
      </w:pPr>
      <w:r>
        <w:rPr>
          <w:sz w:val="24"/>
          <w:b/>
        </w:rPr>
        <w:t>3.2.3人员配置要求</w:t>
      </w:r>
    </w:p>
    <w:p>
      <w:pPr>
        <w:pStyle w:val="null3"/>
      </w:pPr>
      <w:r>
        <w:rPr/>
        <w:t>采购包1：</w:t>
      </w:r>
    </w:p>
    <w:p>
      <w:pPr>
        <w:pStyle w:val="null3"/>
      </w:pPr>
      <w:r>
        <w:rPr/>
        <w:t>驻场服务包含3人1 年的驻场服务</w:t>
      </w:r>
    </w:p>
    <w:p>
      <w:pPr>
        <w:pStyle w:val="null3"/>
        <w:outlineLvl w:val="3"/>
      </w:pPr>
      <w:r>
        <w:rPr>
          <w:sz w:val="24"/>
          <w:b/>
        </w:rPr>
        <w:t>3.2.4设施设备要求</w:t>
      </w:r>
    </w:p>
    <w:p>
      <w:pPr>
        <w:pStyle w:val="null3"/>
      </w:pPr>
      <w:r>
        <w:rPr/>
        <w:t>采购包1：</w:t>
      </w:r>
    </w:p>
    <w:p>
      <w:pPr>
        <w:pStyle w:val="null3"/>
      </w:pPr>
      <w:r>
        <w:rPr/>
        <w:t>详见技术参数与性能指标</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交付期为自合同签订之日起30天内，服务期为交付验收合格之日起一年</w:t>
      </w:r>
    </w:p>
    <w:p>
      <w:pPr>
        <w:pStyle w:val="null3"/>
        <w:outlineLvl w:val="3"/>
      </w:pPr>
      <w:r>
        <w:rPr>
          <w:sz w:val="24"/>
          <w:b/>
        </w:rPr>
        <w:t>3.3.2服务地点</w:t>
      </w:r>
    </w:p>
    <w:p>
      <w:pPr>
        <w:pStyle w:val="null3"/>
      </w:pPr>
      <w:r>
        <w:rPr/>
        <w:t>采购包1：</w:t>
      </w:r>
    </w:p>
    <w:p>
      <w:pPr>
        <w:pStyle w:val="null3"/>
      </w:pPr>
      <w:r>
        <w:rPr/>
        <w:t>陕西省药品监督管理局指定地点</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70.00</w:t>
      </w:r>
      <w:r>
        <w:rPr/>
        <w:t>%。</w:t>
      </w:r>
    </w:p>
    <w:p>
      <w:pPr>
        <w:pStyle w:val="null3"/>
      </w:pPr>
      <w:r>
        <w:rPr/>
        <w:t>采购包1：</w:t>
      </w:r>
      <w:r>
        <w:rPr/>
        <w:t xml:space="preserve"> 付款条件说明： </w:t>
      </w:r>
      <w:r>
        <w:rPr/>
        <w:t>系统安装、调试、试运行并验收合格后</w:t>
      </w:r>
      <w:r>
        <w:rPr/>
        <w:t xml:space="preserve"> ，达到付款条件起 </w:t>
      </w:r>
      <w:r>
        <w:rPr/>
        <w:t>15</w:t>
      </w:r>
      <w:r>
        <w:rPr/>
        <w:t xml:space="preserve"> 日内，支付合同总金额的 </w:t>
      </w:r>
      <w:r>
        <w:rPr/>
        <w:t>30.00</w:t>
      </w:r>
      <w:r>
        <w:rPr/>
        <w:t>%。</w:t>
      </w:r>
    </w:p>
    <w:p>
      <w:pPr>
        <w:pStyle w:val="null3"/>
        <w:outlineLvl w:val="3"/>
      </w:pPr>
      <w:r>
        <w:rPr>
          <w:sz w:val="24"/>
          <w:b/>
        </w:rPr>
        <w:t>3.3.5.验收标准和方法</w:t>
      </w:r>
    </w:p>
    <w:p>
      <w:pPr>
        <w:pStyle w:val="null3"/>
      </w:pPr>
      <w:r>
        <w:rPr/>
        <w:t>采购包1：</w:t>
      </w:r>
    </w:p>
    <w:p>
      <w:pPr>
        <w:pStyle w:val="null3"/>
      </w:pPr>
      <w:r>
        <w:rPr/>
        <w:t>按照采购文件、响应文件以及合同要求。</w:t>
      </w:r>
    </w:p>
    <w:p>
      <w:pPr>
        <w:pStyle w:val="null3"/>
        <w:outlineLvl w:val="3"/>
      </w:pPr>
      <w:r>
        <w:rPr>
          <w:sz w:val="24"/>
          <w:b/>
        </w:rPr>
        <w:t>3.3.6违约责任及解决争议的方法</w:t>
      </w:r>
    </w:p>
    <w:p>
      <w:pPr>
        <w:pStyle w:val="null3"/>
      </w:pPr>
      <w:r>
        <w:rPr/>
        <w:t>采购包1：</w:t>
      </w:r>
    </w:p>
    <w:p>
      <w:pPr>
        <w:pStyle w:val="null3"/>
      </w:pPr>
      <w:r>
        <w:rPr/>
        <w:t>因合同而发生的争议或纠纷，采购人与供应商双方应先协商解决，协商不成时可向采购人所在地的人民法院提请诉讼。</w:t>
      </w:r>
    </w:p>
    <w:p>
      <w:pPr>
        <w:pStyle w:val="null3"/>
        <w:outlineLvl w:val="2"/>
      </w:pPr>
      <w:r>
        <w:rPr>
          <w:sz w:val="28"/>
          <w:b/>
        </w:rPr>
        <w:t>3.4其他要求</w:t>
      </w:r>
    </w:p>
    <w:p>
      <w:pPr>
        <w:pStyle w:val="null3"/>
      </w:pPr>
      <w:r>
        <w:rPr/>
        <w:t>采购包1：</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套标明供应商名称，随正本密封）。若线上电子响应文件与纸质响应文件不一致的，以线上电子投标文件为准；若正本和副本不符，以正本为准。线下递交文件时间：详见本项目协商邀请提交响应文件截止时间；线下递交文件地点：陕西省西安市碑林区红缨路南口6号均明拍卖广场3层。</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①供应商需在项目电子化交易系统中按要求填写《响应函》完成承诺并进行电子签章。 ②具有独立承担民事责任能力的法人、其他组织或自然人，提供合法有效的统一社会信用代码营业执照（事业单位法人证书/专业服务机构执业许可证/民办非企业单位登记证书，自然人提供身份证）； ③税收缴纳证明：法人提供自2023年11月1日以来至少一个月的纳税证明或完税证明，纳税证明或完税证明上应有代收机构或税务机关的公章或业务专用章；其他组织和自然人提供自2023年11月1日以来至少一个月缴纳税收的凭据；依法免税的或者依法不需缴税的供应商应提供相关文件证明； ④社会保障资金缴纳证明：提供自2023年11月1日以来至少一个月已缴纳的社会保障资金的证明（社会保障资金缴存单据或社保机构开具的社会保险参保缴费情况证明等）；依法不需要缴纳社会保障资金的投标人应提供相关文件证明； ⑤提供具有履行本合同所必需的设备和专业技术能力的声明； ⑥参加本次政府采购活动前3年内在经营活动中没有重大违纪，以及未被列入失信被执行人、重大税收违法案件当事人名单、政府采购严重违法失信行为记录名单的书面声明。 以上③-④项，提供“陕西省政府采购供应商信用承诺书”的，可不再提供其他证明文件。</w:t>
            </w:r>
          </w:p>
        </w:tc>
        <w:tc>
          <w:tcPr>
            <w:tcW w:type="dxa" w:w="1661"/>
          </w:tcPr>
          <w:p>
            <w:pPr>
              <w:pStyle w:val="null3"/>
            </w:pPr>
            <w:r>
              <w:rPr/>
              <w:t>2供应商资格证明文件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有效的2023年度审计报告（成立时间至提交响应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 以上资格提供“陕西省政府采购供应商信用承诺书”的，可不再提供其他证明文件。供应商需在项目电子化交易系统中按要求上传相应证明文件并进行电子签章。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t>2供应商资格证明文件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协商的，须提供身份证复印件；法定代表人授权本单位他人参加协商的，须提供法定代表人授权委托书及被授权人身份证复印件，供应商需在项目电子化交易系统中按要求上传相应证明文件并进行电子签章。</w:t>
            </w:r>
          </w:p>
        </w:tc>
        <w:tc>
          <w:tcPr>
            <w:tcW w:type="dxa" w:w="1661"/>
          </w:tcPr>
          <w:p>
            <w:pPr>
              <w:pStyle w:val="null3"/>
            </w:pPr>
            <w:r>
              <w:rPr/>
              <w:t>2供应商资格证明文件</w:t>
            </w:r>
          </w:p>
        </w:tc>
      </w:tr>
      <w:tr>
        <w:tc>
          <w:tcPr>
            <w:tcW w:type="dxa" w:w="831"/>
          </w:tcPr>
          <w:p>
            <w:pPr>
              <w:pStyle w:val="null3"/>
            </w:pPr>
            <w:r>
              <w:rPr/>
              <w:t>2</w:t>
            </w:r>
          </w:p>
        </w:tc>
        <w:tc>
          <w:tcPr>
            <w:tcW w:type="dxa" w:w="2492"/>
          </w:tcPr>
          <w:p>
            <w:pPr>
              <w:pStyle w:val="null3"/>
            </w:pPr>
            <w:r>
              <w:rPr/>
              <w:t>不接受联合体投标，不允许分包</w:t>
            </w:r>
          </w:p>
        </w:tc>
        <w:tc>
          <w:tcPr>
            <w:tcW w:type="dxa" w:w="3322"/>
          </w:tcPr>
          <w:p>
            <w:pPr>
              <w:pStyle w:val="null3"/>
            </w:pPr>
            <w:r>
              <w:rPr/>
              <w:t>本项目不接受联合体投标，不允许分包。供应商提供《非联合体不分包投标声明》并进行电子签章。</w:t>
            </w:r>
          </w:p>
        </w:tc>
        <w:tc>
          <w:tcPr>
            <w:tcW w:type="dxa" w:w="1661"/>
          </w:tcPr>
          <w:p>
            <w:pPr>
              <w:pStyle w:val="null3"/>
            </w:pPr>
            <w:r>
              <w:rPr/>
              <w:t>2供应商资格证明文件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报价未超过采购文件中规定的预算金额或者最高限价</w:t>
            </w:r>
          </w:p>
        </w:tc>
        <w:tc>
          <w:tcPr>
            <w:tcW w:type="dxa" w:w="3322"/>
          </w:tcPr>
          <w:p>
            <w:pPr>
              <w:pStyle w:val="null3"/>
            </w:pPr>
            <w:r>
              <w:rPr/>
              <w:t>供应商响应报价未超过采购文件中规定的预算金额或者最高限价</w:t>
            </w:r>
          </w:p>
        </w:tc>
        <w:tc>
          <w:tcPr>
            <w:tcW w:type="dxa" w:w="1661"/>
          </w:tcPr>
          <w:p>
            <w:pPr>
              <w:pStyle w:val="null3"/>
            </w:pPr>
            <w:r>
              <w:rPr/>
              <w:t>1分项报价表 标的清单 报价表</w:t>
            </w:r>
          </w:p>
        </w:tc>
      </w:tr>
      <w:tr>
        <w:tc>
          <w:tcPr>
            <w:tcW w:type="dxa" w:w="831"/>
          </w:tcPr>
          <w:p>
            <w:pPr>
              <w:pStyle w:val="null3"/>
            </w:pPr>
            <w:r>
              <w:rPr/>
              <w:t>2</w:t>
            </w:r>
          </w:p>
        </w:tc>
        <w:tc>
          <w:tcPr>
            <w:tcW w:type="dxa" w:w="2492"/>
          </w:tcPr>
          <w:p>
            <w:pPr>
              <w:pStyle w:val="null3"/>
            </w:pPr>
            <w:r>
              <w:rPr/>
              <w:t>符合招标文件的实质性要求</w:t>
            </w:r>
          </w:p>
        </w:tc>
        <w:tc>
          <w:tcPr>
            <w:tcW w:type="dxa" w:w="3322"/>
          </w:tcPr>
          <w:p>
            <w:pPr>
              <w:pStyle w:val="null3"/>
            </w:pPr>
            <w:r>
              <w:rPr/>
              <w:t>满足本单一来源采购文件中第三章中商务要求的“服务期限、服务地点、支付方式及约定”的实质性条款要求。</w:t>
            </w:r>
          </w:p>
        </w:tc>
        <w:tc>
          <w:tcPr>
            <w:tcW w:type="dxa" w:w="1661"/>
          </w:tcPr>
          <w:p>
            <w:pPr>
              <w:pStyle w:val="null3"/>
            </w:pPr>
            <w:r>
              <w:rPr/>
              <w:t>响应函 3商务部分偏离表</w:t>
            </w:r>
          </w:p>
        </w:tc>
      </w:tr>
      <w:tr>
        <w:tc>
          <w:tcPr>
            <w:tcW w:type="dxa" w:w="831"/>
          </w:tcPr>
          <w:p>
            <w:pPr>
              <w:pStyle w:val="null3"/>
            </w:pPr>
            <w:r>
              <w:rPr/>
              <w:t>3</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1分项报价表 标的清单 报价表</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w:t>
            </w:r>
          </w:p>
        </w:tc>
        <w:tc>
          <w:tcPr>
            <w:tcW w:type="dxa" w:w="1661"/>
          </w:tcPr>
          <w:p>
            <w:pPr>
              <w:pStyle w:val="null3"/>
            </w:pPr>
            <w:r>
              <w:rPr/>
              <w:t>4供应商相关专利、专有技术情况说明 7技术响应与偏离表 中小企业声明函 5同类项目合同价格说明 8服务方案 3商务部分偏离表 响应文件封面 残疾人福利性单位声明函 1分项报价表 2供应商资格证明文件 6采购标的成本说明 响应函 监狱企业的证明文件</w:t>
            </w:r>
          </w:p>
        </w:tc>
      </w:tr>
      <w:tr>
        <w:tc>
          <w:tcPr>
            <w:tcW w:type="dxa" w:w="831"/>
          </w:tcPr>
          <w:p>
            <w:pPr>
              <w:pStyle w:val="null3"/>
            </w:pPr>
            <w:r>
              <w:rPr/>
              <w:t>5</w:t>
            </w:r>
          </w:p>
        </w:tc>
        <w:tc>
          <w:tcPr>
            <w:tcW w:type="dxa" w:w="2492"/>
          </w:tcPr>
          <w:p>
            <w:pPr>
              <w:pStyle w:val="null3"/>
            </w:pPr>
            <w:r>
              <w:rPr/>
              <w:t>不属于招标文件规定的无效情形</w:t>
            </w:r>
          </w:p>
        </w:tc>
        <w:tc>
          <w:tcPr>
            <w:tcW w:type="dxa" w:w="3322"/>
          </w:tcPr>
          <w:p>
            <w:pPr>
              <w:pStyle w:val="null3"/>
            </w:pPr>
            <w:r>
              <w:rPr/>
              <w:t>不属于法律、法规和招标文件规定的其他无效情形</w:t>
            </w:r>
          </w:p>
        </w:tc>
        <w:tc>
          <w:tcPr>
            <w:tcW w:type="dxa" w:w="1661"/>
          </w:tcPr>
          <w:p>
            <w:pPr>
              <w:pStyle w:val="null3"/>
            </w:pPr>
            <w:r>
              <w:rPr/>
              <w:t>7技术响应与偏离表 响应函 3商务部分偏离表</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详见附件：1分项报价表</w:t>
      </w:r>
    </w:p>
    <w:p>
      <w:pPr>
        <w:pStyle w:val="null3"/>
        <w:ind w:firstLine="960"/>
      </w:pPr>
      <w:r>
        <w:rPr/>
        <w:t>详见附件：2供应商资格证明文件</w:t>
      </w:r>
    </w:p>
    <w:p>
      <w:pPr>
        <w:pStyle w:val="null3"/>
        <w:ind w:firstLine="960"/>
      </w:pPr>
      <w:r>
        <w:rPr/>
        <w:t>详见附件：3商务部分偏离表</w:t>
      </w:r>
    </w:p>
    <w:p>
      <w:pPr>
        <w:pStyle w:val="null3"/>
        <w:ind w:firstLine="960"/>
      </w:pPr>
      <w:r>
        <w:rPr/>
        <w:t>详见附件：4供应商相关专利、专有技术情况说明</w:t>
      </w:r>
    </w:p>
    <w:p>
      <w:pPr>
        <w:pStyle w:val="null3"/>
        <w:ind w:firstLine="960"/>
      </w:pPr>
      <w:r>
        <w:rPr/>
        <w:t>详见附件：5同类项目合同价格说明</w:t>
      </w:r>
    </w:p>
    <w:p>
      <w:pPr>
        <w:pStyle w:val="null3"/>
        <w:ind w:firstLine="960"/>
      </w:pPr>
      <w:r>
        <w:rPr/>
        <w:t>详见附件：6采购标的成本说明</w:t>
      </w:r>
    </w:p>
    <w:p>
      <w:pPr>
        <w:pStyle w:val="null3"/>
        <w:ind w:firstLine="960"/>
      </w:pPr>
      <w:r>
        <w:rPr/>
        <w:t>详见附件：7技术响应与偏离表</w:t>
      </w:r>
    </w:p>
    <w:p>
      <w:pPr>
        <w:pStyle w:val="null3"/>
        <w:ind w:firstLine="960"/>
      </w:pPr>
      <w:r>
        <w:rPr/>
        <w:t>详见附件：8服务方案</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