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99B474">
      <w:pPr>
        <w:pStyle w:val="4"/>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sz w:val="32"/>
          <w:szCs w:val="28"/>
          <w:lang w:val="en-US" w:eastAsia="zh-CN"/>
        </w:rPr>
      </w:pPr>
      <w:r>
        <w:rPr>
          <w:rFonts w:hint="eastAsia" w:ascii="宋体" w:hAnsi="宋体" w:eastAsia="宋体" w:cs="宋体"/>
          <w:b/>
          <w:sz w:val="32"/>
          <w:szCs w:val="28"/>
          <w:lang w:val="en-US" w:eastAsia="zh-CN"/>
        </w:rPr>
        <w:t>采购需求</w:t>
      </w:r>
    </w:p>
    <w:p w14:paraId="135259A8">
      <w:pPr>
        <w:pStyle w:val="4"/>
        <w:keepNext w:val="0"/>
        <w:keepLines w:val="0"/>
        <w:pageBreakBefore w:val="0"/>
        <w:kinsoku/>
        <w:wordWrap/>
        <w:overflowPunct/>
        <w:topLinePunct w:val="0"/>
        <w:autoSpaceDE/>
        <w:autoSpaceDN/>
        <w:bidi w:val="0"/>
        <w:adjustRightInd/>
        <w:snapToGrid/>
        <w:spacing w:line="360" w:lineRule="auto"/>
        <w:ind w:firstLine="402"/>
        <w:jc w:val="both"/>
        <w:textAlignment w:val="auto"/>
      </w:pPr>
      <w:r>
        <w:rPr>
          <w:rFonts w:ascii="宋体" w:hAnsi="宋体" w:eastAsia="宋体" w:cs="宋体"/>
          <w:b/>
          <w:sz w:val="21"/>
        </w:rPr>
        <w:t>一、项目概况</w:t>
      </w:r>
    </w:p>
    <w:p w14:paraId="07580F42">
      <w:pPr>
        <w:pStyle w:val="4"/>
        <w:keepNext w:val="0"/>
        <w:keepLines w:val="0"/>
        <w:pageBreakBefore w:val="0"/>
        <w:kinsoku/>
        <w:wordWrap/>
        <w:overflowPunct/>
        <w:topLinePunct w:val="0"/>
        <w:autoSpaceDE/>
        <w:autoSpaceDN/>
        <w:bidi w:val="0"/>
        <w:adjustRightInd/>
        <w:snapToGrid/>
        <w:spacing w:line="360" w:lineRule="auto"/>
        <w:ind w:firstLine="400"/>
        <w:jc w:val="left"/>
        <w:textAlignment w:val="auto"/>
      </w:pPr>
      <w:r>
        <w:rPr>
          <w:rFonts w:ascii="宋体" w:hAnsi="宋体" w:eastAsia="宋体" w:cs="宋体"/>
          <w:color w:val="000000"/>
          <w:sz w:val="21"/>
        </w:rPr>
        <w:t>本项目拟建设2套二类可搬移监测站，站点</w:t>
      </w:r>
      <w:r>
        <w:rPr>
          <w:rFonts w:ascii="宋体" w:hAnsi="宋体" w:eastAsia="宋体" w:cs="宋体"/>
          <w:color w:val="000000"/>
          <w:sz w:val="21"/>
          <w:shd w:val="clear" w:fill="FFFFFF"/>
        </w:rPr>
        <w:t>满足或优于《省级无线电监测设施建设规范和技术要求》规定的二类可搬移监测站指标和功能要求。</w:t>
      </w:r>
    </w:p>
    <w:p w14:paraId="2CFACE00">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本项目建设完成后可</w:t>
      </w:r>
      <w:r>
        <w:rPr>
          <w:rFonts w:ascii="宋体" w:hAnsi="宋体" w:eastAsia="宋体" w:cs="宋体"/>
          <w:color w:val="000000"/>
          <w:sz w:val="21"/>
          <w:shd w:val="clear" w:fill="FFFFFF"/>
        </w:rPr>
        <w:t>形成与固定监测站、监测车等监测测向站互相补充的工作格局，增强区域联动和应急响应处置能力。可</w:t>
      </w:r>
      <w:r>
        <w:rPr>
          <w:rFonts w:ascii="宋体" w:hAnsi="宋体" w:eastAsia="宋体" w:cs="宋体"/>
          <w:color w:val="000000"/>
          <w:sz w:val="21"/>
        </w:rPr>
        <w:t>有效提升全省快速机动监测测向设施的技术性能，加强无线电监管技术手段，提升重点保障区域、重点保障无线电业务能力，进一步完善多维一体无线电能力，为各类监测业务实施与未来新业务拓展提供保障，为省内无线电使用单位提供重要技术支持。</w:t>
      </w:r>
    </w:p>
    <w:p w14:paraId="4E474A05">
      <w:pPr>
        <w:pStyle w:val="4"/>
        <w:keepNext w:val="0"/>
        <w:keepLines w:val="0"/>
        <w:pageBreakBefore w:val="0"/>
        <w:kinsoku/>
        <w:wordWrap/>
        <w:overflowPunct/>
        <w:topLinePunct w:val="0"/>
        <w:autoSpaceDE/>
        <w:autoSpaceDN/>
        <w:bidi w:val="0"/>
        <w:adjustRightInd/>
        <w:snapToGrid/>
        <w:spacing w:line="360" w:lineRule="auto"/>
        <w:ind w:firstLine="402"/>
        <w:jc w:val="both"/>
        <w:textAlignment w:val="auto"/>
      </w:pPr>
      <w:r>
        <w:rPr>
          <w:rFonts w:ascii="宋体" w:hAnsi="宋体" w:eastAsia="宋体" w:cs="宋体"/>
          <w:b/>
          <w:color w:val="000000"/>
          <w:sz w:val="21"/>
        </w:rPr>
        <w:t>二、总体要求</w:t>
      </w:r>
    </w:p>
    <w:p w14:paraId="34A542A6">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sz w:val="21"/>
        </w:rPr>
        <w:t>本项目在榆林、汉中各建设1套可搬移监测测向系统，可搬移监测测向系统满足或优于二类可搬移站标准。项目建设完成后接入陕西无线电管理一体化平台，可实现由超短波监测管理一体化平台的统一管理和控制。主要建设内容明细如下：</w:t>
      </w:r>
    </w:p>
    <w:p w14:paraId="3ED52525">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主要建设内容</w:t>
      </w:r>
    </w:p>
    <w:p w14:paraId="2F1AB193">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sz w:val="21"/>
        </w:rPr>
        <w:t>1.总体结构</w:t>
      </w:r>
    </w:p>
    <w:tbl>
      <w:tblPr>
        <w:tblStyle w:val="2"/>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284"/>
        <w:gridCol w:w="2800"/>
        <w:gridCol w:w="1284"/>
        <w:gridCol w:w="3145"/>
      </w:tblGrid>
      <w:tr w14:paraId="16F4EA3C">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4" w:type="pct"/>
            <w:tcBorders>
              <w:top w:val="single" w:color="000000" w:sz="4" w:space="0"/>
              <w:left w:val="single" w:color="000000" w:sz="4" w:space="0"/>
              <w:bottom w:val="single" w:color="000000" w:sz="4" w:space="0"/>
              <w:right w:val="single" w:color="000000" w:sz="4" w:space="0"/>
            </w:tcBorders>
            <w:shd w:val="clear" w:color="auto" w:fill="BEBEBE"/>
            <w:tcMar>
              <w:top w:w="0" w:type="dxa"/>
              <w:left w:w="105" w:type="dxa"/>
              <w:bottom w:w="0" w:type="dxa"/>
              <w:right w:w="105" w:type="dxa"/>
            </w:tcMar>
            <w:vAlign w:val="top"/>
          </w:tcPr>
          <w:p w14:paraId="178918E8">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b/>
                <w:sz w:val="21"/>
              </w:rPr>
              <w:t>序号</w:t>
            </w:r>
          </w:p>
        </w:tc>
        <w:tc>
          <w:tcPr>
            <w:tcW w:w="1644" w:type="pct"/>
            <w:tcBorders>
              <w:top w:val="single" w:color="000000" w:sz="4" w:space="0"/>
              <w:left w:val="nil"/>
              <w:bottom w:val="single" w:color="000000" w:sz="4" w:space="0"/>
              <w:right w:val="single" w:color="000000" w:sz="4" w:space="0"/>
            </w:tcBorders>
            <w:shd w:val="clear" w:color="auto" w:fill="BEBEBE"/>
            <w:tcMar>
              <w:top w:w="0" w:type="dxa"/>
              <w:left w:w="105" w:type="dxa"/>
              <w:bottom w:w="0" w:type="dxa"/>
              <w:right w:w="105" w:type="dxa"/>
            </w:tcMar>
            <w:vAlign w:val="top"/>
          </w:tcPr>
          <w:p w14:paraId="32C5D08A">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b/>
                <w:sz w:val="21"/>
              </w:rPr>
              <w:t>设备名称</w:t>
            </w:r>
          </w:p>
        </w:tc>
        <w:tc>
          <w:tcPr>
            <w:tcW w:w="754" w:type="pct"/>
            <w:tcBorders>
              <w:top w:val="single" w:color="000000" w:sz="4" w:space="0"/>
              <w:left w:val="nil"/>
              <w:bottom w:val="single" w:color="000000" w:sz="4" w:space="0"/>
              <w:right w:val="single" w:color="000000" w:sz="4" w:space="0"/>
            </w:tcBorders>
            <w:shd w:val="clear" w:color="auto" w:fill="BEBEBE"/>
            <w:tcMar>
              <w:top w:w="0" w:type="dxa"/>
              <w:left w:w="105" w:type="dxa"/>
              <w:bottom w:w="0" w:type="dxa"/>
              <w:right w:w="105" w:type="dxa"/>
            </w:tcMar>
            <w:vAlign w:val="top"/>
          </w:tcPr>
          <w:p w14:paraId="4C64CF1A">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b/>
                <w:sz w:val="21"/>
              </w:rPr>
              <w:t>数量</w:t>
            </w:r>
          </w:p>
        </w:tc>
        <w:tc>
          <w:tcPr>
            <w:tcW w:w="1846" w:type="pct"/>
            <w:tcBorders>
              <w:top w:val="single" w:color="000000" w:sz="4" w:space="0"/>
              <w:left w:val="nil"/>
              <w:bottom w:val="single" w:color="000000" w:sz="4" w:space="0"/>
              <w:right w:val="single" w:color="000000" w:sz="4" w:space="0"/>
            </w:tcBorders>
            <w:shd w:val="clear" w:color="auto" w:fill="BEBEBE"/>
            <w:tcMar>
              <w:top w:w="0" w:type="dxa"/>
              <w:left w:w="105" w:type="dxa"/>
              <w:bottom w:w="0" w:type="dxa"/>
              <w:right w:w="105" w:type="dxa"/>
            </w:tcMar>
            <w:vAlign w:val="top"/>
          </w:tcPr>
          <w:p w14:paraId="6EAB3DAB">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b/>
                <w:sz w:val="21"/>
              </w:rPr>
              <w:t>备注</w:t>
            </w:r>
          </w:p>
        </w:tc>
      </w:tr>
      <w:tr w14:paraId="347DA5A9">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8582D16">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1</w:t>
            </w:r>
          </w:p>
        </w:tc>
        <w:tc>
          <w:tcPr>
            <w:tcW w:w="164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A798EB4">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b/>
                <w:sz w:val="21"/>
              </w:rPr>
              <w:t>无线电监测测向接收机（核心产品）</w:t>
            </w:r>
          </w:p>
        </w:tc>
        <w:tc>
          <w:tcPr>
            <w:tcW w:w="754" w:type="pct"/>
            <w:tcBorders>
              <w:top w:val="nil"/>
              <w:left w:val="nil"/>
              <w:bottom w:val="single" w:color="000000" w:sz="4" w:space="0"/>
              <w:right w:val="single" w:color="000000" w:sz="4" w:space="0"/>
            </w:tcBorders>
            <w:tcMar>
              <w:top w:w="0" w:type="dxa"/>
              <w:left w:w="105" w:type="dxa"/>
              <w:bottom w:w="0" w:type="dxa"/>
              <w:right w:w="105" w:type="dxa"/>
            </w:tcMar>
            <w:vAlign w:val="top"/>
          </w:tcPr>
          <w:p w14:paraId="091CE09A">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2套</w:t>
            </w:r>
          </w:p>
        </w:tc>
        <w:tc>
          <w:tcPr>
            <w:tcW w:w="1846" w:type="pct"/>
            <w:tcBorders>
              <w:top w:val="nil"/>
              <w:left w:val="nil"/>
              <w:bottom w:val="single" w:color="000000" w:sz="4" w:space="0"/>
              <w:right w:val="single" w:color="000000" w:sz="4" w:space="0"/>
            </w:tcBorders>
            <w:tcMar>
              <w:top w:w="0" w:type="dxa"/>
              <w:left w:w="105" w:type="dxa"/>
              <w:bottom w:w="0" w:type="dxa"/>
              <w:right w:w="105" w:type="dxa"/>
            </w:tcMar>
            <w:vAlign w:val="top"/>
          </w:tcPr>
          <w:p w14:paraId="46DD9A86">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便携式监测测向接收机</w:t>
            </w:r>
          </w:p>
        </w:tc>
      </w:tr>
      <w:tr w14:paraId="15BB386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AE60B10">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2</w:t>
            </w:r>
          </w:p>
        </w:tc>
        <w:tc>
          <w:tcPr>
            <w:tcW w:w="164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866B9BC">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天馈系统</w:t>
            </w:r>
          </w:p>
        </w:tc>
        <w:tc>
          <w:tcPr>
            <w:tcW w:w="75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C9680EE">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2套</w:t>
            </w:r>
          </w:p>
        </w:tc>
        <w:tc>
          <w:tcPr>
            <w:tcW w:w="1846" w:type="pct"/>
            <w:tcBorders>
              <w:top w:val="nil"/>
              <w:left w:val="nil"/>
              <w:bottom w:val="single" w:color="000000" w:sz="4" w:space="0"/>
              <w:right w:val="single" w:color="000000" w:sz="4" w:space="0"/>
            </w:tcBorders>
            <w:tcMar>
              <w:top w:w="0" w:type="dxa"/>
              <w:left w:w="105" w:type="dxa"/>
              <w:bottom w:w="0" w:type="dxa"/>
              <w:right w:w="105" w:type="dxa"/>
            </w:tcMar>
            <w:vAlign w:val="top"/>
          </w:tcPr>
          <w:p w14:paraId="11F68457">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包含手持定向天线、自动测向天线、连接线缆等</w:t>
            </w:r>
          </w:p>
        </w:tc>
      </w:tr>
      <w:tr w14:paraId="11F1AFD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7A5E9B6">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3</w:t>
            </w:r>
          </w:p>
        </w:tc>
        <w:tc>
          <w:tcPr>
            <w:tcW w:w="164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8641552">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控制主机</w:t>
            </w:r>
          </w:p>
        </w:tc>
        <w:tc>
          <w:tcPr>
            <w:tcW w:w="754" w:type="pct"/>
            <w:tcBorders>
              <w:top w:val="nil"/>
              <w:left w:val="nil"/>
              <w:bottom w:val="single" w:color="000000" w:sz="4" w:space="0"/>
              <w:right w:val="single" w:color="000000" w:sz="4" w:space="0"/>
            </w:tcBorders>
            <w:tcMar>
              <w:top w:w="0" w:type="dxa"/>
              <w:left w:w="105" w:type="dxa"/>
              <w:bottom w:w="0" w:type="dxa"/>
              <w:right w:w="105" w:type="dxa"/>
            </w:tcMar>
            <w:vAlign w:val="top"/>
          </w:tcPr>
          <w:p w14:paraId="5CCF733F">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2套</w:t>
            </w:r>
          </w:p>
        </w:tc>
        <w:tc>
          <w:tcPr>
            <w:tcW w:w="1846" w:type="pct"/>
            <w:tcBorders>
              <w:top w:val="nil"/>
              <w:left w:val="nil"/>
              <w:bottom w:val="single" w:color="000000" w:sz="4" w:space="0"/>
              <w:right w:val="single" w:color="000000" w:sz="4" w:space="0"/>
            </w:tcBorders>
            <w:tcMar>
              <w:top w:w="0" w:type="dxa"/>
              <w:left w:w="105" w:type="dxa"/>
              <w:bottom w:w="0" w:type="dxa"/>
              <w:right w:w="105" w:type="dxa"/>
            </w:tcMar>
            <w:vAlign w:val="top"/>
          </w:tcPr>
          <w:p w14:paraId="3CCB6AA4">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b/>
                <w:sz w:val="21"/>
              </w:rPr>
              <w:t>——</w:t>
            </w:r>
          </w:p>
        </w:tc>
      </w:tr>
      <w:tr w14:paraId="3A22E8FD">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1EC42A4">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4</w:t>
            </w:r>
          </w:p>
        </w:tc>
        <w:tc>
          <w:tcPr>
            <w:tcW w:w="164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E374828">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无线电监测测向软件</w:t>
            </w:r>
          </w:p>
        </w:tc>
        <w:tc>
          <w:tcPr>
            <w:tcW w:w="754" w:type="pct"/>
            <w:tcBorders>
              <w:top w:val="nil"/>
              <w:left w:val="nil"/>
              <w:bottom w:val="single" w:color="000000" w:sz="4" w:space="0"/>
              <w:right w:val="single" w:color="000000" w:sz="4" w:space="0"/>
            </w:tcBorders>
            <w:tcMar>
              <w:top w:w="0" w:type="dxa"/>
              <w:left w:w="105" w:type="dxa"/>
              <w:bottom w:w="0" w:type="dxa"/>
              <w:right w:w="105" w:type="dxa"/>
            </w:tcMar>
            <w:vAlign w:val="top"/>
          </w:tcPr>
          <w:p w14:paraId="6C2A88DA">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2套</w:t>
            </w:r>
          </w:p>
        </w:tc>
        <w:tc>
          <w:tcPr>
            <w:tcW w:w="1846" w:type="pct"/>
            <w:tcBorders>
              <w:top w:val="nil"/>
              <w:left w:val="nil"/>
              <w:bottom w:val="single" w:color="000000" w:sz="4" w:space="0"/>
              <w:right w:val="single" w:color="000000" w:sz="4" w:space="0"/>
            </w:tcBorders>
            <w:tcMar>
              <w:top w:w="0" w:type="dxa"/>
              <w:left w:w="105" w:type="dxa"/>
              <w:bottom w:w="0" w:type="dxa"/>
              <w:right w:w="105" w:type="dxa"/>
            </w:tcMar>
            <w:vAlign w:val="top"/>
          </w:tcPr>
          <w:p w14:paraId="02F21BEB">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b/>
                <w:sz w:val="21"/>
              </w:rPr>
              <w:t>——</w:t>
            </w:r>
          </w:p>
        </w:tc>
      </w:tr>
      <w:tr w14:paraId="1C47A6E4">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754"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485E0D0">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5</w:t>
            </w:r>
          </w:p>
        </w:tc>
        <w:tc>
          <w:tcPr>
            <w:tcW w:w="1644" w:type="pct"/>
            <w:tcBorders>
              <w:top w:val="nil"/>
              <w:left w:val="nil"/>
              <w:bottom w:val="single" w:color="000000" w:sz="4" w:space="0"/>
              <w:right w:val="single" w:color="000000" w:sz="4" w:space="0"/>
            </w:tcBorders>
            <w:tcMar>
              <w:top w:w="0" w:type="dxa"/>
              <w:left w:w="105" w:type="dxa"/>
              <w:bottom w:w="0" w:type="dxa"/>
              <w:right w:w="105" w:type="dxa"/>
            </w:tcMar>
            <w:vAlign w:val="top"/>
          </w:tcPr>
          <w:p w14:paraId="421766AF">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配套设施</w:t>
            </w:r>
          </w:p>
        </w:tc>
        <w:tc>
          <w:tcPr>
            <w:tcW w:w="754" w:type="pct"/>
            <w:tcBorders>
              <w:top w:val="nil"/>
              <w:left w:val="nil"/>
              <w:bottom w:val="single" w:color="000000" w:sz="4" w:space="0"/>
              <w:right w:val="single" w:color="000000" w:sz="4" w:space="0"/>
            </w:tcBorders>
            <w:tcMar>
              <w:top w:w="0" w:type="dxa"/>
              <w:left w:w="105" w:type="dxa"/>
              <w:bottom w:w="0" w:type="dxa"/>
              <w:right w:w="105" w:type="dxa"/>
            </w:tcMar>
            <w:vAlign w:val="top"/>
          </w:tcPr>
          <w:p w14:paraId="3421A105">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2套</w:t>
            </w:r>
          </w:p>
        </w:tc>
        <w:tc>
          <w:tcPr>
            <w:tcW w:w="1846" w:type="pct"/>
            <w:tcBorders>
              <w:top w:val="nil"/>
              <w:left w:val="nil"/>
              <w:bottom w:val="single" w:color="000000" w:sz="4" w:space="0"/>
              <w:right w:val="single" w:color="000000" w:sz="4" w:space="0"/>
            </w:tcBorders>
            <w:tcMar>
              <w:top w:w="0" w:type="dxa"/>
              <w:left w:w="105" w:type="dxa"/>
              <w:bottom w:w="0" w:type="dxa"/>
              <w:right w:w="105" w:type="dxa"/>
            </w:tcMar>
            <w:vAlign w:val="top"/>
          </w:tcPr>
          <w:p w14:paraId="720096F1">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b/>
                <w:sz w:val="21"/>
              </w:rPr>
              <w:t>——</w:t>
            </w:r>
          </w:p>
        </w:tc>
      </w:tr>
    </w:tbl>
    <w:p w14:paraId="29DCFF48">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p>
    <w:p w14:paraId="4816ED0D">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sz w:val="21"/>
        </w:rPr>
        <w:t>可搬移监测站结构图（详见附件）</w:t>
      </w:r>
    </w:p>
    <w:p w14:paraId="3688ED2E">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2.功能要求</w:t>
      </w:r>
    </w:p>
    <w:p w14:paraId="51DD4762">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（1）总体要求</w:t>
      </w:r>
    </w:p>
    <w:p w14:paraId="53087628">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可搬移监测测向站的应用：快速部署到任意监测地点，如重大活动会场、重点监测区域，实现对指定覆盖区域内电磁环境的阶段性监测，满足重大活动保障等重要监测任务需求。</w:t>
      </w:r>
    </w:p>
    <w:p w14:paraId="5BF8EB84">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干扰源的最后徒步定位和无线电比赛的徒步应用：接收机具备手持式接收机的特性，具备3组以上射频接口，可直接连接手持式定向天线。具备8寸以上屏幕、按键和滚轮设计，便于外场操作。具备多任务功能，每组任务下可自定义频率、带宽等参数。最少可同时开启6组任务标签。每一个任务可定义多达5个视图进行不同结果的显示。</w:t>
      </w:r>
    </w:p>
    <w:p w14:paraId="72CE4FAE">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可快速拆装的车载监测测向系统：一幅测向天线支持测向频率范围：</w:t>
      </w:r>
      <w:r>
        <w:rPr>
          <w:rFonts w:ascii="宋体" w:hAnsi="宋体" w:eastAsia="宋体" w:cs="宋体"/>
          <w:sz w:val="21"/>
        </w:rPr>
        <w:t>20MHz～8000MHz</w:t>
      </w:r>
      <w:r>
        <w:rPr>
          <w:rFonts w:ascii="宋体" w:hAnsi="宋体" w:eastAsia="宋体" w:cs="宋体"/>
          <w:color w:val="000000"/>
          <w:sz w:val="21"/>
        </w:rPr>
        <w:t>；测向天线具备磁吸能力，可快速装车，和接收机组成车载监测测向系统。不需要额外外接笔记本电脑或者平板电脑等形式的画面输出，接收机屏幕上直接显示测向示向线结果、热力图定位、俯仰角等可视化内容。</w:t>
      </w:r>
    </w:p>
    <w:p w14:paraId="00C8261B">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（2）基本监测功能</w:t>
      </w:r>
    </w:p>
    <w:p w14:paraId="4172C6E7">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支持对指定频点进行单频测量，中频频谱分析，瀑布图分析等，支持信号的ITU分析功能。</w:t>
      </w:r>
    </w:p>
    <w:p w14:paraId="7E336BF5">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支持单或多频段扫描功能，支持扫描频谱图分析和瀑布图显示，具备实时占用度统计以及占用度（日月报）分析数据统计和存储。</w:t>
      </w:r>
    </w:p>
    <w:p w14:paraId="0DAF57E3">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支持单个或多个离散频点电平或场强测量。</w:t>
      </w:r>
    </w:p>
    <w:p w14:paraId="7C7FBA16">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支持对单个或多个频点进行录音、中频频谱分析，瀑布图分析，支持音频播放。</w:t>
      </w:r>
    </w:p>
    <w:p w14:paraId="1FEC53C6">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（3）电磁环境测量</w:t>
      </w:r>
    </w:p>
    <w:p w14:paraId="4ADB771E">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支持对覆盖范围内的电磁环境进行监测测量。</w:t>
      </w:r>
    </w:p>
    <w:p w14:paraId="73E8626A">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（4）测向定位功能</w:t>
      </w:r>
    </w:p>
    <w:p w14:paraId="262BE710">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对单个或多个频点进行测向，显示实时示向度、示向度概率统计、示向质量、实时电平、电平曲线、瀑布图，支持对每个频点的示向度进行统计。</w:t>
      </w:r>
    </w:p>
    <w:p w14:paraId="2323A128">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对一定带宽范围内的信号进行扫描，可以选择对应频点测向，显示实时示向度、示向度最优值、实时频谱、瀑布图。</w:t>
      </w:r>
    </w:p>
    <w:p w14:paraId="63209178">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能够对过去不少于24小时内出现过的干扰信号测向定位。</w:t>
      </w:r>
    </w:p>
    <w:p w14:paraId="333FDFA9">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（5）监测数据存储和处理</w:t>
      </w:r>
    </w:p>
    <w:p w14:paraId="64701344">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对监测数据可实时进行录音、记录和保存，数据可以进行语音同步回访，还可以采取类似播放器的功能，以进度条、加速、减速方式控制数据回放时的进度和速度的调整。保存过的数据可以通过站点等多种条件进行检索，并可以方便的进行调用、回放和查看。</w:t>
      </w:r>
    </w:p>
    <w:p w14:paraId="789E570F">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（6）系统遥控和联网</w:t>
      </w:r>
    </w:p>
    <w:p w14:paraId="41B9653C">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系统具备遥控功能，支持远程遥控设备进行监测分析功能。</w:t>
      </w:r>
    </w:p>
    <w:p w14:paraId="1D5B0C7D">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可通过无线联网方式与现有监测控制中心联网，实现与其它监测站组网监测、数据共享。</w:t>
      </w:r>
    </w:p>
    <w:p w14:paraId="72251CB7">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（7）系统自检</w:t>
      </w:r>
    </w:p>
    <w:p w14:paraId="1723AC1E">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支持系统自行检测，确保系统安全、可用。</w:t>
      </w:r>
    </w:p>
    <w:p w14:paraId="1821D41A">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（8）系统安全</w:t>
      </w:r>
    </w:p>
    <w:p w14:paraId="481523A6">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本项目所使用的软件、系统需为正版软件、系统，监测测向系统需通过运营商专线接入陕西省无线电监测专网。</w:t>
      </w:r>
    </w:p>
    <w:p w14:paraId="7485ABFC">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（9）设备操作服务</w:t>
      </w:r>
    </w:p>
    <w:p w14:paraId="74E55429">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监测测向软件能与现有陕西省无线电监测网系统无缝整合，符合《超短波监测管理服务接口规范》的设备操作服务封装，可无缝对接省级、国家级一体化平台接入要求。</w:t>
      </w:r>
    </w:p>
    <w:p w14:paraId="0B8225A2">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（10）监测和测向实时并行</w:t>
      </w:r>
    </w:p>
    <w:p w14:paraId="32BED419">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支持同时开展监测和测向任务。</w:t>
      </w:r>
    </w:p>
    <w:p w14:paraId="657D8403">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（11）广播电视信号和图像信号监测和分析</w:t>
      </w:r>
    </w:p>
    <w:p w14:paraId="131F2E35">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具备对广播电视信号进行监测，可以对电视信号频率、强度和占用带宽进行监测分析，必要时可以对信号进行定位。</w:t>
      </w:r>
      <w:bookmarkStart w:id="0" w:name="_GoBack"/>
      <w:bookmarkEnd w:id="0"/>
    </w:p>
    <w:p w14:paraId="2DD04CC1">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（12）信号分析功能</w:t>
      </w:r>
    </w:p>
    <w:p w14:paraId="07D74F59">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具备对模拟信号进行解调，支持FM/AM/LSB/USB/CW；</w:t>
      </w:r>
    </w:p>
    <w:p w14:paraId="4F2A7C7C">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具备对频域信号进行分析，显示信号频率、信号强度、信号占用带宽等参数；</w:t>
      </w:r>
    </w:p>
    <w:p w14:paraId="2BA5379C">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支持时域信号分析，可以显示信号的发射时间、发射周期、占空比等时域参数；</w:t>
      </w:r>
    </w:p>
    <w:p w14:paraId="454DAED3">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（13）数据分析功能</w:t>
      </w:r>
    </w:p>
    <w:p w14:paraId="0C7930FB">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支持用户操作日志的记录和管理。</w:t>
      </w:r>
    </w:p>
    <w:p w14:paraId="06C94801">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显示用户、监测站、设备、故障类型、故障时间等。</w:t>
      </w:r>
    </w:p>
    <w:p w14:paraId="377E7069">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能完成国家监测日报、月报的要求。支持自动门限和手动门限选择设置，能完成监测日报、月报的数据统计、分析、报表输出等。</w:t>
      </w:r>
    </w:p>
    <w:p w14:paraId="7534D517">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（14）电子地图</w:t>
      </w:r>
    </w:p>
    <w:p w14:paraId="0205E945">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支持互联网免费图源，支持用户从互联网下载地图后更新；</w:t>
      </w:r>
    </w:p>
    <w:p w14:paraId="79B8F158">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电子地图数据来源及安全处理技术基本要求应符合国家相关标准规范。</w:t>
      </w:r>
    </w:p>
    <w:p w14:paraId="052567EB">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电子地图基础功能：具备无级放大、缩小、漫游、测距等功能；</w:t>
      </w:r>
    </w:p>
    <w:p w14:paraId="36E053AE">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监测站状态显示：可将台站数据库中的台站显示在电子地图上；支持在电子地图上显示台站基本信息，支持按照电子地图的比例进行聚合显示；支持电子地图显示监测站位置、状态等信息，支持从电子地图触发测量任务等。</w:t>
      </w:r>
    </w:p>
    <w:p w14:paraId="7B159196">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（15）设备定位能力</w:t>
      </w:r>
    </w:p>
    <w:p w14:paraId="34B65793">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接收机配合自动测向天线，无需外接PC端软件，能够在地图上自动定位功能：快速显示概率热图并准确给出干扰源位置。通过相关干涉测向数据，空间传播算法在地图上给出发射信号源的概率热图。所有测量结果都直接输出在接收机屏幕上，不需要其他形式的画面输出，测量结果包括：俯仰角、示向线、定位图等。</w:t>
      </w:r>
    </w:p>
    <w:p w14:paraId="3070C80F">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▲（16）设备机动能力</w:t>
      </w:r>
    </w:p>
    <w:p w14:paraId="1397F636">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自动测向天线支持磁吸方式安装在车顶，一个自动测向天线即可完成短波、高频、甚高频、L波段、C波段等信号的监测和测向。监测频率范围不小于</w:t>
      </w:r>
      <w:r>
        <w:rPr>
          <w:rFonts w:ascii="宋体" w:hAnsi="宋体" w:eastAsia="宋体" w:cs="宋体"/>
          <w:sz w:val="21"/>
        </w:rPr>
        <w:t>20MHz～8000MHz</w:t>
      </w:r>
      <w:r>
        <w:rPr>
          <w:rFonts w:ascii="宋体" w:hAnsi="宋体" w:eastAsia="宋体" w:cs="宋体"/>
          <w:color w:val="000000"/>
          <w:sz w:val="21"/>
        </w:rPr>
        <w:t>。可单人操作，可快速装车、装船、实现车载、船载监测测向，实现移动测向或者可搬移测向；也可作为固定监测点使用。接收机可快速切换便携式定向天线，进行便携式监测测向。</w:t>
      </w:r>
    </w:p>
    <w:p w14:paraId="23499DDC">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（17）设备界面UI能力</w:t>
      </w:r>
    </w:p>
    <w:p w14:paraId="2981459E">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设备界面支持单视图窗口、多视图窗口和多任务模式，可以同时建立多个任务，同一个窗口可同时显示6个操作视图，以提高工程师联动分析的工作效率和便捷性。</w:t>
      </w:r>
    </w:p>
    <w:p w14:paraId="26A664A4">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（18）设备手动测向能力</w:t>
      </w:r>
    </w:p>
    <w:p w14:paraId="5106D9D8">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配合配套的手持天线使用，结合地图和罗盘等功能，可以在地图上给出扇形区域的测向热力图结果。</w:t>
      </w:r>
    </w:p>
    <w:p w14:paraId="4353CB8C">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3.技术指标</w:t>
      </w:r>
    </w:p>
    <w:p w14:paraId="355EF3CF">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sz w:val="21"/>
        </w:rPr>
        <w:t>系统指标等于或高于最新二类可搬移站国家要求。</w:t>
      </w:r>
    </w:p>
    <w:p w14:paraId="23F6E743">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sz w:val="21"/>
        </w:rPr>
        <w:t>（1）监测技术指标</w:t>
      </w:r>
    </w:p>
    <w:p w14:paraId="04118040">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sz w:val="21"/>
        </w:rPr>
        <w:t>工作频率范围：20MHz～8000MHz；</w:t>
      </w:r>
    </w:p>
    <w:p w14:paraId="1FA02AF2">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sz w:val="21"/>
        </w:rPr>
        <w:t>频率稳定度：≤±3×10</w:t>
      </w:r>
      <w:r>
        <w:rPr>
          <w:rFonts w:ascii="宋体" w:hAnsi="宋体" w:eastAsia="宋体" w:cs="宋体"/>
          <w:sz w:val="21"/>
          <w:vertAlign w:val="superscript"/>
        </w:rPr>
        <w:t>-7</w:t>
      </w:r>
      <w:r>
        <w:rPr>
          <w:rFonts w:ascii="宋体" w:hAnsi="宋体" w:eastAsia="宋体" w:cs="宋体"/>
          <w:sz w:val="21"/>
        </w:rPr>
        <w:t>（0℃～45℃）；</w:t>
      </w:r>
    </w:p>
    <w:p w14:paraId="326413B3">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w:t>
      </w:r>
      <w:r>
        <w:rPr>
          <w:rFonts w:ascii="宋体" w:hAnsi="宋体" w:eastAsia="宋体" w:cs="宋体"/>
          <w:sz w:val="21"/>
        </w:rPr>
        <w:t>监测灵敏度：≤15dBμV/m（20MHz～8000MHz）</w:t>
      </w:r>
    </w:p>
    <w:p w14:paraId="1EBCA7B6">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sz w:val="21"/>
        </w:rPr>
        <w:t>相位噪声：≤-100dBc/Hz@10kHz（fc=1GHz）</w:t>
      </w:r>
    </w:p>
    <w:p w14:paraId="5FC9676E">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sz w:val="21"/>
        </w:rPr>
        <w:t>噪声系数：≤15dB（实时带宽20MHz）</w:t>
      </w:r>
    </w:p>
    <w:p w14:paraId="4B119B25">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w:t>
      </w:r>
      <w:r>
        <w:rPr>
          <w:rFonts w:ascii="宋体" w:hAnsi="宋体" w:eastAsia="宋体" w:cs="宋体"/>
          <w:sz w:val="21"/>
        </w:rPr>
        <w:t>中频抑制：≥90dB</w:t>
      </w:r>
    </w:p>
    <w:p w14:paraId="53AEB3F2">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w:t>
      </w:r>
      <w:r>
        <w:rPr>
          <w:rFonts w:ascii="宋体" w:hAnsi="宋体" w:eastAsia="宋体" w:cs="宋体"/>
          <w:sz w:val="21"/>
        </w:rPr>
        <w:t>镜频抑制：≥90dB</w:t>
      </w:r>
    </w:p>
    <w:p w14:paraId="6024F0F8">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sz w:val="21"/>
        </w:rPr>
        <w:t>二阶截点IP2：≥65dBm（低失真模式，中频带宽20MHz）</w:t>
      </w:r>
    </w:p>
    <w:p w14:paraId="4C1768D7">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sz w:val="21"/>
        </w:rPr>
        <w:t>三阶截点IP3：≥35dBm（低失真模式，中频带宽20MHz）</w:t>
      </w:r>
    </w:p>
    <w:p w14:paraId="0B299749">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sz w:val="21"/>
        </w:rPr>
        <w:t>中频实时带宽：≥40MHz</w:t>
      </w:r>
    </w:p>
    <w:p w14:paraId="1566C316">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sz w:val="21"/>
        </w:rPr>
        <w:t>扫描速度：≥50GHz/s（25kHz步进）</w:t>
      </w:r>
    </w:p>
    <w:p w14:paraId="6A529944">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sz w:val="21"/>
        </w:rPr>
        <w:t>（2）测向技术指标</w:t>
      </w:r>
    </w:p>
    <w:p w14:paraId="6871D9BB">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sz w:val="21"/>
        </w:rPr>
        <w:t>测向工作频率范围：垂直：20MHz～8000MHz，</w:t>
      </w:r>
    </w:p>
    <w:p w14:paraId="18F9BDBD">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sz w:val="21"/>
        </w:rPr>
        <w:t>测向准确度：≤1.5°（30MHz～8000MHz，R.M.S，无反射环境）；</w:t>
      </w:r>
    </w:p>
    <w:p w14:paraId="1E91556D">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w:t>
      </w:r>
      <w:r>
        <w:rPr>
          <w:rFonts w:ascii="宋体" w:hAnsi="宋体" w:eastAsia="宋体" w:cs="宋体"/>
          <w:sz w:val="21"/>
        </w:rPr>
        <w:t>测向灵敏度：≤15dBμV/m（20MHz～8000MHz）</w:t>
      </w:r>
    </w:p>
    <w:p w14:paraId="566D150E">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color w:val="000000"/>
          <w:sz w:val="21"/>
        </w:rPr>
        <w:t>▲</w:t>
      </w:r>
      <w:r>
        <w:rPr>
          <w:rFonts w:ascii="宋体" w:hAnsi="宋体" w:eastAsia="宋体" w:cs="宋体"/>
          <w:sz w:val="21"/>
        </w:rPr>
        <w:t>测向时效：≤2ms（单次突发信号）</w:t>
      </w:r>
    </w:p>
    <w:p w14:paraId="653EE3AA">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sz w:val="21"/>
        </w:rPr>
        <w:t>（3）其他指标</w:t>
      </w:r>
    </w:p>
    <w:p w14:paraId="784EC918">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sz w:val="21"/>
        </w:rPr>
        <w:t>供电方式：市电、蓄电池</w:t>
      </w:r>
    </w:p>
    <w:p w14:paraId="17E638FD">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sz w:val="21"/>
        </w:rPr>
        <w:t>使用移动电源情况下持续工作时间：≥8小时</w:t>
      </w:r>
    </w:p>
    <w:p w14:paraId="35D096A7">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sz w:val="21"/>
        </w:rPr>
        <w:t>使用市电情况下连续监测能力：7×24小时</w:t>
      </w:r>
    </w:p>
    <w:p w14:paraId="579EC6FC">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sz w:val="21"/>
        </w:rPr>
        <w:t>接收机射频接口：不少于3个射频接口，其中最少一个为N型接口；</w:t>
      </w:r>
    </w:p>
    <w:p w14:paraId="2058DECD">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sz w:val="21"/>
        </w:rPr>
        <w:t>接收机屏幕要求：不小于8寸的屏幕，全中文操作菜单；</w:t>
      </w:r>
    </w:p>
    <w:p w14:paraId="2B8DA799">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sz w:val="21"/>
        </w:rPr>
        <w:t>接收机内置衰减器要求：不少于30dB，0.5dB步进</w:t>
      </w:r>
    </w:p>
    <w:p w14:paraId="6E569B80">
      <w:pPr>
        <w:pStyle w:val="4"/>
        <w:keepNext w:val="0"/>
        <w:keepLines w:val="0"/>
        <w:pageBreakBefore w:val="0"/>
        <w:kinsoku/>
        <w:wordWrap/>
        <w:overflowPunct/>
        <w:topLinePunct w:val="0"/>
        <w:autoSpaceDE/>
        <w:autoSpaceDN/>
        <w:bidi w:val="0"/>
        <w:adjustRightInd/>
        <w:snapToGrid/>
        <w:spacing w:line="360" w:lineRule="auto"/>
        <w:ind w:firstLine="400"/>
        <w:jc w:val="both"/>
        <w:textAlignment w:val="auto"/>
      </w:pPr>
      <w:r>
        <w:rPr>
          <w:rFonts w:ascii="宋体" w:hAnsi="宋体" w:eastAsia="宋体" w:cs="宋体"/>
          <w:sz w:val="21"/>
        </w:rPr>
        <w:t>4.配置明细</w:t>
      </w:r>
    </w:p>
    <w:p w14:paraId="3215387B">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设备配置明细表</w:t>
      </w:r>
    </w:p>
    <w:tbl>
      <w:tblPr>
        <w:tblStyle w:val="2"/>
        <w:tblW w:w="4998" w:type="pct"/>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146"/>
        <w:gridCol w:w="1725"/>
        <w:gridCol w:w="4495"/>
        <w:gridCol w:w="1147"/>
      </w:tblGrid>
      <w:tr w14:paraId="02B8196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3" w:type="pct"/>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3B22B90F">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序号</w:t>
            </w:r>
          </w:p>
        </w:tc>
        <w:tc>
          <w:tcPr>
            <w:tcW w:w="1013"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16E9EB5">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设备名称</w:t>
            </w:r>
          </w:p>
        </w:tc>
        <w:tc>
          <w:tcPr>
            <w:tcW w:w="2639"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893CBDB">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规格型号</w:t>
            </w:r>
          </w:p>
        </w:tc>
        <w:tc>
          <w:tcPr>
            <w:tcW w:w="673" w:type="pct"/>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188A6CC3">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备注</w:t>
            </w:r>
          </w:p>
        </w:tc>
      </w:tr>
      <w:tr w14:paraId="38C8FB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5C9675F9">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1</w:t>
            </w:r>
          </w:p>
        </w:tc>
        <w:tc>
          <w:tcPr>
            <w:tcW w:w="1013" w:type="pct"/>
            <w:tcBorders>
              <w:top w:val="nil"/>
              <w:left w:val="nil"/>
              <w:bottom w:val="single" w:color="000000" w:sz="4" w:space="0"/>
              <w:right w:val="single" w:color="000000" w:sz="4" w:space="0"/>
            </w:tcBorders>
            <w:tcMar>
              <w:top w:w="0" w:type="dxa"/>
              <w:left w:w="105" w:type="dxa"/>
              <w:bottom w:w="0" w:type="dxa"/>
              <w:right w:w="105" w:type="dxa"/>
            </w:tcMar>
            <w:vAlign w:val="top"/>
          </w:tcPr>
          <w:p w14:paraId="09EDC0AD">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b/>
                <w:sz w:val="21"/>
              </w:rPr>
              <w:t>无线电监测测向接收机（核心产品）</w:t>
            </w:r>
          </w:p>
        </w:tc>
        <w:tc>
          <w:tcPr>
            <w:tcW w:w="2639" w:type="pct"/>
            <w:tcBorders>
              <w:top w:val="nil"/>
              <w:left w:val="nil"/>
              <w:bottom w:val="single" w:color="000000" w:sz="4" w:space="0"/>
              <w:right w:val="single" w:color="000000" w:sz="4" w:space="0"/>
            </w:tcBorders>
            <w:tcMar>
              <w:top w:w="0" w:type="dxa"/>
              <w:left w:w="105" w:type="dxa"/>
              <w:bottom w:w="0" w:type="dxa"/>
              <w:right w:w="105" w:type="dxa"/>
            </w:tcMar>
            <w:vAlign w:val="top"/>
          </w:tcPr>
          <w:p w14:paraId="091ACFB2">
            <w:pPr>
              <w:pStyle w:val="4"/>
              <w:keepNext w:val="0"/>
              <w:keepLines w:val="0"/>
              <w:pageBreakBefore w:val="0"/>
              <w:kinsoku/>
              <w:wordWrap/>
              <w:overflowPunct/>
              <w:topLinePunct w:val="0"/>
              <w:autoSpaceDE/>
              <w:autoSpaceDN/>
              <w:bidi w:val="0"/>
              <w:adjustRightInd/>
              <w:snapToGrid/>
              <w:spacing w:line="360" w:lineRule="auto"/>
              <w:jc w:val="left"/>
              <w:textAlignment w:val="auto"/>
            </w:pPr>
            <w:r>
              <w:rPr>
                <w:rFonts w:ascii="宋体" w:hAnsi="宋体" w:eastAsia="宋体" w:cs="宋体"/>
                <w:sz w:val="21"/>
              </w:rPr>
              <w:t>频率范围：20MHz~8000MHz</w:t>
            </w:r>
          </w:p>
        </w:tc>
        <w:tc>
          <w:tcPr>
            <w:tcW w:w="673" w:type="pct"/>
            <w:tcBorders>
              <w:top w:val="nil"/>
              <w:left w:val="nil"/>
              <w:bottom w:val="single" w:color="000000" w:sz="4" w:space="0"/>
              <w:right w:val="single" w:color="000000" w:sz="4" w:space="0"/>
            </w:tcBorders>
            <w:tcMar>
              <w:top w:w="0" w:type="dxa"/>
              <w:left w:w="105" w:type="dxa"/>
              <w:bottom w:w="0" w:type="dxa"/>
              <w:right w:w="105" w:type="dxa"/>
            </w:tcMar>
            <w:vAlign w:val="top"/>
          </w:tcPr>
          <w:p w14:paraId="15F7BA0A">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2套</w:t>
            </w:r>
          </w:p>
        </w:tc>
      </w:tr>
      <w:tr w14:paraId="3A463B1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6868D7BC">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2</w:t>
            </w:r>
          </w:p>
        </w:tc>
        <w:tc>
          <w:tcPr>
            <w:tcW w:w="1013" w:type="pct"/>
            <w:tcBorders>
              <w:top w:val="nil"/>
              <w:left w:val="nil"/>
              <w:bottom w:val="single" w:color="000000" w:sz="4" w:space="0"/>
              <w:right w:val="single" w:color="000000" w:sz="4" w:space="0"/>
            </w:tcBorders>
            <w:tcMar>
              <w:top w:w="0" w:type="dxa"/>
              <w:left w:w="105" w:type="dxa"/>
              <w:bottom w:w="0" w:type="dxa"/>
              <w:right w:w="105" w:type="dxa"/>
            </w:tcMar>
            <w:vAlign w:val="top"/>
          </w:tcPr>
          <w:p w14:paraId="56149883">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自动测向天线</w:t>
            </w:r>
          </w:p>
        </w:tc>
        <w:tc>
          <w:tcPr>
            <w:tcW w:w="2639" w:type="pct"/>
            <w:tcBorders>
              <w:top w:val="nil"/>
              <w:left w:val="nil"/>
              <w:bottom w:val="single" w:color="000000" w:sz="4" w:space="0"/>
              <w:right w:val="single" w:color="000000" w:sz="4" w:space="0"/>
            </w:tcBorders>
            <w:tcMar>
              <w:top w:w="0" w:type="dxa"/>
              <w:left w:w="105" w:type="dxa"/>
              <w:bottom w:w="0" w:type="dxa"/>
              <w:right w:w="105" w:type="dxa"/>
            </w:tcMar>
            <w:vAlign w:val="top"/>
          </w:tcPr>
          <w:p w14:paraId="0C09191C">
            <w:pPr>
              <w:pStyle w:val="4"/>
              <w:keepNext w:val="0"/>
              <w:keepLines w:val="0"/>
              <w:pageBreakBefore w:val="0"/>
              <w:kinsoku/>
              <w:wordWrap/>
              <w:overflowPunct/>
              <w:topLinePunct w:val="0"/>
              <w:autoSpaceDE/>
              <w:autoSpaceDN/>
              <w:bidi w:val="0"/>
              <w:adjustRightInd/>
              <w:snapToGrid/>
              <w:spacing w:line="360" w:lineRule="auto"/>
              <w:jc w:val="left"/>
              <w:textAlignment w:val="auto"/>
            </w:pPr>
            <w:r>
              <w:rPr>
                <w:rFonts w:ascii="宋体" w:hAnsi="宋体" w:eastAsia="宋体" w:cs="宋体"/>
                <w:sz w:val="21"/>
              </w:rPr>
              <w:t>频率范围：垂直：20MHz~8000MHz</w:t>
            </w:r>
          </w:p>
        </w:tc>
        <w:tc>
          <w:tcPr>
            <w:tcW w:w="67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0E9FAC3">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2套</w:t>
            </w:r>
          </w:p>
        </w:tc>
      </w:tr>
      <w:tr w14:paraId="113903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3" w:type="pct"/>
            <w:vMerge w:val="restar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095411D">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3</w:t>
            </w:r>
          </w:p>
        </w:tc>
        <w:tc>
          <w:tcPr>
            <w:tcW w:w="1013" w:type="pct"/>
            <w:vMerge w:val="restart"/>
            <w:tcBorders>
              <w:top w:val="nil"/>
              <w:left w:val="nil"/>
              <w:bottom w:val="single" w:color="000000" w:sz="4" w:space="0"/>
              <w:right w:val="single" w:color="000000" w:sz="4" w:space="0"/>
            </w:tcBorders>
            <w:tcMar>
              <w:top w:w="0" w:type="dxa"/>
              <w:left w:w="105" w:type="dxa"/>
              <w:bottom w:w="0" w:type="dxa"/>
              <w:right w:w="105" w:type="dxa"/>
            </w:tcMar>
            <w:vAlign w:val="top"/>
          </w:tcPr>
          <w:p w14:paraId="4215D324">
            <w:pPr>
              <w:pStyle w:val="4"/>
              <w:keepNext w:val="0"/>
              <w:keepLines w:val="0"/>
              <w:pageBreakBefore w:val="0"/>
              <w:kinsoku/>
              <w:wordWrap/>
              <w:overflowPunct/>
              <w:topLinePunct w:val="0"/>
              <w:autoSpaceDE/>
              <w:autoSpaceDN/>
              <w:bidi w:val="0"/>
              <w:adjustRightInd/>
              <w:snapToGrid/>
              <w:spacing w:line="360" w:lineRule="auto"/>
              <w:textAlignment w:val="auto"/>
            </w:pPr>
            <w:r>
              <w:rPr>
                <w:rFonts w:ascii="宋体" w:hAnsi="宋体" w:eastAsia="宋体" w:cs="宋体"/>
                <w:sz w:val="21"/>
              </w:rPr>
              <w:t>手持定向天线</w:t>
            </w:r>
          </w:p>
        </w:tc>
        <w:tc>
          <w:tcPr>
            <w:tcW w:w="263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84ADE8C">
            <w:pPr>
              <w:pStyle w:val="4"/>
              <w:keepNext w:val="0"/>
              <w:keepLines w:val="0"/>
              <w:pageBreakBefore w:val="0"/>
              <w:kinsoku/>
              <w:wordWrap/>
              <w:overflowPunct/>
              <w:topLinePunct w:val="0"/>
              <w:autoSpaceDE/>
              <w:autoSpaceDN/>
              <w:bidi w:val="0"/>
              <w:adjustRightInd/>
              <w:snapToGrid/>
              <w:spacing w:line="360" w:lineRule="auto"/>
              <w:jc w:val="left"/>
              <w:textAlignment w:val="auto"/>
            </w:pPr>
            <w:r>
              <w:rPr>
                <w:rFonts w:ascii="宋体" w:hAnsi="宋体" w:eastAsia="宋体" w:cs="宋体"/>
                <w:sz w:val="21"/>
              </w:rPr>
              <w:t>定向天线：20MHz~250MHz</w:t>
            </w:r>
          </w:p>
        </w:tc>
        <w:tc>
          <w:tcPr>
            <w:tcW w:w="673" w:type="pct"/>
            <w:tcBorders>
              <w:top w:val="nil"/>
              <w:left w:val="nil"/>
              <w:bottom w:val="single" w:color="000000" w:sz="4" w:space="0"/>
              <w:right w:val="single" w:color="000000" w:sz="4" w:space="0"/>
            </w:tcBorders>
            <w:tcMar>
              <w:top w:w="0" w:type="dxa"/>
              <w:left w:w="105" w:type="dxa"/>
              <w:bottom w:w="0" w:type="dxa"/>
              <w:right w:w="105" w:type="dxa"/>
            </w:tcMar>
            <w:vAlign w:val="top"/>
          </w:tcPr>
          <w:p w14:paraId="17D9E86E">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2套</w:t>
            </w:r>
          </w:p>
        </w:tc>
      </w:tr>
      <w:tr w14:paraId="23A0E797">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3" w:type="pct"/>
            <w:vMerge w:val="continue"/>
            <w:tcBorders>
              <w:top w:val="nil"/>
              <w:left w:val="single" w:color="000000" w:sz="4" w:space="0"/>
              <w:bottom w:val="single" w:color="000000" w:sz="4" w:space="0"/>
              <w:right w:val="single" w:color="000000" w:sz="4" w:space="0"/>
            </w:tcBorders>
          </w:tcPr>
          <w:p w14:paraId="5CE02AF7">
            <w:pPr>
              <w:keepNext w:val="0"/>
              <w:keepLines w:val="0"/>
              <w:pageBreakBefore w:val="0"/>
              <w:kinsoku/>
              <w:wordWrap/>
              <w:overflowPunct/>
              <w:topLinePunct w:val="0"/>
              <w:autoSpaceDE/>
              <w:autoSpaceDN/>
              <w:bidi w:val="0"/>
              <w:adjustRightInd/>
              <w:snapToGrid/>
              <w:spacing w:line="360" w:lineRule="auto"/>
              <w:textAlignment w:val="auto"/>
            </w:pPr>
          </w:p>
        </w:tc>
        <w:tc>
          <w:tcPr>
            <w:tcW w:w="1013" w:type="pct"/>
            <w:vMerge w:val="continue"/>
            <w:tcBorders>
              <w:top w:val="nil"/>
              <w:left w:val="nil"/>
              <w:bottom w:val="single" w:color="000000" w:sz="4" w:space="0"/>
              <w:right w:val="single" w:color="000000" w:sz="4" w:space="0"/>
            </w:tcBorders>
          </w:tcPr>
          <w:p w14:paraId="0DC9D7CF">
            <w:pPr>
              <w:keepNext w:val="0"/>
              <w:keepLines w:val="0"/>
              <w:pageBreakBefore w:val="0"/>
              <w:kinsoku/>
              <w:wordWrap/>
              <w:overflowPunct/>
              <w:topLinePunct w:val="0"/>
              <w:autoSpaceDE/>
              <w:autoSpaceDN/>
              <w:bidi w:val="0"/>
              <w:adjustRightInd/>
              <w:snapToGrid/>
              <w:spacing w:line="360" w:lineRule="auto"/>
              <w:textAlignment w:val="auto"/>
            </w:pPr>
          </w:p>
        </w:tc>
        <w:tc>
          <w:tcPr>
            <w:tcW w:w="2639" w:type="pct"/>
            <w:tcBorders>
              <w:top w:val="nil"/>
              <w:left w:val="nil"/>
              <w:bottom w:val="single" w:color="000000" w:sz="4" w:space="0"/>
              <w:right w:val="single" w:color="000000" w:sz="4" w:space="0"/>
            </w:tcBorders>
            <w:tcMar>
              <w:top w:w="0" w:type="dxa"/>
              <w:left w:w="105" w:type="dxa"/>
              <w:bottom w:w="0" w:type="dxa"/>
              <w:right w:w="105" w:type="dxa"/>
            </w:tcMar>
            <w:vAlign w:val="top"/>
          </w:tcPr>
          <w:p w14:paraId="4F2CFF28">
            <w:pPr>
              <w:pStyle w:val="4"/>
              <w:keepNext w:val="0"/>
              <w:keepLines w:val="0"/>
              <w:pageBreakBefore w:val="0"/>
              <w:kinsoku/>
              <w:wordWrap/>
              <w:overflowPunct/>
              <w:topLinePunct w:val="0"/>
              <w:autoSpaceDE/>
              <w:autoSpaceDN/>
              <w:bidi w:val="0"/>
              <w:adjustRightInd/>
              <w:snapToGrid/>
              <w:spacing w:line="360" w:lineRule="auto"/>
              <w:jc w:val="left"/>
              <w:textAlignment w:val="auto"/>
            </w:pPr>
            <w:r>
              <w:rPr>
                <w:rFonts w:ascii="宋体" w:hAnsi="宋体" w:eastAsia="宋体" w:cs="宋体"/>
                <w:sz w:val="21"/>
              </w:rPr>
              <w:t>定向天线：200MHz~500MHz</w:t>
            </w:r>
          </w:p>
        </w:tc>
        <w:tc>
          <w:tcPr>
            <w:tcW w:w="67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BF711DC">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2套</w:t>
            </w:r>
          </w:p>
        </w:tc>
      </w:tr>
      <w:tr w14:paraId="3EB7B26E">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3" w:type="pct"/>
            <w:vMerge w:val="continue"/>
            <w:tcBorders>
              <w:top w:val="nil"/>
              <w:left w:val="single" w:color="000000" w:sz="4" w:space="0"/>
              <w:bottom w:val="single" w:color="000000" w:sz="4" w:space="0"/>
              <w:right w:val="single" w:color="000000" w:sz="4" w:space="0"/>
            </w:tcBorders>
          </w:tcPr>
          <w:p w14:paraId="61B93131">
            <w:pPr>
              <w:keepNext w:val="0"/>
              <w:keepLines w:val="0"/>
              <w:pageBreakBefore w:val="0"/>
              <w:kinsoku/>
              <w:wordWrap/>
              <w:overflowPunct/>
              <w:topLinePunct w:val="0"/>
              <w:autoSpaceDE/>
              <w:autoSpaceDN/>
              <w:bidi w:val="0"/>
              <w:adjustRightInd/>
              <w:snapToGrid/>
              <w:spacing w:line="360" w:lineRule="auto"/>
              <w:textAlignment w:val="auto"/>
            </w:pPr>
          </w:p>
        </w:tc>
        <w:tc>
          <w:tcPr>
            <w:tcW w:w="1013" w:type="pct"/>
            <w:vMerge w:val="continue"/>
            <w:tcBorders>
              <w:top w:val="nil"/>
              <w:left w:val="nil"/>
              <w:bottom w:val="single" w:color="000000" w:sz="4" w:space="0"/>
              <w:right w:val="single" w:color="000000" w:sz="4" w:space="0"/>
            </w:tcBorders>
          </w:tcPr>
          <w:p w14:paraId="62A1AFBE">
            <w:pPr>
              <w:keepNext w:val="0"/>
              <w:keepLines w:val="0"/>
              <w:pageBreakBefore w:val="0"/>
              <w:kinsoku/>
              <w:wordWrap/>
              <w:overflowPunct/>
              <w:topLinePunct w:val="0"/>
              <w:autoSpaceDE/>
              <w:autoSpaceDN/>
              <w:bidi w:val="0"/>
              <w:adjustRightInd/>
              <w:snapToGrid/>
              <w:spacing w:line="360" w:lineRule="auto"/>
              <w:textAlignment w:val="auto"/>
            </w:pPr>
          </w:p>
        </w:tc>
        <w:tc>
          <w:tcPr>
            <w:tcW w:w="2639" w:type="pct"/>
            <w:tcBorders>
              <w:top w:val="nil"/>
              <w:left w:val="nil"/>
              <w:bottom w:val="single" w:color="000000" w:sz="4" w:space="0"/>
              <w:right w:val="single" w:color="000000" w:sz="4" w:space="0"/>
            </w:tcBorders>
            <w:tcMar>
              <w:top w:w="0" w:type="dxa"/>
              <w:left w:w="105" w:type="dxa"/>
              <w:bottom w:w="0" w:type="dxa"/>
              <w:right w:w="105" w:type="dxa"/>
            </w:tcMar>
            <w:vAlign w:val="top"/>
          </w:tcPr>
          <w:p w14:paraId="5D953EBC">
            <w:pPr>
              <w:pStyle w:val="4"/>
              <w:keepNext w:val="0"/>
              <w:keepLines w:val="0"/>
              <w:pageBreakBefore w:val="0"/>
              <w:kinsoku/>
              <w:wordWrap/>
              <w:overflowPunct/>
              <w:topLinePunct w:val="0"/>
              <w:autoSpaceDE/>
              <w:autoSpaceDN/>
              <w:bidi w:val="0"/>
              <w:adjustRightInd/>
              <w:snapToGrid/>
              <w:spacing w:line="360" w:lineRule="auto"/>
              <w:jc w:val="left"/>
              <w:textAlignment w:val="auto"/>
            </w:pPr>
            <w:r>
              <w:rPr>
                <w:rFonts w:ascii="宋体" w:hAnsi="宋体" w:eastAsia="宋体" w:cs="宋体"/>
                <w:sz w:val="21"/>
              </w:rPr>
              <w:t>定向天线：400MHz~</w:t>
            </w:r>
            <w:r>
              <w:rPr>
                <w:rFonts w:ascii="宋体" w:hAnsi="宋体" w:eastAsia="宋体" w:cs="宋体"/>
                <w:sz w:val="20"/>
              </w:rPr>
              <w:t>8000MHz</w:t>
            </w:r>
          </w:p>
        </w:tc>
        <w:tc>
          <w:tcPr>
            <w:tcW w:w="67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32C1FC0">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2套</w:t>
            </w:r>
          </w:p>
        </w:tc>
      </w:tr>
      <w:tr w14:paraId="25B10BD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FCAD54F">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4</w:t>
            </w:r>
          </w:p>
        </w:tc>
        <w:tc>
          <w:tcPr>
            <w:tcW w:w="1013" w:type="pct"/>
            <w:tcBorders>
              <w:top w:val="nil"/>
              <w:left w:val="nil"/>
              <w:bottom w:val="single" w:color="000000" w:sz="4" w:space="0"/>
              <w:right w:val="single" w:color="000000" w:sz="4" w:space="0"/>
            </w:tcBorders>
            <w:tcMar>
              <w:top w:w="0" w:type="dxa"/>
              <w:left w:w="105" w:type="dxa"/>
              <w:bottom w:w="0" w:type="dxa"/>
              <w:right w:w="105" w:type="dxa"/>
            </w:tcMar>
            <w:vAlign w:val="top"/>
          </w:tcPr>
          <w:p w14:paraId="3AA138AA">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控制主机</w:t>
            </w:r>
          </w:p>
        </w:tc>
        <w:tc>
          <w:tcPr>
            <w:tcW w:w="2639" w:type="pct"/>
            <w:tcBorders>
              <w:top w:val="nil"/>
              <w:left w:val="nil"/>
              <w:bottom w:val="single" w:color="000000" w:sz="4" w:space="0"/>
              <w:right w:val="single" w:color="000000" w:sz="4" w:space="0"/>
            </w:tcBorders>
            <w:tcMar>
              <w:top w:w="0" w:type="dxa"/>
              <w:left w:w="105" w:type="dxa"/>
              <w:bottom w:w="0" w:type="dxa"/>
              <w:right w:w="105" w:type="dxa"/>
            </w:tcMar>
            <w:vAlign w:val="top"/>
          </w:tcPr>
          <w:p w14:paraId="2A8BDEE1">
            <w:pPr>
              <w:pStyle w:val="4"/>
              <w:keepNext w:val="0"/>
              <w:keepLines w:val="0"/>
              <w:pageBreakBefore w:val="0"/>
              <w:kinsoku/>
              <w:wordWrap/>
              <w:overflowPunct/>
              <w:topLinePunct w:val="0"/>
              <w:autoSpaceDE/>
              <w:autoSpaceDN/>
              <w:bidi w:val="0"/>
              <w:adjustRightInd/>
              <w:snapToGrid/>
              <w:spacing w:line="360" w:lineRule="auto"/>
              <w:jc w:val="left"/>
              <w:textAlignment w:val="auto"/>
            </w:pPr>
            <w:r>
              <w:rPr>
                <w:rFonts w:ascii="宋体" w:hAnsi="宋体" w:eastAsia="宋体" w:cs="宋体"/>
                <w:sz w:val="21"/>
              </w:rPr>
              <w:t>CPU至少为64位四核心八线程，运行内存不低于16G，硬盘不低于1T，正版操作系统，正版office软件</w:t>
            </w:r>
          </w:p>
        </w:tc>
        <w:tc>
          <w:tcPr>
            <w:tcW w:w="67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D618A2D">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2套</w:t>
            </w:r>
          </w:p>
        </w:tc>
      </w:tr>
      <w:tr w14:paraId="18376FE0">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102754F2">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5</w:t>
            </w:r>
          </w:p>
        </w:tc>
        <w:tc>
          <w:tcPr>
            <w:tcW w:w="1013" w:type="pct"/>
            <w:tcBorders>
              <w:top w:val="nil"/>
              <w:left w:val="nil"/>
              <w:bottom w:val="single" w:color="000000" w:sz="4" w:space="0"/>
              <w:right w:val="single" w:color="000000" w:sz="4" w:space="0"/>
            </w:tcBorders>
            <w:tcMar>
              <w:top w:w="0" w:type="dxa"/>
              <w:left w:w="105" w:type="dxa"/>
              <w:bottom w:w="0" w:type="dxa"/>
              <w:right w:w="105" w:type="dxa"/>
            </w:tcMar>
            <w:vAlign w:val="top"/>
          </w:tcPr>
          <w:p w14:paraId="0DC492CE">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无线电监测测向软件</w:t>
            </w:r>
          </w:p>
        </w:tc>
        <w:tc>
          <w:tcPr>
            <w:tcW w:w="2639" w:type="pct"/>
            <w:tcBorders>
              <w:top w:val="nil"/>
              <w:left w:val="nil"/>
              <w:bottom w:val="single" w:color="000000" w:sz="4" w:space="0"/>
              <w:right w:val="single" w:color="000000" w:sz="4" w:space="0"/>
            </w:tcBorders>
            <w:tcMar>
              <w:top w:w="0" w:type="dxa"/>
              <w:left w:w="105" w:type="dxa"/>
              <w:bottom w:w="0" w:type="dxa"/>
              <w:right w:w="105" w:type="dxa"/>
            </w:tcMar>
            <w:vAlign w:val="top"/>
          </w:tcPr>
          <w:p w14:paraId="0D75693E">
            <w:pPr>
              <w:pStyle w:val="4"/>
              <w:keepNext w:val="0"/>
              <w:keepLines w:val="0"/>
              <w:pageBreakBefore w:val="0"/>
              <w:kinsoku/>
              <w:wordWrap/>
              <w:overflowPunct/>
              <w:topLinePunct w:val="0"/>
              <w:autoSpaceDE/>
              <w:autoSpaceDN/>
              <w:bidi w:val="0"/>
              <w:adjustRightInd/>
              <w:snapToGrid/>
              <w:spacing w:line="360" w:lineRule="auto"/>
              <w:jc w:val="left"/>
              <w:textAlignment w:val="auto"/>
            </w:pPr>
            <w:r>
              <w:rPr>
                <w:rFonts w:ascii="宋体" w:hAnsi="宋体" w:eastAsia="宋体" w:cs="宋体"/>
                <w:sz w:val="21"/>
              </w:rPr>
              <w:t>含正版监测测向、统计分析、设备驱动、信号分析软件以及设备操作服务等</w:t>
            </w:r>
          </w:p>
        </w:tc>
        <w:tc>
          <w:tcPr>
            <w:tcW w:w="673" w:type="pct"/>
            <w:tcBorders>
              <w:top w:val="nil"/>
              <w:left w:val="nil"/>
              <w:bottom w:val="single" w:color="000000" w:sz="4" w:space="0"/>
              <w:right w:val="single" w:color="000000" w:sz="4" w:space="0"/>
            </w:tcBorders>
            <w:tcMar>
              <w:top w:w="0" w:type="dxa"/>
              <w:left w:w="105" w:type="dxa"/>
              <w:bottom w:w="0" w:type="dxa"/>
              <w:right w:w="105" w:type="dxa"/>
            </w:tcMar>
            <w:vAlign w:val="top"/>
          </w:tcPr>
          <w:p w14:paraId="0860F8ED">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2套</w:t>
            </w:r>
          </w:p>
        </w:tc>
      </w:tr>
      <w:tr w14:paraId="33D78BD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73" w:type="pct"/>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4E5C62C2">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6</w:t>
            </w:r>
          </w:p>
        </w:tc>
        <w:tc>
          <w:tcPr>
            <w:tcW w:w="1013" w:type="pct"/>
            <w:tcBorders>
              <w:top w:val="nil"/>
              <w:left w:val="nil"/>
              <w:bottom w:val="single" w:color="000000" w:sz="4" w:space="0"/>
              <w:right w:val="single" w:color="000000" w:sz="4" w:space="0"/>
            </w:tcBorders>
            <w:tcMar>
              <w:top w:w="0" w:type="dxa"/>
              <w:left w:w="105" w:type="dxa"/>
              <w:bottom w:w="0" w:type="dxa"/>
              <w:right w:w="105" w:type="dxa"/>
            </w:tcMar>
            <w:vAlign w:val="top"/>
          </w:tcPr>
          <w:p w14:paraId="17CAAC66">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配套设施</w:t>
            </w:r>
          </w:p>
        </w:tc>
        <w:tc>
          <w:tcPr>
            <w:tcW w:w="2639" w:type="pct"/>
            <w:tcBorders>
              <w:top w:val="nil"/>
              <w:left w:val="nil"/>
              <w:bottom w:val="single" w:color="000000" w:sz="4" w:space="0"/>
              <w:right w:val="single" w:color="000000" w:sz="4" w:space="0"/>
            </w:tcBorders>
            <w:tcMar>
              <w:top w:w="0" w:type="dxa"/>
              <w:left w:w="105" w:type="dxa"/>
              <w:bottom w:w="0" w:type="dxa"/>
              <w:right w:w="105" w:type="dxa"/>
            </w:tcMar>
            <w:vAlign w:val="top"/>
          </w:tcPr>
          <w:p w14:paraId="4D149C8F">
            <w:pPr>
              <w:pStyle w:val="4"/>
              <w:keepNext w:val="0"/>
              <w:keepLines w:val="0"/>
              <w:pageBreakBefore w:val="0"/>
              <w:kinsoku/>
              <w:wordWrap/>
              <w:overflowPunct/>
              <w:topLinePunct w:val="0"/>
              <w:autoSpaceDE/>
              <w:autoSpaceDN/>
              <w:bidi w:val="0"/>
              <w:adjustRightInd/>
              <w:snapToGrid/>
              <w:spacing w:line="360" w:lineRule="auto"/>
              <w:jc w:val="left"/>
              <w:textAlignment w:val="auto"/>
            </w:pPr>
            <w:r>
              <w:rPr>
                <w:rFonts w:ascii="宋体" w:hAnsi="宋体" w:eastAsia="宋体" w:cs="宋体"/>
                <w:sz w:val="21"/>
              </w:rPr>
              <w:t>包含连接线缆、原装锂电池、电源适配器、网络适配器、安装支架、专用硬质搬移箱等</w:t>
            </w:r>
          </w:p>
        </w:tc>
        <w:tc>
          <w:tcPr>
            <w:tcW w:w="673" w:type="pct"/>
            <w:tcBorders>
              <w:top w:val="nil"/>
              <w:left w:val="nil"/>
              <w:bottom w:val="single" w:color="000000" w:sz="4" w:space="0"/>
              <w:right w:val="single" w:color="000000" w:sz="4" w:space="0"/>
            </w:tcBorders>
            <w:tcMar>
              <w:top w:w="0" w:type="dxa"/>
              <w:left w:w="105" w:type="dxa"/>
              <w:bottom w:w="0" w:type="dxa"/>
              <w:right w:w="105" w:type="dxa"/>
            </w:tcMar>
            <w:vAlign w:val="top"/>
          </w:tcPr>
          <w:p w14:paraId="41D253E5">
            <w:pPr>
              <w:pStyle w:val="4"/>
              <w:keepNext w:val="0"/>
              <w:keepLines w:val="0"/>
              <w:pageBreakBefore w:val="0"/>
              <w:kinsoku/>
              <w:wordWrap/>
              <w:overflowPunct/>
              <w:topLinePunct w:val="0"/>
              <w:autoSpaceDE/>
              <w:autoSpaceDN/>
              <w:bidi w:val="0"/>
              <w:adjustRightInd/>
              <w:snapToGrid/>
              <w:spacing w:line="360" w:lineRule="auto"/>
              <w:jc w:val="center"/>
              <w:textAlignment w:val="auto"/>
            </w:pPr>
            <w:r>
              <w:rPr>
                <w:rFonts w:ascii="宋体" w:hAnsi="宋体" w:eastAsia="宋体" w:cs="宋体"/>
                <w:sz w:val="21"/>
              </w:rPr>
              <w:t>2套</w:t>
            </w:r>
          </w:p>
        </w:tc>
      </w:tr>
    </w:tbl>
    <w:p w14:paraId="40CCFB6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FjN2FhOGEyYTBlMTgwMDAxOWMzZTE0NTAwMjNiMDkifQ=="/>
  </w:docVars>
  <w:rsids>
    <w:rsidRoot w:val="693C1DB8"/>
    <w:rsid w:val="693C1D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2024-10-29T08:48:00Z</dcterms:created>
  <dc:creator>AOC</dc:creator>
  <cp:lastModifiedBy>AOC</cp:lastModifiedBy>
  <dcterms:modified xsi:type="dcterms:W3CDTF">2024-10-29T08:49:39Z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EAAD041A7B4246118A217AE66484C4A1_11</vt:lpwstr>
  </property>
</Properties>
</file>